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rsidTr="00AD3606">
        <w:trPr>
          <w:cantSplit/>
          <w:trHeight w:val="23"/>
        </w:trPr>
        <w:tc>
          <w:tcPr>
            <w:tcW w:w="3969" w:type="dxa"/>
            <w:vMerge w:val="restart"/>
            <w:tcMar>
              <w:left w:w="0" w:type="dxa"/>
            </w:tcMar>
          </w:tcPr>
          <w:p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rsidR="00AD3606" w:rsidRPr="00A52C84" w:rsidRDefault="00AD3606" w:rsidP="008F7BC9">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7B08D6">
              <w:rPr>
                <w:b/>
                <w:lang w:val="fr-CH"/>
              </w:rPr>
              <w:t>2</w:t>
            </w:r>
            <w:r w:rsidRPr="00A52C84">
              <w:rPr>
                <w:b/>
                <w:lang w:val="fr-CH"/>
              </w:rPr>
              <w:t>/</w:t>
            </w:r>
            <w:r w:rsidR="008F7BC9" w:rsidRPr="000D6368">
              <w:rPr>
                <w:b/>
                <w:lang w:val="fr-CH"/>
              </w:rPr>
              <w:t>5</w:t>
            </w:r>
          </w:p>
        </w:tc>
      </w:tr>
      <w:tr w:rsidR="00AD3606" w:rsidRPr="00813E5E" w:rsidTr="00AD3606">
        <w:trPr>
          <w:cantSplit/>
        </w:trPr>
        <w:tc>
          <w:tcPr>
            <w:tcW w:w="3969" w:type="dxa"/>
            <w:vMerge/>
          </w:tcPr>
          <w:p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rsidR="00AD3606" w:rsidRPr="00E85629" w:rsidRDefault="00A670CB" w:rsidP="00A670CB">
            <w:pPr>
              <w:tabs>
                <w:tab w:val="left" w:pos="851"/>
              </w:tabs>
              <w:spacing w:before="0"/>
              <w:jc w:val="right"/>
              <w:rPr>
                <w:b/>
              </w:rPr>
            </w:pPr>
            <w:r>
              <w:rPr>
                <w:b/>
              </w:rPr>
              <w:t>10 December</w:t>
            </w:r>
            <w:r w:rsidR="00AD3606">
              <w:rPr>
                <w:b/>
              </w:rPr>
              <w:t xml:space="preserve"> 2023</w:t>
            </w:r>
          </w:p>
        </w:tc>
      </w:tr>
      <w:tr w:rsidR="00AD3606" w:rsidRPr="00813E5E" w:rsidTr="00AD3606">
        <w:trPr>
          <w:cantSplit/>
          <w:trHeight w:val="23"/>
        </w:trPr>
        <w:tc>
          <w:tcPr>
            <w:tcW w:w="3969" w:type="dxa"/>
            <w:vMerge/>
          </w:tcPr>
          <w:p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rsidTr="00AD3606">
        <w:trPr>
          <w:cantSplit/>
          <w:trHeight w:val="23"/>
        </w:trPr>
        <w:tc>
          <w:tcPr>
            <w:tcW w:w="3969" w:type="dxa"/>
          </w:tcPr>
          <w:p w:rsidR="00472BAD" w:rsidRPr="00813E5E" w:rsidRDefault="00472BAD" w:rsidP="00AD3606">
            <w:pPr>
              <w:tabs>
                <w:tab w:val="left" w:pos="851"/>
              </w:tabs>
              <w:spacing w:line="240" w:lineRule="atLeast"/>
              <w:rPr>
                <w:b/>
              </w:rPr>
            </w:pPr>
          </w:p>
        </w:tc>
        <w:tc>
          <w:tcPr>
            <w:tcW w:w="5245" w:type="dxa"/>
          </w:tcPr>
          <w:p w:rsidR="00472BAD" w:rsidRDefault="00472BAD" w:rsidP="00AD3606">
            <w:pPr>
              <w:tabs>
                <w:tab w:val="left" w:pos="851"/>
              </w:tabs>
              <w:spacing w:before="0" w:line="240" w:lineRule="atLeast"/>
              <w:jc w:val="right"/>
              <w:rPr>
                <w:b/>
              </w:rPr>
            </w:pPr>
          </w:p>
        </w:tc>
      </w:tr>
      <w:tr w:rsidR="00AD3606" w:rsidRPr="00813E5E" w:rsidTr="00AD3606">
        <w:trPr>
          <w:cantSplit/>
        </w:trPr>
        <w:tc>
          <w:tcPr>
            <w:tcW w:w="9214" w:type="dxa"/>
            <w:gridSpan w:val="2"/>
            <w:tcMar>
              <w:left w:w="0" w:type="dxa"/>
            </w:tcMar>
          </w:tcPr>
          <w:p w:rsidR="00AD3606" w:rsidRPr="00813E5E" w:rsidRDefault="00244F7F" w:rsidP="00E15C3A">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E15C3A">
              <w:t>Hill</w:t>
            </w:r>
          </w:p>
        </w:tc>
      </w:tr>
      <w:tr w:rsidR="00AD3606" w:rsidRPr="00813E5E" w:rsidTr="00AD3606">
        <w:trPr>
          <w:cantSplit/>
        </w:trPr>
        <w:tc>
          <w:tcPr>
            <w:tcW w:w="9214" w:type="dxa"/>
            <w:gridSpan w:val="2"/>
            <w:tcMar>
              <w:left w:w="0" w:type="dxa"/>
            </w:tcMar>
          </w:tcPr>
          <w:p w:rsidR="00AD3606" w:rsidRPr="00813E5E" w:rsidRDefault="000D6368" w:rsidP="0082723D">
            <w:pPr>
              <w:pStyle w:val="Subtitle"/>
              <w:framePr w:hSpace="0" w:wrap="auto" w:hAnchor="text" w:xAlign="left" w:yAlign="inline"/>
            </w:pPr>
            <w:bookmarkStart w:id="9" w:name="dtitle1" w:colFirst="0" w:colLast="0"/>
            <w:bookmarkEnd w:id="8"/>
            <w:r>
              <w:t>USE OF AI IN INTERNATIONAL TELECOMMUNICATION SERVICES</w:t>
            </w:r>
          </w:p>
        </w:tc>
      </w:tr>
      <w:tr w:rsidR="00AD3606" w:rsidRPr="00813E5E" w:rsidTr="00AD3606">
        <w:trPr>
          <w:cantSplit/>
        </w:trPr>
        <w:tc>
          <w:tcPr>
            <w:tcW w:w="9214" w:type="dxa"/>
            <w:gridSpan w:val="2"/>
            <w:tcBorders>
              <w:top w:val="single" w:sz="4" w:space="0" w:color="auto"/>
              <w:bottom w:val="single" w:sz="4" w:space="0" w:color="auto"/>
            </w:tcBorders>
            <w:tcMar>
              <w:left w:w="0" w:type="dxa"/>
            </w:tcMar>
          </w:tcPr>
          <w:p w:rsidR="004D648B" w:rsidRPr="004D648B" w:rsidRDefault="004D648B" w:rsidP="004D648B">
            <w:pPr>
              <w:spacing w:before="160"/>
              <w:rPr>
                <w:b/>
                <w:bCs/>
                <w:sz w:val="26"/>
                <w:szCs w:val="26"/>
              </w:rPr>
            </w:pPr>
            <w:r w:rsidRPr="004D648B">
              <w:rPr>
                <w:b/>
                <w:bCs/>
                <w:sz w:val="26"/>
                <w:szCs w:val="26"/>
              </w:rPr>
              <w:t>Purpose</w:t>
            </w:r>
          </w:p>
          <w:p w:rsidR="004D648B" w:rsidRPr="0053640F" w:rsidRDefault="0082723D" w:rsidP="004D648B">
            <w:pPr>
              <w:spacing w:before="160"/>
              <w:rPr>
                <w:szCs w:val="24"/>
              </w:rPr>
            </w:pPr>
            <w:r>
              <w:rPr>
                <w:szCs w:val="24"/>
              </w:rPr>
              <w:t xml:space="preserve">To present </w:t>
            </w:r>
            <w:r w:rsidR="0024789F">
              <w:rPr>
                <w:szCs w:val="24"/>
              </w:rPr>
              <w:t>information on the use of AI in international telecommunication services</w:t>
            </w:r>
            <w:r>
              <w:rPr>
                <w:szCs w:val="24"/>
              </w:rPr>
              <w:t>.</w:t>
            </w:r>
            <w:r w:rsidR="007B08D6">
              <w:rPr>
                <w:szCs w:val="24"/>
              </w:rPr>
              <w:t xml:space="preserve"> </w:t>
            </w:r>
          </w:p>
          <w:p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rsidR="000B12B3" w:rsidRDefault="000B12B3" w:rsidP="000B12B3">
            <w:pPr>
              <w:spacing w:before="160"/>
              <w:rPr>
                <w:bCs/>
                <w:szCs w:val="24"/>
              </w:rPr>
            </w:pPr>
            <w:r>
              <w:rPr>
                <w:bCs/>
                <w:szCs w:val="24"/>
              </w:rPr>
              <w:t xml:space="preserve">The Expert Group on the International Telecommunication Regulations is invited to </w:t>
            </w:r>
            <w:r>
              <w:rPr>
                <w:b/>
                <w:bCs/>
                <w:szCs w:val="24"/>
              </w:rPr>
              <w:t>discuss</w:t>
            </w:r>
            <w:r>
              <w:rPr>
                <w:bCs/>
                <w:szCs w:val="24"/>
              </w:rPr>
              <w:t xml:space="preserve"> this document.</w:t>
            </w:r>
          </w:p>
          <w:p w:rsidR="004D648B" w:rsidRPr="0052249C" w:rsidRDefault="004D648B" w:rsidP="004D648B">
            <w:pPr>
              <w:spacing w:before="160"/>
              <w:rPr>
                <w:sz w:val="26"/>
                <w:szCs w:val="26"/>
              </w:rPr>
            </w:pPr>
            <w:r w:rsidRPr="0052249C">
              <w:rPr>
                <w:sz w:val="26"/>
                <w:szCs w:val="26"/>
              </w:rPr>
              <w:t>____________________________________</w:t>
            </w:r>
          </w:p>
          <w:p w:rsidR="00AD3606" w:rsidRDefault="004D648B" w:rsidP="004D648B">
            <w:pPr>
              <w:spacing w:before="160"/>
              <w:rPr>
                <w:b/>
                <w:bCs/>
                <w:sz w:val="26"/>
                <w:szCs w:val="26"/>
              </w:rPr>
            </w:pPr>
            <w:r w:rsidRPr="004D648B">
              <w:rPr>
                <w:b/>
                <w:bCs/>
                <w:sz w:val="26"/>
                <w:szCs w:val="26"/>
              </w:rPr>
              <w:t>Reference</w:t>
            </w:r>
          </w:p>
          <w:p w:rsidR="001648F9" w:rsidRPr="000D6368" w:rsidRDefault="0082723D" w:rsidP="002E2A56">
            <w:pPr>
              <w:spacing w:after="120"/>
              <w:rPr>
                <w:rFonts w:asciiTheme="minorHAnsi" w:hAnsiTheme="minorHAnsi" w:cstheme="minorHAnsi"/>
                <w:i/>
                <w:iCs/>
                <w:sz w:val="22"/>
                <w:szCs w:val="22"/>
              </w:rPr>
            </w:pPr>
            <w:r w:rsidRPr="000D6368">
              <w:rPr>
                <w:rFonts w:asciiTheme="minorHAnsi" w:hAnsiTheme="minorHAnsi" w:cstheme="minorHAnsi"/>
                <w:i/>
                <w:iCs/>
                <w:sz w:val="22"/>
                <w:szCs w:val="22"/>
              </w:rPr>
              <w:t xml:space="preserve">Council </w:t>
            </w:r>
            <w:hyperlink r:id="rId8" w:history="1">
              <w:r w:rsidRPr="000D6368">
                <w:rPr>
                  <w:rStyle w:val="Hyperlink"/>
                  <w:rFonts w:asciiTheme="minorHAnsi" w:hAnsiTheme="minorHAnsi" w:cstheme="minorHAnsi"/>
                  <w:i/>
                  <w:iCs/>
                  <w:sz w:val="22"/>
                  <w:szCs w:val="22"/>
                </w:rPr>
                <w:t>Resolution 1379</w:t>
              </w:r>
            </w:hyperlink>
            <w:r w:rsidRPr="000D6368">
              <w:rPr>
                <w:rFonts w:asciiTheme="minorHAnsi" w:hAnsiTheme="minorHAnsi" w:cstheme="minorHAnsi"/>
                <w:i/>
                <w:iCs/>
                <w:sz w:val="22"/>
                <w:szCs w:val="22"/>
              </w:rPr>
              <w:t xml:space="preserve"> (Terms of Reference)</w:t>
            </w:r>
            <w:r w:rsidR="001648F9" w:rsidRPr="000D6368">
              <w:rPr>
                <w:rFonts w:asciiTheme="minorHAnsi" w:hAnsiTheme="minorHAnsi" w:cstheme="minorHAnsi"/>
                <w:i/>
                <w:iCs/>
                <w:sz w:val="22"/>
                <w:szCs w:val="22"/>
              </w:rPr>
              <w:t xml:space="preserve"> </w:t>
            </w:r>
          </w:p>
          <w:p w:rsidR="00112DDE" w:rsidRDefault="002E2A56" w:rsidP="00D14787">
            <w:pPr>
              <w:spacing w:after="160"/>
            </w:pPr>
            <w:hyperlink r:id="rId9" w:history="1">
              <w:r w:rsidR="005D4E63" w:rsidRPr="000D6368">
                <w:rPr>
                  <w:rStyle w:val="Hyperlink"/>
                  <w:rFonts w:asciiTheme="minorHAnsi" w:hAnsiTheme="minorHAnsi" w:cstheme="minorHAnsi"/>
                  <w:i/>
                  <w:iCs/>
                  <w:sz w:val="22"/>
                  <w:szCs w:val="22"/>
                </w:rPr>
                <w:t xml:space="preserve"> EG-ITRs-1/2: Contribution from Hill: Overall considerations</w:t>
              </w:r>
            </w:hyperlink>
          </w:p>
        </w:tc>
      </w:tr>
    </w:tbl>
    <w:p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0"/>
    <w:p w:rsidR="006E5AA6" w:rsidRDefault="006E5AA6"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Pr>
          <w:rFonts w:asciiTheme="minorHAnsi" w:hAnsiTheme="minorHAnsi" w:cstheme="minorHAnsi"/>
          <w:b/>
        </w:rPr>
        <w:lastRenderedPageBreak/>
        <w:t>Summary</w:t>
      </w:r>
    </w:p>
    <w:p w:rsidR="006E5AA6" w:rsidRPr="006E5AA6" w:rsidRDefault="006E5AA6"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Pr>
          <w:rFonts w:asciiTheme="minorHAnsi" w:hAnsiTheme="minorHAnsi" w:cstheme="minorHAnsi"/>
        </w:rPr>
        <w:t xml:space="preserve">This contribution presents </w:t>
      </w:r>
      <w:r w:rsidR="009622D2">
        <w:rPr>
          <w:rFonts w:asciiTheme="minorHAnsi" w:hAnsiTheme="minorHAnsi" w:cstheme="minorHAnsi"/>
        </w:rPr>
        <w:t xml:space="preserve">information on the current and future use of artificial intelligence (AI) on international telecommunication networks and </w:t>
      </w:r>
      <w:r w:rsidR="00D96E73">
        <w:rPr>
          <w:rFonts w:asciiTheme="minorHAnsi" w:hAnsiTheme="minorHAnsi" w:cstheme="minorHAnsi"/>
        </w:rPr>
        <w:t>submits</w:t>
      </w:r>
      <w:r w:rsidR="009622D2">
        <w:rPr>
          <w:rFonts w:asciiTheme="minorHAnsi" w:hAnsiTheme="minorHAnsi" w:cstheme="minorHAnsi"/>
        </w:rPr>
        <w:t xml:space="preserve"> that consideration should be given to adding provisions on such use of AI to the ITRs, </w:t>
      </w:r>
      <w:proofErr w:type="gramStart"/>
      <w:r w:rsidR="009622D2">
        <w:rPr>
          <w:rFonts w:asciiTheme="minorHAnsi" w:hAnsiTheme="minorHAnsi" w:cstheme="minorHAnsi"/>
        </w:rPr>
        <w:t>in order to</w:t>
      </w:r>
      <w:proofErr w:type="gramEnd"/>
      <w:r w:rsidR="009622D2">
        <w:rPr>
          <w:rFonts w:asciiTheme="minorHAnsi" w:hAnsiTheme="minorHAnsi" w:cstheme="minorHAnsi"/>
        </w:rPr>
        <w:t xml:space="preserve"> ensure</w:t>
      </w:r>
      <w:r w:rsidR="009622D2">
        <w:t xml:space="preserve"> </w:t>
      </w:r>
      <w:r w:rsidR="009622D2" w:rsidRPr="00A73CD8">
        <w:rPr>
          <w:rFonts w:cs="Calibri"/>
          <w:lang w:val="en-US"/>
        </w:rPr>
        <w:t>the relevance of the ITRs which “consist of high-level guiding principles</w:t>
      </w:r>
      <w:r w:rsidR="00D96E73">
        <w:rPr>
          <w:rFonts w:cs="Calibri"/>
          <w:lang w:val="en-US"/>
        </w:rPr>
        <w:t>”</w:t>
      </w:r>
      <w:r w:rsidR="009622D2" w:rsidRPr="00A73CD8">
        <w:rPr>
          <w:rFonts w:cs="Calibri"/>
          <w:lang w:val="en-US"/>
        </w:rPr>
        <w:t xml:space="preserve"> in the current telecommunication/ICT environment</w:t>
      </w:r>
      <w:r w:rsidR="009622D2">
        <w:rPr>
          <w:rFonts w:cs="Calibri"/>
          <w:lang w:val="en-US"/>
        </w:rPr>
        <w:t>.</w:t>
      </w:r>
    </w:p>
    <w:p w:rsidR="00AF29E2" w:rsidRPr="0053640F" w:rsidRDefault="00AF29E2" w:rsidP="000D6368">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b/>
        </w:rPr>
      </w:pPr>
      <w:r w:rsidRPr="0053640F">
        <w:rPr>
          <w:rFonts w:asciiTheme="minorHAnsi" w:hAnsiTheme="minorHAnsi" w:cstheme="minorHAnsi"/>
          <w:b/>
        </w:rPr>
        <w:t>Background</w:t>
      </w:r>
    </w:p>
    <w:p w:rsidR="009622D2" w:rsidRDefault="009622D2" w:rsidP="009622D2">
      <w:pPr>
        <w:tabs>
          <w:tab w:val="clear" w:pos="567"/>
          <w:tab w:val="clear" w:pos="1134"/>
          <w:tab w:val="clear" w:pos="1701"/>
          <w:tab w:val="clear" w:pos="2268"/>
          <w:tab w:val="clear" w:pos="2835"/>
        </w:tabs>
        <w:overflowPunct/>
        <w:autoSpaceDE/>
        <w:autoSpaceDN/>
        <w:adjustRightInd/>
        <w:textAlignment w:val="auto"/>
        <w:rPr>
          <w:rFonts w:cs="Calibri"/>
          <w:lang w:val="en-US"/>
        </w:rPr>
      </w:pPr>
      <w:r>
        <w:t xml:space="preserve">1. Pursuant to its Terms of Reference, the EG-ITRs may consider, among others, </w:t>
      </w:r>
      <w:r w:rsidRPr="00A73CD8">
        <w:rPr>
          <w:rFonts w:cs="Calibri"/>
          <w:lang w:val="en-US"/>
        </w:rPr>
        <w:t>the relevance of the ITRs which “consist of high-level guiding principles" in the current telecommunication/ICT environment.</w:t>
      </w:r>
    </w:p>
    <w:p w:rsidR="009622D2" w:rsidRDefault="009622D2" w:rsidP="008F7BC9">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2. Issues regarding the use of AI in international telecommunication networks were first studied in ITU in 2018, </w:t>
      </w:r>
      <w:proofErr w:type="gramStart"/>
      <w:r>
        <w:rPr>
          <w:lang w:val="en-US"/>
        </w:rPr>
        <w:t>in particular in</w:t>
      </w:r>
      <w:proofErr w:type="gramEnd"/>
      <w:r>
        <w:rPr>
          <w:lang w:val="en-US"/>
        </w:rPr>
        <w:t xml:space="preserve"> a focus group (FG ML5G</w:t>
      </w:r>
      <w:r>
        <w:rPr>
          <w:rStyle w:val="FootnoteReference"/>
          <w:lang w:val="en-US"/>
        </w:rPr>
        <w:footnoteReference w:id="1"/>
      </w:r>
      <w:r>
        <w:rPr>
          <w:lang w:val="en-US"/>
        </w:rPr>
        <w:t xml:space="preserve">) of ITU-T Study Group 13 (SG13). </w:t>
      </w:r>
      <w:proofErr w:type="gramStart"/>
      <w:r>
        <w:rPr>
          <w:lang w:val="en-US"/>
        </w:rPr>
        <w:t>On the basis of</w:t>
      </w:r>
      <w:proofErr w:type="gramEnd"/>
      <w:r>
        <w:rPr>
          <w:lang w:val="en-US"/>
        </w:rPr>
        <w:t xml:space="preserve"> the output of that group, SG13 agreed several recommendations:</w:t>
      </w:r>
    </w:p>
    <w:p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 xml:space="preserve"> “</w:t>
      </w:r>
      <w:hyperlink r:id="rId10" w:history="1">
        <w:r w:rsidRPr="008F7BC9">
          <w:rPr>
            <w:rStyle w:val="Hyperlink"/>
          </w:rPr>
          <w:t>Architectural framework for machine learning in future networks including IMT-2020</w:t>
        </w:r>
      </w:hyperlink>
      <w:r w:rsidRPr="008F7BC9">
        <w:t>" (ITU-T Y.3172, June 2019)</w:t>
      </w:r>
    </w:p>
    <w:p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w:t>
      </w:r>
      <w:hyperlink r:id="rId11" w:history="1">
        <w:r w:rsidRPr="008F7BC9">
          <w:rPr>
            <w:rStyle w:val="Hyperlink"/>
          </w:rPr>
          <w:t>Machine learning in future networks including IMT-2020: use cases"</w:t>
        </w:r>
      </w:hyperlink>
      <w:r w:rsidRPr="008F7BC9">
        <w:t xml:space="preserve"> (Supplement 55 to Y.3170 Series, October 2019) </w:t>
      </w:r>
    </w:p>
    <w:p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w:t>
      </w:r>
      <w:hyperlink r:id="rId12" w:history="1">
        <w:r w:rsidRPr="008F7BC9">
          <w:rPr>
            <w:rStyle w:val="Hyperlink"/>
          </w:rPr>
          <w:t>Framework for evaluating intelligence levels​ of future networks including IMT-2020</w:t>
        </w:r>
      </w:hyperlink>
      <w:r w:rsidRPr="008F7BC9">
        <w:t xml:space="preserve">: (ITU-T Y.3173, February 2020) </w:t>
      </w:r>
    </w:p>
    <w:p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w:t>
      </w:r>
      <w:hyperlink r:id="rId13" w:history="1">
        <w:r w:rsidRPr="008F7BC9">
          <w:rPr>
            <w:rStyle w:val="Hyperlink"/>
          </w:rPr>
          <w:t>Framework for data handling to enable machine learning in future networks including IMT-2020</w:t>
        </w:r>
      </w:hyperlink>
      <w:proofErr w:type="gramStart"/>
      <w:r w:rsidRPr="008F7BC9">
        <w:t>:  (</w:t>
      </w:r>
      <w:proofErr w:type="gramEnd"/>
      <w:r w:rsidRPr="008F7BC9">
        <w:t xml:space="preserve"> ITU-T Y.3174, February 2020)</w:t>
      </w:r>
    </w:p>
    <w:p w:rsidR="009622D2" w:rsidRPr="008F7BC9" w:rsidRDefault="002E2A56"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hyperlink r:id="rId14" w:history="1">
        <w:r w:rsidR="009622D2" w:rsidRPr="009622D2">
          <w:rPr>
            <w:rStyle w:val="Hyperlink"/>
            <w:bCs/>
            <w:lang w:val="en-US"/>
          </w:rPr>
          <w:t>Machine learning marketplace integration in future networks including IMT-2020</w:t>
        </w:r>
      </w:hyperlink>
      <w:r w:rsidR="009622D2" w:rsidRPr="009622D2">
        <w:rPr>
          <w:bCs/>
          <w:lang w:val="en-US"/>
        </w:rPr>
        <w:t>”</w:t>
      </w:r>
      <w:r w:rsidR="009622D2" w:rsidRPr="008F7BC9">
        <w:rPr>
          <w:lang w:val="en-US"/>
        </w:rPr>
        <w:t xml:space="preserve"> (ITU-T Y.3176, September 2020)​</w:t>
      </w:r>
    </w:p>
    <w:p w:rsidR="009622D2" w:rsidRPr="008F7BC9" w:rsidRDefault="009622D2" w:rsidP="009622D2">
      <w:pPr>
        <w:tabs>
          <w:tab w:val="clear" w:pos="567"/>
          <w:tab w:val="clear" w:pos="1134"/>
          <w:tab w:val="clear" w:pos="1701"/>
          <w:tab w:val="clear" w:pos="2268"/>
          <w:tab w:val="clear" w:pos="2835"/>
        </w:tabs>
        <w:overflowPunct/>
        <w:autoSpaceDE/>
        <w:autoSpaceDN/>
        <w:adjustRightInd/>
        <w:textAlignment w:val="auto"/>
        <w:rPr>
          <w:lang w:val="en-US"/>
        </w:rPr>
      </w:pPr>
      <w:r>
        <w:rPr>
          <w:bCs/>
          <w:lang w:val="en-US"/>
        </w:rPr>
        <w:t xml:space="preserve">3. We reproduce below the summary </w:t>
      </w:r>
      <w:r w:rsidRPr="009622D2">
        <w:rPr>
          <w:bCs/>
          <w:lang w:val="en-US"/>
        </w:rPr>
        <w:t>of Recommendation ITU-T Y.3172</w:t>
      </w:r>
      <w:r>
        <w:rPr>
          <w:bCs/>
          <w:lang w:val="en-US"/>
        </w:rPr>
        <w:t>:</w:t>
      </w:r>
      <w:r w:rsidRPr="008F7BC9">
        <w:rPr>
          <w:b/>
          <w:bCs/>
          <w:lang w:val="en-US"/>
        </w:rPr>
        <w:t xml:space="preserve"> </w:t>
      </w:r>
    </w:p>
    <w:p w:rsidR="009622D2" w:rsidRPr="008F7BC9" w:rsidRDefault="009622D2" w:rsidP="009622D2">
      <w:pPr>
        <w:tabs>
          <w:tab w:val="clear" w:pos="567"/>
          <w:tab w:val="clear" w:pos="1134"/>
          <w:tab w:val="clear" w:pos="1701"/>
          <w:tab w:val="clear" w:pos="2268"/>
          <w:tab w:val="clear" w:pos="2835"/>
        </w:tabs>
        <w:overflowPunct/>
        <w:autoSpaceDE/>
        <w:autoSpaceDN/>
        <w:adjustRightInd/>
        <w:ind w:left="720"/>
        <w:textAlignment w:val="auto"/>
        <w:rPr>
          <w:lang w:val="en-US"/>
        </w:rPr>
      </w:pPr>
      <w:r w:rsidRPr="008F7BC9">
        <w:rPr>
          <w:lang w:val="en-US"/>
        </w:rPr>
        <w:t xml:space="preserve">Recommendation ITU-T Y.3172 specifies an architectural framework for machine learning (ML) in future networks including IMT-2020. A set of architectural requirements and specific architectural components needed to satisfy these requirements are presented. These components include, but are not limited to, an ML pipeline as well as ML management and orchestration functionalities. The integration of such components into future networks including IMT-2020 and guidelines for applying this architectural framework in a variety of technology-specific underlying networks are also described. </w:t>
      </w:r>
    </w:p>
    <w:p w:rsidR="009622D2" w:rsidRDefault="009622D2" w:rsidP="008F7BC9">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4. Subsequently, it was agreed to continue the work in SG13, under </w:t>
      </w:r>
      <w:r w:rsidRPr="009622D2">
        <w:rPr>
          <w:lang w:val="en-US"/>
        </w:rPr>
        <w:t>Question 20/13 – Networks beyond IMT-2020 and machine learning: Requirements and architecture</w:t>
      </w:r>
      <w:r>
        <w:rPr>
          <w:lang w:val="en-US"/>
        </w:rPr>
        <w:t>. That Question is currently active. We reproduce below the motivation of that Question:</w:t>
      </w:r>
    </w:p>
    <w:p w:rsidR="009622D2" w:rsidRPr="008F7BC9" w:rsidRDefault="009622D2" w:rsidP="009622D2">
      <w:pPr>
        <w:tabs>
          <w:tab w:val="clear" w:pos="567"/>
          <w:tab w:val="clear" w:pos="1134"/>
          <w:tab w:val="clear" w:pos="1701"/>
          <w:tab w:val="clear" w:pos="2268"/>
          <w:tab w:val="clear" w:pos="2835"/>
        </w:tabs>
        <w:overflowPunct/>
        <w:autoSpaceDE/>
        <w:autoSpaceDN/>
        <w:adjustRightInd/>
        <w:ind w:left="720"/>
        <w:textAlignment w:val="auto"/>
        <w:rPr>
          <w:lang w:val="en-US"/>
        </w:rPr>
      </w:pPr>
      <w:r w:rsidRPr="008F7BC9">
        <w:rPr>
          <w:lang w:val="en-US"/>
        </w:rPr>
        <w:t xml:space="preserve">The objective of this question is to study the requirements, architecture and use of technologies including artificial intelligence (AI)/machine learning (ML) to realize networks beyond IMT-2020, </w:t>
      </w:r>
      <w:proofErr w:type="gramStart"/>
      <w:r w:rsidRPr="008F7BC9">
        <w:rPr>
          <w:lang w:val="en-US"/>
        </w:rPr>
        <w:t>in order to</w:t>
      </w:r>
      <w:proofErr w:type="gramEnd"/>
      <w:r w:rsidRPr="008F7BC9">
        <w:rPr>
          <w:lang w:val="en-US"/>
        </w:rPr>
        <w:t xml:space="preserve"> address the anticipated needs of network and application services in the upcoming years.</w:t>
      </w:r>
    </w:p>
    <w:p w:rsidR="008F7BC9" w:rsidRPr="008F7BC9" w:rsidRDefault="007B7DA5" w:rsidP="008F7BC9">
      <w:pPr>
        <w:tabs>
          <w:tab w:val="clear" w:pos="567"/>
          <w:tab w:val="clear" w:pos="1134"/>
          <w:tab w:val="clear" w:pos="1701"/>
          <w:tab w:val="clear" w:pos="2268"/>
          <w:tab w:val="clear" w:pos="2835"/>
        </w:tabs>
        <w:overflowPunct/>
        <w:autoSpaceDE/>
        <w:autoSpaceDN/>
        <w:adjustRightInd/>
        <w:textAlignment w:val="auto"/>
        <w:rPr>
          <w:lang w:val="en-US"/>
        </w:rPr>
      </w:pPr>
      <w:r>
        <w:rPr>
          <w:lang w:val="en-US"/>
        </w:rPr>
        <w:lastRenderedPageBreak/>
        <w:t xml:space="preserve">5. At present, work in that Question includes work on draft Recommendation </w:t>
      </w:r>
      <w:r w:rsidR="008F7BC9" w:rsidRPr="008F7BC9">
        <w:rPr>
          <w:lang w:val="en-US"/>
        </w:rPr>
        <w:t>Y.IMT2020-AINDO-req-frame</w:t>
      </w:r>
      <w:r>
        <w:rPr>
          <w:rStyle w:val="FootnoteReference"/>
          <w:lang w:val="en-US"/>
        </w:rPr>
        <w:footnoteReference w:id="2"/>
      </w:r>
      <w:r>
        <w:rPr>
          <w:lang w:val="en-US"/>
        </w:rPr>
        <w:t>. We reproduce below the draft summary of that Recommendation:</w:t>
      </w:r>
    </w:p>
    <w:p w:rsidR="008F7BC9" w:rsidRPr="008F7BC9" w:rsidRDefault="008F7BC9" w:rsidP="007B7DA5">
      <w:pPr>
        <w:tabs>
          <w:tab w:val="clear" w:pos="567"/>
          <w:tab w:val="clear" w:pos="1134"/>
          <w:tab w:val="clear" w:pos="1701"/>
          <w:tab w:val="clear" w:pos="2268"/>
          <w:tab w:val="clear" w:pos="2835"/>
        </w:tabs>
        <w:overflowPunct/>
        <w:autoSpaceDE/>
        <w:autoSpaceDN/>
        <w:adjustRightInd/>
        <w:ind w:left="720"/>
        <w:textAlignment w:val="auto"/>
        <w:rPr>
          <w:lang w:val="en-US"/>
        </w:rPr>
      </w:pPr>
      <w:r w:rsidRPr="008F7BC9">
        <w:rPr>
          <w:lang w:val="en-US"/>
        </w:rPr>
        <w:t xml:space="preserve">This Recommendation considers the comprehensive application of AI technologies in network design optimization with low cost, including network topology, link capacity, routing etc. It specifies functional requirements, </w:t>
      </w:r>
      <w:proofErr w:type="gramStart"/>
      <w:r w:rsidRPr="008F7BC9">
        <w:rPr>
          <w:lang w:val="en-US"/>
        </w:rPr>
        <w:t>framework</w:t>
      </w:r>
      <w:proofErr w:type="gramEnd"/>
      <w:r w:rsidRPr="008F7BC9">
        <w:rPr>
          <w:lang w:val="en-US"/>
        </w:rPr>
        <w:t xml:space="preserve"> and procedures for AI-based network design optimization in IMT-2020 networks and beyond.</w:t>
      </w:r>
    </w:p>
    <w:p w:rsidR="007B7DA5" w:rsidRPr="007B7DA5" w:rsidRDefault="007B7DA5" w:rsidP="007B7DA5">
      <w:pPr>
        <w:tabs>
          <w:tab w:val="clear" w:pos="567"/>
          <w:tab w:val="clear" w:pos="1134"/>
          <w:tab w:val="clear" w:pos="1701"/>
          <w:tab w:val="clear" w:pos="2268"/>
          <w:tab w:val="clear" w:pos="2835"/>
        </w:tabs>
        <w:overflowPunct/>
        <w:autoSpaceDE/>
        <w:autoSpaceDN/>
        <w:adjustRightInd/>
        <w:textAlignment w:val="auto"/>
        <w:rPr>
          <w:lang w:val="en-US"/>
        </w:rPr>
      </w:pPr>
      <w:r>
        <w:rPr>
          <w:bCs/>
          <w:lang w:val="en-US"/>
        </w:rPr>
        <w:t xml:space="preserve">6. As noted in 1.20 of our contribution </w:t>
      </w:r>
      <w:hyperlink r:id="rId15" w:history="1">
        <w:r>
          <w:rPr>
            <w:rStyle w:val="Hyperlink"/>
            <w:rFonts w:cs="Calibri"/>
            <w:lang w:val="en-US"/>
          </w:rPr>
          <w:t>EG-ITRs-1/2</w:t>
        </w:r>
      </w:hyperlink>
      <w:r>
        <w:t xml:space="preserve">, </w:t>
      </w:r>
      <w:r w:rsidRPr="007B7DA5">
        <w:rPr>
          <w:lang w:val="en-US"/>
        </w:rPr>
        <w:t>There appears to be an emerging consensus that, at a minimum:</w:t>
      </w:r>
    </w:p>
    <w:p w:rsidR="007B7DA5" w:rsidRPr="007B7DA5" w:rsidRDefault="007B7DA5" w:rsidP="007B7DA5">
      <w:pPr>
        <w:numPr>
          <w:ilvl w:val="0"/>
          <w:numId w:val="12"/>
        </w:numPr>
        <w:tabs>
          <w:tab w:val="clear" w:pos="567"/>
          <w:tab w:val="clear" w:pos="1134"/>
          <w:tab w:val="clear" w:pos="1701"/>
          <w:tab w:val="clear" w:pos="2268"/>
          <w:tab w:val="clear" w:pos="2835"/>
        </w:tabs>
        <w:overflowPunct/>
        <w:autoSpaceDE/>
        <w:autoSpaceDN/>
        <w:adjustRightInd/>
        <w:textAlignment w:val="auto"/>
        <w:rPr>
          <w:lang w:val="en-US"/>
        </w:rPr>
      </w:pPr>
      <w:r w:rsidRPr="007B7DA5">
        <w:rPr>
          <w:lang w:val="en-US"/>
        </w:rPr>
        <w:t xml:space="preserve">AI systems should be transparent: it should be clear when something is AI-produced, and the training data and model architectures should be </w:t>
      </w:r>
      <w:proofErr w:type="gramStart"/>
      <w:r w:rsidRPr="007B7DA5">
        <w:rPr>
          <w:lang w:val="en-US"/>
        </w:rPr>
        <w:t>disclosed;</w:t>
      </w:r>
      <w:proofErr w:type="gramEnd"/>
    </w:p>
    <w:p w:rsidR="007B7DA5" w:rsidRPr="007B7DA5" w:rsidRDefault="007B7DA5" w:rsidP="007B7DA5">
      <w:pPr>
        <w:numPr>
          <w:ilvl w:val="0"/>
          <w:numId w:val="12"/>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builders of AI</w:t>
      </w:r>
      <w:r w:rsidRPr="007B7DA5">
        <w:rPr>
          <w:lang w:val="en-US"/>
        </w:rPr>
        <w:t xml:space="preserve"> systems should be made accountable for the outputs </w:t>
      </w:r>
      <w:proofErr w:type="gramStart"/>
      <w:r w:rsidRPr="007B7DA5">
        <w:rPr>
          <w:lang w:val="en-US"/>
        </w:rPr>
        <w:t>produced</w:t>
      </w:r>
      <w:r>
        <w:rPr>
          <w:lang w:val="en-US"/>
        </w:rPr>
        <w:t>;</w:t>
      </w:r>
      <w:proofErr w:type="gramEnd"/>
    </w:p>
    <w:p w:rsidR="007B7DA5" w:rsidRPr="007B7DA5" w:rsidRDefault="007B7DA5" w:rsidP="007B7DA5">
      <w:pPr>
        <w:numPr>
          <w:ilvl w:val="0"/>
          <w:numId w:val="12"/>
        </w:numPr>
        <w:tabs>
          <w:tab w:val="clear" w:pos="567"/>
          <w:tab w:val="clear" w:pos="1134"/>
          <w:tab w:val="clear" w:pos="1701"/>
          <w:tab w:val="clear" w:pos="2268"/>
          <w:tab w:val="clear" w:pos="2835"/>
        </w:tabs>
        <w:overflowPunct/>
        <w:autoSpaceDE/>
        <w:autoSpaceDN/>
        <w:adjustRightInd/>
        <w:textAlignment w:val="auto"/>
        <w:rPr>
          <w:lang w:val="en-US"/>
        </w:rPr>
      </w:pPr>
      <w:r w:rsidRPr="007B7DA5">
        <w:rPr>
          <w:lang w:val="en-US"/>
        </w:rPr>
        <w:t>AI systems should not have full autonomous control of critical systems or infrastructure (which would include basic telecommunications infrastructure)</w:t>
      </w:r>
      <w:r>
        <w:rPr>
          <w:lang w:val="en-US"/>
        </w:rPr>
        <w:t>.</w:t>
      </w:r>
      <w:r w:rsidRPr="007B7DA5">
        <w:rPr>
          <w:lang w:val="en-US"/>
        </w:rPr>
        <w:t xml:space="preserve"> </w:t>
      </w:r>
    </w:p>
    <w:p w:rsidR="007B7DA5" w:rsidRDefault="007B7DA5" w:rsidP="007B7DA5">
      <w:r>
        <w:rPr>
          <w:lang w:val="en-US"/>
        </w:rPr>
        <w:t>7. We note in this context that</w:t>
      </w:r>
      <w:r w:rsidR="00D96E73">
        <w:rPr>
          <w:lang w:val="en-US"/>
        </w:rPr>
        <w:t>, in October 2023,</w:t>
      </w:r>
      <w:r>
        <w:rPr>
          <w:lang w:val="en-US"/>
        </w:rPr>
        <w:t xml:space="preserve"> the UN Secretary-General </w:t>
      </w:r>
      <w:r>
        <w:t xml:space="preserve">convened a </w:t>
      </w:r>
      <w:r w:rsidRPr="007B7DA5">
        <w:t>High-Level Advisory Body on Artificial Intelligence</w:t>
      </w:r>
      <w:r>
        <w:rPr>
          <w:rStyle w:val="FootnoteReference"/>
        </w:rPr>
        <w:footnoteReference w:id="3"/>
      </w:r>
      <w:r>
        <w:t>. The Body’s immediate tasks include building a global scientific consensus on risks and challenges, helping harness AI for the Sustainable Development Goals, and strengthening international cooperation on AI governance.</w:t>
      </w:r>
    </w:p>
    <w:p w:rsidR="00C73F5F" w:rsidRDefault="00C73F5F" w:rsidP="007B7DA5">
      <w:r>
        <w:t xml:space="preserve">8. And that, on 30 October 2023, the G7 Summit adopted the </w:t>
      </w:r>
      <w:r w:rsidRPr="00C73F5F">
        <w:t>Hiroshima Process International Guiding Principles for Organizations Developing Advanced AI System</w:t>
      </w:r>
      <w:r>
        <w:rPr>
          <w:rStyle w:val="FootnoteReference"/>
        </w:rPr>
        <w:footnoteReference w:id="4"/>
      </w:r>
      <w:r>
        <w:t>.</w:t>
      </w:r>
    </w:p>
    <w:p w:rsidR="00D37B1E" w:rsidRDefault="00C463E0" w:rsidP="007B7DA5">
      <w:r>
        <w:t>9</w:t>
      </w:r>
      <w:r w:rsidR="00D37B1E">
        <w:t xml:space="preserve">. And that, </w:t>
      </w:r>
      <w:r w:rsidR="00C73F5F">
        <w:t xml:space="preserve">also </w:t>
      </w:r>
      <w:r w:rsidR="00D37B1E">
        <w:t>on 30 October 2023, the President of the United States of America issued an Executive Order directing actions that include</w:t>
      </w:r>
      <w:r w:rsidR="00A95C06">
        <w:rPr>
          <w:rStyle w:val="FootnoteReference"/>
        </w:rPr>
        <w:footnoteReference w:id="5"/>
      </w:r>
      <w:r w:rsidR="00D37B1E">
        <w:t xml:space="preserve"> “</w:t>
      </w:r>
      <w:r w:rsidR="00D37B1E" w:rsidRPr="00D37B1E">
        <w:t>Promote the safe, responsible, and rights-affirming development and deployment of AI abroad to solve global challenges, such as advancing sustainable development and mitigating dangers to critical infrastructure.</w:t>
      </w:r>
      <w:r w:rsidR="00D37B1E">
        <w:t>” Indeed section 11 (d) of the Executive Order</w:t>
      </w:r>
      <w:r w:rsidR="00D37B1E">
        <w:rPr>
          <w:rStyle w:val="FootnoteReference"/>
        </w:rPr>
        <w:footnoteReference w:id="6"/>
      </w:r>
      <w:r w:rsidR="00D37B1E">
        <w:t xml:space="preserve"> states:</w:t>
      </w:r>
    </w:p>
    <w:p w:rsidR="00D37B1E" w:rsidRDefault="00D37B1E" w:rsidP="00D37B1E">
      <w:pPr>
        <w:ind w:left="567"/>
      </w:pPr>
      <w:r w:rsidRPr="00D37B1E">
        <w:t>To address cross-border and global AI risks to critical infrastructure, the Secretary of Homeland Security, in coordination with the Secretary of State, and in consultation with the heads of other relevant agencies as the Secretary of Homeland Security deems appropriate, shall lead efforts with international allies and partners to enhance cooperation to prevent, respond to, and recover from potential critical infrastructure disruptions resulting from incorporation of AI into critical infrastructure systems or malicious use of AI. </w:t>
      </w:r>
    </w:p>
    <w:p w:rsidR="006651D6" w:rsidRDefault="006651D6"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lastRenderedPageBreak/>
        <w:t>10. Recent events regarding the Open AI organization reinforce the need for action. It appears that a dominant software company has, in effect, gained control of Open AI</w:t>
      </w:r>
      <w:r>
        <w:rPr>
          <w:rStyle w:val="FootnoteReference"/>
          <w:lang w:val="en-US"/>
        </w:rPr>
        <w:footnoteReference w:id="7"/>
      </w:r>
      <w:r>
        <w:rPr>
          <w:lang w:val="en-US"/>
        </w:rPr>
        <w:t>. That company’s operating system is widely used, including in computers that provide critical infrastructure, including in the international telecommunication network. If AI is embedded in that operating system, without regulators or operating agencies being aware of the specifics of the embedded AI, then the AI could have unintended effects. For example, the AI could decide to cut off communications, on the grounds that it contributes to global warming, which must be avoided; or on the grounds that disinformation contributes to political unrest, which must be avoided.</w:t>
      </w:r>
    </w:p>
    <w:p w:rsidR="00A670CB" w:rsidRDefault="00A670CB"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11. Finally, and perhaps most importantly, the European Union has reached an agreement on </w:t>
      </w:r>
      <w:r w:rsidRPr="00A670CB">
        <w:rPr>
          <w:lang w:val="en-US"/>
        </w:rPr>
        <w:t>harmoni</w:t>
      </w:r>
      <w:r>
        <w:rPr>
          <w:lang w:val="en-US"/>
        </w:rPr>
        <w:t>z</w:t>
      </w:r>
      <w:r w:rsidRPr="00A670CB">
        <w:rPr>
          <w:lang w:val="en-US"/>
        </w:rPr>
        <w:t xml:space="preserve">ed </w:t>
      </w:r>
      <w:r>
        <w:rPr>
          <w:lang w:val="en-US"/>
        </w:rPr>
        <w:t xml:space="preserve">binding </w:t>
      </w:r>
      <w:r w:rsidRPr="00A670CB">
        <w:rPr>
          <w:lang w:val="en-US"/>
        </w:rPr>
        <w:t>rules on artificial intelligence (AI), the so-called artificial intelligence ac</w:t>
      </w:r>
      <w:r>
        <w:rPr>
          <w:lang w:val="en-US"/>
        </w:rPr>
        <w:t>t</w:t>
      </w:r>
      <w:r>
        <w:rPr>
          <w:rStyle w:val="FootnoteReference"/>
          <w:lang w:val="en-US"/>
        </w:rPr>
        <w:footnoteReference w:id="8"/>
      </w:r>
      <w:r>
        <w:rPr>
          <w:lang w:val="en-US"/>
        </w:rPr>
        <w:t>. According to this Regulation</w:t>
      </w:r>
      <w:r>
        <w:rPr>
          <w:rStyle w:val="FootnoteReference"/>
          <w:lang w:val="en-US"/>
        </w:rPr>
        <w:footnoteReference w:id="9"/>
      </w:r>
      <w:r>
        <w:rPr>
          <w:lang w:val="en-US"/>
        </w:rPr>
        <w:t xml:space="preserve">, </w:t>
      </w:r>
      <w:r w:rsidRPr="00A670CB">
        <w:rPr>
          <w:lang w:val="en-US"/>
        </w:rPr>
        <w:t>AI systems intended to be used as safety components in the management and operation of critical digital infrastructure</w:t>
      </w:r>
      <w:r>
        <w:rPr>
          <w:lang w:val="en-US"/>
        </w:rPr>
        <w:t xml:space="preserve"> are considered “high-risk AI systems” (see Annex III, 2(a) of the Regulation). </w:t>
      </w:r>
      <w:r w:rsidR="00D53431">
        <w:rPr>
          <w:lang w:val="en-US"/>
        </w:rPr>
        <w:t>Key provisions regarding h</w:t>
      </w:r>
      <w:r>
        <w:rPr>
          <w:lang w:val="en-US"/>
        </w:rPr>
        <w:t>igh-risk AI systems</w:t>
      </w:r>
      <w:r w:rsidR="00D53431">
        <w:rPr>
          <w:lang w:val="en-US"/>
        </w:rPr>
        <w:t xml:space="preserve"> can be summarized as follows</w:t>
      </w:r>
      <w:r>
        <w:rPr>
          <w:lang w:val="en-US"/>
        </w:rPr>
        <w:t>:</w:t>
      </w:r>
    </w:p>
    <w:p w:rsidR="00D53431"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high-risk AI systems are subject to certain requirements with respect to training data (Art. 10 of the Regulation),</w:t>
      </w:r>
    </w:p>
    <w:p w:rsidR="00D53431"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high-risk AI systems </w:t>
      </w:r>
      <w:r w:rsidR="00A670CB" w:rsidRPr="00A670CB">
        <w:rPr>
          <w:lang w:val="en-US"/>
        </w:rPr>
        <w:t>must be transparent (Art. 13 of the Regulation),</w:t>
      </w:r>
    </w:p>
    <w:p w:rsidR="00A670CB"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high-risk AI systems must be </w:t>
      </w:r>
      <w:r w:rsidR="00A670CB" w:rsidRPr="00A670CB">
        <w:rPr>
          <w:lang w:val="en-US"/>
        </w:rPr>
        <w:t>subject to human oversight (Art. 14 of the Regulation)</w:t>
      </w:r>
      <w:r>
        <w:rPr>
          <w:lang w:val="en-US"/>
        </w:rPr>
        <w:t>, and</w:t>
      </w:r>
    </w:p>
    <w:p w:rsidR="00D53431" w:rsidRPr="00A670CB"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providers and users of high-risk AI systems must ensure compliance with the provisions of the Regulation (Arts. 16-21 and 29 of the Regulation).</w:t>
      </w:r>
    </w:p>
    <w:p w:rsidR="00D53431" w:rsidRDefault="00D53431"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12. If AI systems can affect the safety of the management or operation of the international telecommunication network (which is obviously a critical digital infrastructure), then they are subject to the provisions of the cited European Union Regulation.</w:t>
      </w:r>
    </w:p>
    <w:p w:rsidR="008F7BC9" w:rsidRDefault="00C463E0"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53431">
        <w:rPr>
          <w:lang w:val="en-US"/>
        </w:rPr>
        <w:t>3</w:t>
      </w:r>
      <w:r w:rsidR="007B7DA5">
        <w:rPr>
          <w:lang w:val="en-US"/>
        </w:rPr>
        <w:t xml:space="preserve">. </w:t>
      </w:r>
      <w:proofErr w:type="gramStart"/>
      <w:r w:rsidR="00D96E73">
        <w:rPr>
          <w:lang w:val="en-US"/>
        </w:rPr>
        <w:t>In light of</w:t>
      </w:r>
      <w:proofErr w:type="gramEnd"/>
      <w:r w:rsidR="00D96E73">
        <w:rPr>
          <w:lang w:val="en-US"/>
        </w:rPr>
        <w:t xml:space="preserve"> the above</w:t>
      </w:r>
      <w:r w:rsidR="007B7DA5">
        <w:rPr>
          <w:lang w:val="en-US"/>
        </w:rPr>
        <w:t xml:space="preserve">, </w:t>
      </w:r>
      <w:r w:rsidR="00D96E73">
        <w:rPr>
          <w:lang w:val="en-US"/>
        </w:rPr>
        <w:t xml:space="preserve">we submit that </w:t>
      </w:r>
      <w:r w:rsidR="007B7DA5">
        <w:rPr>
          <w:rFonts w:asciiTheme="minorHAnsi" w:hAnsiTheme="minorHAnsi" w:cstheme="minorHAnsi"/>
        </w:rPr>
        <w:t>consideration should be given to adding provisions on the use of AI in international telecommunication services, in order to ensure</w:t>
      </w:r>
      <w:r w:rsidR="007B7DA5">
        <w:t xml:space="preserve"> </w:t>
      </w:r>
      <w:r w:rsidR="007B7DA5" w:rsidRPr="00A73CD8">
        <w:rPr>
          <w:rFonts w:cs="Calibri"/>
          <w:lang w:val="en-US"/>
        </w:rPr>
        <w:t>the relevance of the ITRs which “consist of high-level guiding principles</w:t>
      </w:r>
      <w:r w:rsidR="00D96E73">
        <w:rPr>
          <w:rFonts w:cs="Calibri"/>
          <w:lang w:val="en-US"/>
        </w:rPr>
        <w:t xml:space="preserve">” </w:t>
      </w:r>
      <w:r w:rsidR="007B7DA5" w:rsidRPr="00A73CD8">
        <w:rPr>
          <w:rFonts w:cs="Calibri"/>
          <w:lang w:val="en-US"/>
        </w:rPr>
        <w:t>in the current telecommunication/ICT environment</w:t>
      </w:r>
      <w:r w:rsidR="007B7DA5">
        <w:rPr>
          <w:rFonts w:cs="Calibri"/>
          <w:lang w:val="en-US"/>
        </w:rPr>
        <w:t>.</w:t>
      </w:r>
    </w:p>
    <w:p w:rsidR="007B7DA5" w:rsidRDefault="00C463E0"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53431">
        <w:rPr>
          <w:lang w:val="en-US"/>
        </w:rPr>
        <w:t>4</w:t>
      </w:r>
      <w:r w:rsidR="007B7DA5">
        <w:rPr>
          <w:lang w:val="en-US"/>
        </w:rPr>
        <w:t xml:space="preserve">. </w:t>
      </w:r>
      <w:r w:rsidR="007B7DA5" w:rsidRPr="007B7DA5">
        <w:rPr>
          <w:lang w:val="en-US"/>
        </w:rPr>
        <w:t xml:space="preserve">Specific suggestions regarding AI are given in </w:t>
      </w:r>
      <w:r w:rsidR="007C638F">
        <w:rPr>
          <w:lang w:val="en-US"/>
        </w:rPr>
        <w:t xml:space="preserve">no. 6 of </w:t>
      </w:r>
      <w:r w:rsidR="007B7DA5" w:rsidRPr="007B7DA5">
        <w:rPr>
          <w:lang w:val="en-US"/>
        </w:rPr>
        <w:t xml:space="preserve">Addendum 3 to </w:t>
      </w:r>
      <w:r w:rsidR="007B7DA5">
        <w:rPr>
          <w:bCs/>
          <w:lang w:val="en-US"/>
        </w:rPr>
        <w:t xml:space="preserve">our contribution </w:t>
      </w:r>
      <w:hyperlink r:id="rId16" w:history="1">
        <w:r w:rsidR="007B7DA5">
          <w:rPr>
            <w:rStyle w:val="Hyperlink"/>
            <w:rFonts w:cs="Calibri"/>
            <w:lang w:val="en-US"/>
          </w:rPr>
          <w:t>EG-ITRs-1/2</w:t>
        </w:r>
      </w:hyperlink>
      <w:r w:rsidR="00C73F5F">
        <w:rPr>
          <w:lang w:val="en-US"/>
        </w:rPr>
        <w:t>, namely that consideration be given to adding provisions along the following lines to Article 3 of the ITRs:</w:t>
      </w:r>
    </w:p>
    <w:p w:rsidR="00C73F5F" w:rsidRPr="00C73F5F" w:rsidRDefault="00C73F5F" w:rsidP="00C73F5F">
      <w:pPr>
        <w:pStyle w:val="ListParagraph"/>
        <w:numPr>
          <w:ilvl w:val="0"/>
          <w:numId w:val="13"/>
        </w:numPr>
        <w:tabs>
          <w:tab w:val="clear" w:pos="567"/>
          <w:tab w:val="clear" w:pos="1134"/>
          <w:tab w:val="clear" w:pos="1701"/>
          <w:tab w:val="clear" w:pos="2268"/>
          <w:tab w:val="clear" w:pos="2835"/>
        </w:tabs>
        <w:overflowPunct/>
        <w:autoSpaceDE/>
        <w:autoSpaceDN/>
        <w:adjustRightInd/>
        <w:contextualSpacing w:val="0"/>
        <w:textAlignment w:val="auto"/>
        <w:rPr>
          <w:vanish/>
          <w:lang w:val="en-US"/>
        </w:rPr>
      </w:pPr>
    </w:p>
    <w:p w:rsidR="00C73F5F" w:rsidRPr="00C73F5F" w:rsidRDefault="00C73F5F" w:rsidP="00C73F5F">
      <w:pPr>
        <w:tabs>
          <w:tab w:val="clear" w:pos="567"/>
          <w:tab w:val="clear" w:pos="1134"/>
          <w:tab w:val="clear" w:pos="1701"/>
          <w:tab w:val="clear" w:pos="2268"/>
          <w:tab w:val="clear" w:pos="2835"/>
        </w:tabs>
        <w:overflowPunct/>
        <w:autoSpaceDE/>
        <w:autoSpaceDN/>
        <w:adjustRightInd/>
        <w:ind w:left="360"/>
        <w:textAlignment w:val="auto"/>
        <w:rPr>
          <w:lang w:val="en-US"/>
        </w:rPr>
      </w:pPr>
      <w:r>
        <w:rPr>
          <w:lang w:val="en-US"/>
        </w:rPr>
        <w:t xml:space="preserve">b) </w:t>
      </w:r>
      <w:r w:rsidRPr="00C73F5F">
        <w:rPr>
          <w:lang w:val="en-US"/>
        </w:rPr>
        <w:t xml:space="preserve">Member States shall </w:t>
      </w:r>
      <w:proofErr w:type="spellStart"/>
      <w:r w:rsidRPr="00C73F5F">
        <w:rPr>
          <w:lang w:val="en-US"/>
        </w:rPr>
        <w:t>endeavour</w:t>
      </w:r>
      <w:proofErr w:type="spellEnd"/>
      <w:r w:rsidRPr="00C73F5F">
        <w:rPr>
          <w:lang w:val="en-US"/>
        </w:rPr>
        <w:t xml:space="preserve"> to ensure that AI systems used for the international telecommunication network are transparent: it should be clear when something is AI-produced, and the training data and model architectures should be disclosed.</w:t>
      </w:r>
    </w:p>
    <w:p w:rsidR="00C73F5F" w:rsidRPr="00C73F5F" w:rsidRDefault="00C73F5F" w:rsidP="00C73F5F">
      <w:pPr>
        <w:tabs>
          <w:tab w:val="clear" w:pos="567"/>
          <w:tab w:val="clear" w:pos="1134"/>
          <w:tab w:val="clear" w:pos="1701"/>
          <w:tab w:val="clear" w:pos="2268"/>
          <w:tab w:val="clear" w:pos="2835"/>
        </w:tabs>
        <w:overflowPunct/>
        <w:autoSpaceDE/>
        <w:autoSpaceDN/>
        <w:adjustRightInd/>
        <w:ind w:left="360"/>
        <w:textAlignment w:val="auto"/>
        <w:rPr>
          <w:lang w:val="en-US"/>
        </w:rPr>
      </w:pPr>
      <w:r>
        <w:rPr>
          <w:lang w:val="en-US"/>
        </w:rPr>
        <w:t xml:space="preserve">c) </w:t>
      </w:r>
      <w:r w:rsidRPr="00C73F5F">
        <w:rPr>
          <w:lang w:val="en-US"/>
        </w:rPr>
        <w:t>Member States shall ensure that builders of AI systems used for the international telecommunication network are accountable for the outputs produced.</w:t>
      </w:r>
    </w:p>
    <w:p w:rsidR="00C73F5F" w:rsidRPr="00C73F5F" w:rsidRDefault="00C73F5F" w:rsidP="00C73F5F">
      <w:pPr>
        <w:tabs>
          <w:tab w:val="clear" w:pos="567"/>
          <w:tab w:val="clear" w:pos="1134"/>
          <w:tab w:val="clear" w:pos="1701"/>
          <w:tab w:val="clear" w:pos="2268"/>
          <w:tab w:val="clear" w:pos="2835"/>
        </w:tabs>
        <w:overflowPunct/>
        <w:autoSpaceDE/>
        <w:autoSpaceDN/>
        <w:adjustRightInd/>
        <w:ind w:left="360"/>
        <w:textAlignment w:val="auto"/>
        <w:rPr>
          <w:lang w:val="en-US"/>
        </w:rPr>
      </w:pPr>
      <w:r>
        <w:rPr>
          <w:lang w:val="en-US"/>
        </w:rPr>
        <w:lastRenderedPageBreak/>
        <w:t xml:space="preserve">d) </w:t>
      </w:r>
      <w:r w:rsidRPr="00C73F5F">
        <w:rPr>
          <w:lang w:val="en-US"/>
        </w:rPr>
        <w:t>Member States shall ensure that AI systems do not have full autonomous control of critical systems or infrastructure used for the international telecommunication network (which would include basic telecommunications infrastructure).</w:t>
      </w:r>
    </w:p>
    <w:p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5C8" w:rsidRDefault="005D45C8">
      <w:r>
        <w:separator/>
      </w:r>
    </w:p>
  </w:endnote>
  <w:endnote w:type="continuationSeparator" w:id="0">
    <w:p w:rsidR="005D45C8" w:rsidRDefault="005D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rsidTr="0042469C">
      <w:trPr>
        <w:jc w:val="center"/>
      </w:trPr>
      <w:tc>
        <w:tcPr>
          <w:tcW w:w="1803" w:type="dxa"/>
          <w:vAlign w:val="center"/>
        </w:tcPr>
        <w:p w:rsidR="00EE49E8" w:rsidRDefault="00EE49E8" w:rsidP="00EE49E8">
          <w:pPr>
            <w:pStyle w:val="Header"/>
            <w:jc w:val="left"/>
            <w:rPr>
              <w:noProof/>
            </w:rPr>
          </w:pPr>
        </w:p>
      </w:tc>
      <w:tc>
        <w:tcPr>
          <w:tcW w:w="8261" w:type="dxa"/>
        </w:tcPr>
        <w:p w:rsidR="00EE49E8" w:rsidRPr="00E06FD5" w:rsidRDefault="00EE49E8" w:rsidP="008F7BC9">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00A52C84" w:rsidRPr="00623AE3">
            <w:rPr>
              <w:bCs/>
            </w:rPr>
            <w:t>/</w:t>
          </w:r>
          <w:r w:rsidR="008F7BC9" w:rsidRPr="000D6368">
            <w:rPr>
              <w:bCs/>
            </w:rPr>
            <w:t>5</w:t>
          </w:r>
          <w:r>
            <w:rPr>
              <w:bCs/>
            </w:rPr>
            <w:tab/>
          </w:r>
          <w:r w:rsidR="00A66F23">
            <w:fldChar w:fldCharType="begin"/>
          </w:r>
          <w:r>
            <w:instrText>PAGE</w:instrText>
          </w:r>
          <w:r w:rsidR="00A66F23">
            <w:fldChar w:fldCharType="separate"/>
          </w:r>
          <w:r w:rsidR="00D53431">
            <w:rPr>
              <w:noProof/>
            </w:rPr>
            <w:t>4</w:t>
          </w:r>
          <w:r w:rsidR="00A66F23">
            <w:rPr>
              <w:noProof/>
            </w:rPr>
            <w:fldChar w:fldCharType="end"/>
          </w:r>
        </w:p>
      </w:tc>
    </w:tr>
  </w:tbl>
  <w:p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rsidTr="00A52C84">
      <w:trPr>
        <w:jc w:val="center"/>
      </w:trPr>
      <w:tc>
        <w:tcPr>
          <w:tcW w:w="3107" w:type="dxa"/>
          <w:vAlign w:val="center"/>
        </w:tcPr>
        <w:p w:rsidR="00EE49E8" w:rsidRDefault="00A52C84" w:rsidP="00EE49E8">
          <w:pPr>
            <w:pStyle w:val="Header"/>
            <w:jc w:val="left"/>
            <w:rPr>
              <w:noProof/>
            </w:rPr>
          </w:pPr>
          <w:r w:rsidRPr="00293B38">
            <w:rPr>
              <w:color w:val="0070C0"/>
            </w:rPr>
            <w:t>https://council.itu.int/working-groups</w:t>
          </w:r>
        </w:p>
      </w:tc>
      <w:tc>
        <w:tcPr>
          <w:tcW w:w="6957" w:type="dxa"/>
        </w:tcPr>
        <w:p w:rsidR="00EE49E8" w:rsidRPr="00E06FD5" w:rsidRDefault="00EE49E8" w:rsidP="008F7BC9">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Pr="00623AE3">
            <w:rPr>
              <w:bCs/>
            </w:rPr>
            <w:t>/</w:t>
          </w:r>
          <w:r w:rsidR="008F7BC9" w:rsidRPr="000D6368">
            <w:rPr>
              <w:bCs/>
            </w:rPr>
            <w:t>5</w:t>
          </w:r>
          <w:r>
            <w:rPr>
              <w:bCs/>
            </w:rPr>
            <w:tab/>
          </w:r>
          <w:r w:rsidR="00A66F23">
            <w:fldChar w:fldCharType="begin"/>
          </w:r>
          <w:r>
            <w:instrText>PAGE</w:instrText>
          </w:r>
          <w:r w:rsidR="00A66F23">
            <w:fldChar w:fldCharType="separate"/>
          </w:r>
          <w:r w:rsidR="00D53431">
            <w:rPr>
              <w:noProof/>
            </w:rPr>
            <w:t>1</w:t>
          </w:r>
          <w:r w:rsidR="00A66F23">
            <w:rPr>
              <w:noProof/>
            </w:rPr>
            <w:fldChar w:fldCharType="end"/>
          </w:r>
        </w:p>
      </w:tc>
    </w:tr>
  </w:tbl>
  <w:p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5C8" w:rsidRDefault="005D45C8">
      <w:r>
        <w:t>____________________</w:t>
      </w:r>
    </w:p>
  </w:footnote>
  <w:footnote w:type="continuationSeparator" w:id="0">
    <w:p w:rsidR="005D45C8" w:rsidRDefault="005D45C8">
      <w:r>
        <w:continuationSeparator/>
      </w:r>
    </w:p>
  </w:footnote>
  <w:footnote w:id="1">
    <w:p w:rsidR="009622D2" w:rsidRPr="009622D2" w:rsidRDefault="009622D2" w:rsidP="000D6368">
      <w:pPr>
        <w:pStyle w:val="FootnoteText"/>
        <w:tabs>
          <w:tab w:val="clear" w:pos="256"/>
        </w:tabs>
        <w:rPr>
          <w:lang w:val="en-US"/>
        </w:rPr>
      </w:pPr>
      <w:r>
        <w:rPr>
          <w:rStyle w:val="FootnoteReference"/>
        </w:rPr>
        <w:footnoteRef/>
      </w:r>
      <w:r>
        <w:t xml:space="preserve"> </w:t>
      </w:r>
      <w:r w:rsidR="000D6368">
        <w:tab/>
      </w:r>
      <w:hyperlink r:id="rId1" w:history="1">
        <w:r w:rsidR="000D6368" w:rsidRPr="008A4F65">
          <w:rPr>
            <w:rStyle w:val="Hyperlink"/>
            <w:sz w:val="20"/>
          </w:rPr>
          <w:t>https://www.itu.int/en/ITU-T/focusgroups/ml5g/Pages/default.aspx</w:t>
        </w:r>
      </w:hyperlink>
      <w:r>
        <w:t xml:space="preserve"> </w:t>
      </w:r>
    </w:p>
  </w:footnote>
  <w:footnote w:id="2">
    <w:p w:rsidR="007B7DA5" w:rsidRPr="007B7DA5" w:rsidRDefault="007B7DA5"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2" w:history="1">
        <w:r w:rsidR="000D6368" w:rsidRPr="000D6368">
          <w:rPr>
            <w:rStyle w:val="Hyperlink"/>
            <w:sz w:val="20"/>
            <w:lang w:val="en-US"/>
          </w:rPr>
          <w:t>https://www.itu.int/ITU-T/workprog/wp_item.aspx?isn=18153</w:t>
        </w:r>
      </w:hyperlink>
      <w:r w:rsidRPr="000D6368">
        <w:rPr>
          <w:sz w:val="20"/>
        </w:rPr>
        <w:t xml:space="preserve"> , accessed 27 October 2023.</w:t>
      </w:r>
    </w:p>
  </w:footnote>
  <w:footnote w:id="3">
    <w:p w:rsidR="007B7DA5" w:rsidRPr="007B7DA5" w:rsidRDefault="007B7DA5"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3" w:history="1">
        <w:r w:rsidR="000D6368" w:rsidRPr="000D6368">
          <w:rPr>
            <w:rStyle w:val="Hyperlink"/>
            <w:sz w:val="20"/>
          </w:rPr>
          <w:t>https://www.un.org/techenvoy/ai-advisory-body</w:t>
        </w:r>
      </w:hyperlink>
      <w:r>
        <w:t xml:space="preserve"> </w:t>
      </w:r>
    </w:p>
  </w:footnote>
  <w:footnote w:id="4">
    <w:p w:rsidR="00C73F5F" w:rsidRPr="00C73F5F" w:rsidRDefault="00C73F5F" w:rsidP="000D6368">
      <w:pPr>
        <w:pStyle w:val="FootnoteText"/>
        <w:tabs>
          <w:tab w:val="clear" w:pos="256"/>
        </w:tabs>
        <w:spacing w:before="60"/>
        <w:ind w:left="284" w:hanging="284"/>
      </w:pPr>
      <w:r>
        <w:rPr>
          <w:rStyle w:val="FootnoteReference"/>
        </w:rPr>
        <w:footnoteRef/>
      </w:r>
      <w:r>
        <w:t xml:space="preserve"> </w:t>
      </w:r>
      <w:r w:rsidR="000D6368">
        <w:tab/>
      </w:r>
      <w:hyperlink r:id="rId4" w:history="1">
        <w:r w:rsidR="000D6368" w:rsidRPr="000D6368">
          <w:rPr>
            <w:rStyle w:val="Hyperlink"/>
            <w:sz w:val="20"/>
          </w:rPr>
          <w:t>https://www.mofa.go.jp/files/100573471.pdf</w:t>
        </w:r>
      </w:hyperlink>
      <w:r>
        <w:t xml:space="preserve"> </w:t>
      </w:r>
    </w:p>
  </w:footnote>
  <w:footnote w:id="5">
    <w:p w:rsidR="00A95C06" w:rsidRPr="00D37B1E" w:rsidRDefault="00A95C06" w:rsidP="000D6368">
      <w:pPr>
        <w:pStyle w:val="FootnoteText"/>
        <w:tabs>
          <w:tab w:val="clear" w:pos="256"/>
        </w:tabs>
        <w:spacing w:before="60"/>
        <w:ind w:left="284" w:hanging="284"/>
        <w:rPr>
          <w:lang w:val="en-US"/>
        </w:rPr>
      </w:pPr>
      <w:r>
        <w:rPr>
          <w:rStyle w:val="FootnoteReference"/>
        </w:rPr>
        <w:footnoteRef/>
      </w:r>
      <w:r>
        <w:t xml:space="preserve"> </w:t>
      </w:r>
      <w:r w:rsidR="000D6368">
        <w:tab/>
      </w:r>
      <w:r w:rsidRPr="000D6368">
        <w:rPr>
          <w:sz w:val="20"/>
        </w:rPr>
        <w:t>FACT SHEET: President Biden Issues Executive Order on Safe, Secure, and Trustworthy Artificial Intelligence, available at:</w:t>
      </w:r>
      <w:r w:rsidRPr="000D6368">
        <w:rPr>
          <w:sz w:val="20"/>
        </w:rPr>
        <w:br/>
      </w:r>
      <w:hyperlink r:id="rId5" w:history="1">
        <w:r w:rsidRPr="000D6368">
          <w:rPr>
            <w:rStyle w:val="Hyperlink"/>
            <w:sz w:val="20"/>
            <w:lang w:val="en-US"/>
          </w:rPr>
          <w:t>https://www.whitehouse.gov/briefing-room/statements-releases/2023/10/30/fact-sheet-president-biden-issues-executive-order-on-safe-secure-and-trustworthy-artificial-intelligence/</w:t>
        </w:r>
      </w:hyperlink>
      <w:r>
        <w:rPr>
          <w:lang w:val="en-US"/>
        </w:rPr>
        <w:t xml:space="preserve"> </w:t>
      </w:r>
    </w:p>
  </w:footnote>
  <w:footnote w:id="6">
    <w:p w:rsidR="00D37B1E" w:rsidRPr="00D37B1E" w:rsidRDefault="00D37B1E"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6" w:history="1">
        <w:r w:rsidR="000D6368" w:rsidRPr="000D6368">
          <w:rPr>
            <w:rStyle w:val="Hyperlink"/>
            <w:sz w:val="20"/>
            <w:lang w:val="en-US"/>
          </w:rPr>
          <w:t>https://www.whitehouse.gov/briefing-room/presidential-actions/2023/10/30/executive-order-on-the-safe-secure-and-trustworthy-development-and-use-of-artificial-intelligence/</w:t>
        </w:r>
      </w:hyperlink>
    </w:p>
  </w:footnote>
  <w:footnote w:id="7">
    <w:p w:rsidR="006651D6" w:rsidRPr="006651D6" w:rsidRDefault="006651D6"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7" w:history="1">
        <w:r w:rsidR="000D6368" w:rsidRPr="008A4F65">
          <w:rPr>
            <w:rStyle w:val="Hyperlink"/>
            <w:sz w:val="20"/>
          </w:rPr>
          <w:t>https://gizmodo.com/ai-safety-openai-sam-altman-ouster-back-microsoft-1851038439</w:t>
        </w:r>
      </w:hyperlink>
      <w:r>
        <w:t xml:space="preserve"> </w:t>
      </w:r>
    </w:p>
  </w:footnote>
  <w:footnote w:id="8">
    <w:p w:rsidR="00A670CB" w:rsidRPr="00A670CB" w:rsidRDefault="00A670CB"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8" w:history="1">
        <w:r w:rsidR="000D6368" w:rsidRPr="008A4F65">
          <w:rPr>
            <w:rStyle w:val="Hyperlink"/>
            <w:sz w:val="20"/>
          </w:rPr>
          <w:t>https://www.consilium.europa.eu/en/press/press-releases/2023/12/09/artificial-intelligence-act-council-and-parliament-strike-a-deal-on-the-first-worldwide-rules-for-ai/</w:t>
        </w:r>
      </w:hyperlink>
      <w:r>
        <w:t xml:space="preserve"> </w:t>
      </w:r>
    </w:p>
  </w:footnote>
  <w:footnote w:id="9">
    <w:p w:rsidR="00A670CB" w:rsidRPr="00A670CB" w:rsidRDefault="00A670CB"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9" w:history="1">
        <w:r w:rsidR="000D6368" w:rsidRPr="008A4F65">
          <w:rPr>
            <w:rStyle w:val="Hyperlink"/>
            <w:sz w:val="20"/>
          </w:rPr>
          <w:t>https://data.consilium.europa.eu/doc/document/ST-14954-2022-INIT/en/pdf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rsidTr="00F74694">
      <w:trPr>
        <w:trHeight w:val="1304"/>
        <w:jc w:val="center"/>
      </w:trPr>
      <w:tc>
        <w:tcPr>
          <w:tcW w:w="6546" w:type="dxa"/>
        </w:tcPr>
        <w:p w:rsidR="00AD3606" w:rsidRPr="009621F8" w:rsidRDefault="001E0E54"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63500</wp:posOffset>
                    </wp:positionV>
                    <wp:extent cx="1652905" cy="541020"/>
                    <wp:effectExtent l="0" t="0" r="0" b="0"/>
                    <wp:wrapNone/>
                    <wp:docPr id="15846963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B3F3E"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rsidR="00AD3606" w:rsidRDefault="00AD3606" w:rsidP="00AD3606">
          <w:pPr>
            <w:pStyle w:val="Header"/>
            <w:jc w:val="right"/>
            <w:rPr>
              <w:rFonts w:ascii="Arial" w:hAnsi="Arial" w:cs="Arial"/>
              <w:b/>
              <w:bCs/>
              <w:color w:val="009CD6"/>
              <w:szCs w:val="18"/>
            </w:rPr>
          </w:pPr>
        </w:p>
        <w:p w:rsidR="00AD3606" w:rsidRDefault="00AD3606" w:rsidP="00AD3606">
          <w:pPr>
            <w:pStyle w:val="Header"/>
            <w:jc w:val="right"/>
            <w:rPr>
              <w:rFonts w:ascii="Arial" w:hAnsi="Arial" w:cs="Arial"/>
              <w:b/>
              <w:bCs/>
              <w:color w:val="009CD6"/>
              <w:szCs w:val="18"/>
            </w:rPr>
          </w:pPr>
        </w:p>
        <w:p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rsidR="00AD3606" w:rsidRDefault="001E0E54">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simplePos x="0" y="0"/>
              <wp:positionH relativeFrom="page">
                <wp:posOffset>14605</wp:posOffset>
              </wp:positionH>
              <wp:positionV relativeFrom="topMargin">
                <wp:posOffset>555625</wp:posOffset>
              </wp:positionV>
              <wp:extent cx="93345" cy="431800"/>
              <wp:effectExtent l="0" t="0" r="0" b="0"/>
              <wp:wrapNone/>
              <wp:docPr id="4383063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40BF"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simplePos x="0" y="0"/>
              <wp:positionH relativeFrom="column">
                <wp:posOffset>306705</wp:posOffset>
              </wp:positionH>
              <wp:positionV relativeFrom="paragraph">
                <wp:posOffset>-835660</wp:posOffset>
              </wp:positionV>
              <wp:extent cx="3999230" cy="618490"/>
              <wp:effectExtent l="0" t="0" r="0" b="0"/>
              <wp:wrapNone/>
              <wp:docPr id="6109170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5D2912">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5D2912">
                      <w:rPr>
                        <w:sz w:val="20"/>
                      </w:rPr>
                      <w:t>Second meeting - 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E37E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2FF"/>
    <w:multiLevelType w:val="hybridMultilevel"/>
    <w:tmpl w:val="9AB6A17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8100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5839"/>
    <w:multiLevelType w:val="hybridMultilevel"/>
    <w:tmpl w:val="9BA2067C"/>
    <w:lvl w:ilvl="0" w:tplc="AB406BD0">
      <w:start w:val="2"/>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00F08DC"/>
    <w:multiLevelType w:val="hybridMultilevel"/>
    <w:tmpl w:val="3806C06C"/>
    <w:lvl w:ilvl="0" w:tplc="FC0ACAD0">
      <w:start w:val="2"/>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874A7"/>
    <w:multiLevelType w:val="hybridMultilevel"/>
    <w:tmpl w:val="F8DCC878"/>
    <w:lvl w:ilvl="0" w:tplc="AB406BD0">
      <w:start w:val="2"/>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8E1"/>
    <w:multiLevelType w:val="multilevel"/>
    <w:tmpl w:val="AB3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20AD6"/>
    <w:multiLevelType w:val="hybridMultilevel"/>
    <w:tmpl w:val="C4822530"/>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4202511">
    <w:abstractNumId w:val="0"/>
  </w:num>
  <w:num w:numId="2" w16cid:durableId="1632058065">
    <w:abstractNumId w:val="15"/>
  </w:num>
  <w:num w:numId="3" w16cid:durableId="1022703622">
    <w:abstractNumId w:val="16"/>
  </w:num>
  <w:num w:numId="4" w16cid:durableId="734741784">
    <w:abstractNumId w:val="8"/>
  </w:num>
  <w:num w:numId="5" w16cid:durableId="336467014">
    <w:abstractNumId w:val="10"/>
  </w:num>
  <w:num w:numId="6" w16cid:durableId="498883555">
    <w:abstractNumId w:val="11"/>
  </w:num>
  <w:num w:numId="7" w16cid:durableId="396704159">
    <w:abstractNumId w:val="6"/>
  </w:num>
  <w:num w:numId="8" w16cid:durableId="999115436">
    <w:abstractNumId w:val="5"/>
  </w:num>
  <w:num w:numId="9" w16cid:durableId="1975211874">
    <w:abstractNumId w:val="3"/>
  </w:num>
  <w:num w:numId="10" w16cid:durableId="1171137409">
    <w:abstractNumId w:val="1"/>
  </w:num>
  <w:num w:numId="11" w16cid:durableId="299851342">
    <w:abstractNumId w:val="13"/>
  </w:num>
  <w:num w:numId="12" w16cid:durableId="739794055">
    <w:abstractNumId w:val="12"/>
  </w:num>
  <w:num w:numId="13" w16cid:durableId="457453905">
    <w:abstractNumId w:val="2"/>
  </w:num>
  <w:num w:numId="14" w16cid:durableId="1470778643">
    <w:abstractNumId w:val="9"/>
  </w:num>
  <w:num w:numId="15" w16cid:durableId="1948078704">
    <w:abstractNumId w:val="7"/>
  </w:num>
  <w:num w:numId="16" w16cid:durableId="2031756619">
    <w:abstractNumId w:val="4"/>
  </w:num>
  <w:num w:numId="17" w16cid:durableId="270086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4F2"/>
    <w:rsid w:val="0004693E"/>
    <w:rsid w:val="00063016"/>
    <w:rsid w:val="00066795"/>
    <w:rsid w:val="00076AF6"/>
    <w:rsid w:val="00085CF2"/>
    <w:rsid w:val="000B12B3"/>
    <w:rsid w:val="000B1705"/>
    <w:rsid w:val="000D6368"/>
    <w:rsid w:val="000D75B2"/>
    <w:rsid w:val="000E4EE7"/>
    <w:rsid w:val="001058A4"/>
    <w:rsid w:val="001121F5"/>
    <w:rsid w:val="00112DDE"/>
    <w:rsid w:val="00130599"/>
    <w:rsid w:val="001400DC"/>
    <w:rsid w:val="00140CE1"/>
    <w:rsid w:val="001560FA"/>
    <w:rsid w:val="001569E7"/>
    <w:rsid w:val="001648F9"/>
    <w:rsid w:val="00170B8D"/>
    <w:rsid w:val="0017539C"/>
    <w:rsid w:val="00175AC2"/>
    <w:rsid w:val="0017609F"/>
    <w:rsid w:val="001970E4"/>
    <w:rsid w:val="001A7D1D"/>
    <w:rsid w:val="001B51DD"/>
    <w:rsid w:val="001C628E"/>
    <w:rsid w:val="001E0E54"/>
    <w:rsid w:val="001E0F7B"/>
    <w:rsid w:val="00206301"/>
    <w:rsid w:val="002119FD"/>
    <w:rsid w:val="00211A2B"/>
    <w:rsid w:val="002130E0"/>
    <w:rsid w:val="00244F7F"/>
    <w:rsid w:val="0024789F"/>
    <w:rsid w:val="00257973"/>
    <w:rsid w:val="00262A42"/>
    <w:rsid w:val="00264425"/>
    <w:rsid w:val="00265875"/>
    <w:rsid w:val="0027303B"/>
    <w:rsid w:val="00275CBF"/>
    <w:rsid w:val="0028109B"/>
    <w:rsid w:val="00291CBF"/>
    <w:rsid w:val="00293B38"/>
    <w:rsid w:val="002A2188"/>
    <w:rsid w:val="002A7B2C"/>
    <w:rsid w:val="002B1F58"/>
    <w:rsid w:val="002C1C7A"/>
    <w:rsid w:val="002C54E2"/>
    <w:rsid w:val="002E2A56"/>
    <w:rsid w:val="002F6AF6"/>
    <w:rsid w:val="002F7555"/>
    <w:rsid w:val="0030160F"/>
    <w:rsid w:val="00320223"/>
    <w:rsid w:val="00322D0D"/>
    <w:rsid w:val="003425F0"/>
    <w:rsid w:val="00361465"/>
    <w:rsid w:val="003877F5"/>
    <w:rsid w:val="003919AE"/>
    <w:rsid w:val="003942D4"/>
    <w:rsid w:val="003958A8"/>
    <w:rsid w:val="003C2533"/>
    <w:rsid w:val="003D5A7F"/>
    <w:rsid w:val="004016E2"/>
    <w:rsid w:val="00403B7F"/>
    <w:rsid w:val="0040435A"/>
    <w:rsid w:val="00405C77"/>
    <w:rsid w:val="00416A24"/>
    <w:rsid w:val="00431D9E"/>
    <w:rsid w:val="00433CE8"/>
    <w:rsid w:val="00434A5C"/>
    <w:rsid w:val="004544D9"/>
    <w:rsid w:val="00467314"/>
    <w:rsid w:val="00472BAD"/>
    <w:rsid w:val="00484009"/>
    <w:rsid w:val="00490E72"/>
    <w:rsid w:val="00491157"/>
    <w:rsid w:val="004921C8"/>
    <w:rsid w:val="00495B0B"/>
    <w:rsid w:val="004A1B8B"/>
    <w:rsid w:val="004D1851"/>
    <w:rsid w:val="004D599D"/>
    <w:rsid w:val="004D648B"/>
    <w:rsid w:val="004E2EA5"/>
    <w:rsid w:val="004E31A8"/>
    <w:rsid w:val="004E3AEB"/>
    <w:rsid w:val="0050223C"/>
    <w:rsid w:val="0051595E"/>
    <w:rsid w:val="0051705A"/>
    <w:rsid w:val="00520AC3"/>
    <w:rsid w:val="0052249C"/>
    <w:rsid w:val="005243FF"/>
    <w:rsid w:val="0053640F"/>
    <w:rsid w:val="00564FBC"/>
    <w:rsid w:val="00570890"/>
    <w:rsid w:val="005800BC"/>
    <w:rsid w:val="00582442"/>
    <w:rsid w:val="005A335D"/>
    <w:rsid w:val="005B461F"/>
    <w:rsid w:val="005C3BE5"/>
    <w:rsid w:val="005C7AFB"/>
    <w:rsid w:val="005D0B88"/>
    <w:rsid w:val="005D2912"/>
    <w:rsid w:val="005D45C8"/>
    <w:rsid w:val="005D4E63"/>
    <w:rsid w:val="005E2BD5"/>
    <w:rsid w:val="005F3269"/>
    <w:rsid w:val="006035C0"/>
    <w:rsid w:val="00616C10"/>
    <w:rsid w:val="00623AE3"/>
    <w:rsid w:val="006331F4"/>
    <w:rsid w:val="00636853"/>
    <w:rsid w:val="0064737F"/>
    <w:rsid w:val="006535F1"/>
    <w:rsid w:val="0065557D"/>
    <w:rsid w:val="00660D50"/>
    <w:rsid w:val="00662984"/>
    <w:rsid w:val="006638C3"/>
    <w:rsid w:val="006651D6"/>
    <w:rsid w:val="006716BB"/>
    <w:rsid w:val="006755B7"/>
    <w:rsid w:val="006819A4"/>
    <w:rsid w:val="0069699A"/>
    <w:rsid w:val="006B1859"/>
    <w:rsid w:val="006B6680"/>
    <w:rsid w:val="006B6DCC"/>
    <w:rsid w:val="006C11BB"/>
    <w:rsid w:val="006E4331"/>
    <w:rsid w:val="006E5AA6"/>
    <w:rsid w:val="00702DEF"/>
    <w:rsid w:val="00706861"/>
    <w:rsid w:val="00734FAC"/>
    <w:rsid w:val="00745D44"/>
    <w:rsid w:val="0075051B"/>
    <w:rsid w:val="00775655"/>
    <w:rsid w:val="00777028"/>
    <w:rsid w:val="00781EBE"/>
    <w:rsid w:val="00793188"/>
    <w:rsid w:val="00794D34"/>
    <w:rsid w:val="00794DFC"/>
    <w:rsid w:val="007B08D6"/>
    <w:rsid w:val="007B7DA5"/>
    <w:rsid w:val="007C01FB"/>
    <w:rsid w:val="007C638F"/>
    <w:rsid w:val="007F268B"/>
    <w:rsid w:val="007F6EFC"/>
    <w:rsid w:val="0080358A"/>
    <w:rsid w:val="00813E5E"/>
    <w:rsid w:val="008169FA"/>
    <w:rsid w:val="0082723D"/>
    <w:rsid w:val="0083581B"/>
    <w:rsid w:val="00847E0C"/>
    <w:rsid w:val="00862D3C"/>
    <w:rsid w:val="00863874"/>
    <w:rsid w:val="00864283"/>
    <w:rsid w:val="00864AFF"/>
    <w:rsid w:val="00865925"/>
    <w:rsid w:val="0088630E"/>
    <w:rsid w:val="008B056B"/>
    <w:rsid w:val="008B4A6A"/>
    <w:rsid w:val="008B56F6"/>
    <w:rsid w:val="008C7E27"/>
    <w:rsid w:val="008D03DB"/>
    <w:rsid w:val="008D146D"/>
    <w:rsid w:val="008F7448"/>
    <w:rsid w:val="008F7BC9"/>
    <w:rsid w:val="0090147A"/>
    <w:rsid w:val="009173EF"/>
    <w:rsid w:val="00932906"/>
    <w:rsid w:val="00950BC7"/>
    <w:rsid w:val="00961B0B"/>
    <w:rsid w:val="009622D2"/>
    <w:rsid w:val="00962D33"/>
    <w:rsid w:val="009A3498"/>
    <w:rsid w:val="009B38C3"/>
    <w:rsid w:val="009E17BD"/>
    <w:rsid w:val="009E485A"/>
    <w:rsid w:val="00A028B5"/>
    <w:rsid w:val="00A04CEC"/>
    <w:rsid w:val="00A21F8F"/>
    <w:rsid w:val="00A27F92"/>
    <w:rsid w:val="00A32257"/>
    <w:rsid w:val="00A36D20"/>
    <w:rsid w:val="00A377D7"/>
    <w:rsid w:val="00A514A4"/>
    <w:rsid w:val="00A52C84"/>
    <w:rsid w:val="00A55622"/>
    <w:rsid w:val="00A66F23"/>
    <w:rsid w:val="00A670CB"/>
    <w:rsid w:val="00A73CD8"/>
    <w:rsid w:val="00A83502"/>
    <w:rsid w:val="00A95C06"/>
    <w:rsid w:val="00AC30A5"/>
    <w:rsid w:val="00AD15B3"/>
    <w:rsid w:val="00AD3606"/>
    <w:rsid w:val="00AD4A3D"/>
    <w:rsid w:val="00AE6B7E"/>
    <w:rsid w:val="00AF1EE7"/>
    <w:rsid w:val="00AF29E2"/>
    <w:rsid w:val="00AF6E49"/>
    <w:rsid w:val="00B04A67"/>
    <w:rsid w:val="00B0583C"/>
    <w:rsid w:val="00B40A81"/>
    <w:rsid w:val="00B4436B"/>
    <w:rsid w:val="00B44910"/>
    <w:rsid w:val="00B72267"/>
    <w:rsid w:val="00B76EB6"/>
    <w:rsid w:val="00B7737B"/>
    <w:rsid w:val="00B824C8"/>
    <w:rsid w:val="00B84B9D"/>
    <w:rsid w:val="00B90C7D"/>
    <w:rsid w:val="00BC251A"/>
    <w:rsid w:val="00BC3DED"/>
    <w:rsid w:val="00BD032B"/>
    <w:rsid w:val="00BD4122"/>
    <w:rsid w:val="00BE2640"/>
    <w:rsid w:val="00BF0749"/>
    <w:rsid w:val="00BF7279"/>
    <w:rsid w:val="00C01189"/>
    <w:rsid w:val="00C034E1"/>
    <w:rsid w:val="00C258FB"/>
    <w:rsid w:val="00C33177"/>
    <w:rsid w:val="00C374DE"/>
    <w:rsid w:val="00C463E0"/>
    <w:rsid w:val="00C47AD4"/>
    <w:rsid w:val="00C52D81"/>
    <w:rsid w:val="00C55198"/>
    <w:rsid w:val="00C67880"/>
    <w:rsid w:val="00C73F5F"/>
    <w:rsid w:val="00C77520"/>
    <w:rsid w:val="00CA00B5"/>
    <w:rsid w:val="00CA6393"/>
    <w:rsid w:val="00CB18FF"/>
    <w:rsid w:val="00CC3D47"/>
    <w:rsid w:val="00CD0C08"/>
    <w:rsid w:val="00CD743D"/>
    <w:rsid w:val="00CE03FB"/>
    <w:rsid w:val="00CE433C"/>
    <w:rsid w:val="00CF0161"/>
    <w:rsid w:val="00CF33F3"/>
    <w:rsid w:val="00D06183"/>
    <w:rsid w:val="00D14787"/>
    <w:rsid w:val="00D22C42"/>
    <w:rsid w:val="00D37B1E"/>
    <w:rsid w:val="00D464CC"/>
    <w:rsid w:val="00D53431"/>
    <w:rsid w:val="00D65041"/>
    <w:rsid w:val="00D96E73"/>
    <w:rsid w:val="00DB00D5"/>
    <w:rsid w:val="00DB1936"/>
    <w:rsid w:val="00DB384B"/>
    <w:rsid w:val="00DE2C44"/>
    <w:rsid w:val="00DF0189"/>
    <w:rsid w:val="00E06FD5"/>
    <w:rsid w:val="00E10E80"/>
    <w:rsid w:val="00E124F0"/>
    <w:rsid w:val="00E15C3A"/>
    <w:rsid w:val="00E227F3"/>
    <w:rsid w:val="00E32C21"/>
    <w:rsid w:val="00E530D9"/>
    <w:rsid w:val="00E545C6"/>
    <w:rsid w:val="00E600FE"/>
    <w:rsid w:val="00E60F04"/>
    <w:rsid w:val="00E65B24"/>
    <w:rsid w:val="00E849FB"/>
    <w:rsid w:val="00E854E4"/>
    <w:rsid w:val="00E86DBF"/>
    <w:rsid w:val="00EB0D6F"/>
    <w:rsid w:val="00EB2232"/>
    <w:rsid w:val="00EC5337"/>
    <w:rsid w:val="00ED398B"/>
    <w:rsid w:val="00EE49E8"/>
    <w:rsid w:val="00F00280"/>
    <w:rsid w:val="00F16BAB"/>
    <w:rsid w:val="00F2150A"/>
    <w:rsid w:val="00F231D8"/>
    <w:rsid w:val="00F23745"/>
    <w:rsid w:val="00F23870"/>
    <w:rsid w:val="00F241E9"/>
    <w:rsid w:val="00F44C00"/>
    <w:rsid w:val="00F45D2C"/>
    <w:rsid w:val="00F46C5F"/>
    <w:rsid w:val="00F632C0"/>
    <w:rsid w:val="00F74694"/>
    <w:rsid w:val="00F94A63"/>
    <w:rsid w:val="00FA1C28"/>
    <w:rsid w:val="00FB1279"/>
    <w:rsid w:val="00FB20F6"/>
    <w:rsid w:val="00FB6B76"/>
    <w:rsid w:val="00FB7596"/>
    <w:rsid w:val="00FE4077"/>
    <w:rsid w:val="00FE500D"/>
    <w:rsid w:val="00FE77D2"/>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paragraph" w:customStyle="1" w:styleId="Default">
    <w:name w:val="Default"/>
    <w:basedOn w:val="Normal"/>
    <w:rsid w:val="00F241E9"/>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lang w:val="en-US"/>
    </w:rPr>
  </w:style>
  <w:style w:type="character" w:styleId="UnresolvedMention">
    <w:name w:val="Unresolved Mention"/>
    <w:basedOn w:val="DefaultParagraphFont"/>
    <w:uiPriority w:val="99"/>
    <w:semiHidden/>
    <w:unhideWhenUsed/>
    <w:rsid w:val="000D6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1082">
      <w:bodyDiv w:val="1"/>
      <w:marLeft w:val="0"/>
      <w:marRight w:val="0"/>
      <w:marTop w:val="0"/>
      <w:marBottom w:val="0"/>
      <w:divBdr>
        <w:top w:val="none" w:sz="0" w:space="0" w:color="auto"/>
        <w:left w:val="none" w:sz="0" w:space="0" w:color="auto"/>
        <w:bottom w:val="none" w:sz="0" w:space="0" w:color="auto"/>
        <w:right w:val="none" w:sz="0" w:space="0" w:color="auto"/>
      </w:divBdr>
    </w:div>
    <w:div w:id="223954409">
      <w:bodyDiv w:val="1"/>
      <w:marLeft w:val="0"/>
      <w:marRight w:val="0"/>
      <w:marTop w:val="0"/>
      <w:marBottom w:val="0"/>
      <w:divBdr>
        <w:top w:val="none" w:sz="0" w:space="0" w:color="auto"/>
        <w:left w:val="none" w:sz="0" w:space="0" w:color="auto"/>
        <w:bottom w:val="none" w:sz="0" w:space="0" w:color="auto"/>
        <w:right w:val="none" w:sz="0" w:space="0" w:color="auto"/>
      </w:divBdr>
    </w:div>
    <w:div w:id="318312099">
      <w:bodyDiv w:val="1"/>
      <w:marLeft w:val="0"/>
      <w:marRight w:val="0"/>
      <w:marTop w:val="0"/>
      <w:marBottom w:val="0"/>
      <w:divBdr>
        <w:top w:val="none" w:sz="0" w:space="0" w:color="auto"/>
        <w:left w:val="none" w:sz="0" w:space="0" w:color="auto"/>
        <w:bottom w:val="none" w:sz="0" w:space="0" w:color="auto"/>
        <w:right w:val="none" w:sz="0" w:space="0" w:color="auto"/>
      </w:divBdr>
    </w:div>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070927307">
      <w:bodyDiv w:val="1"/>
      <w:marLeft w:val="0"/>
      <w:marRight w:val="0"/>
      <w:marTop w:val="0"/>
      <w:marBottom w:val="0"/>
      <w:divBdr>
        <w:top w:val="none" w:sz="0" w:space="0" w:color="auto"/>
        <w:left w:val="none" w:sz="0" w:space="0" w:color="auto"/>
        <w:bottom w:val="none" w:sz="0" w:space="0" w:color="auto"/>
        <w:right w:val="none" w:sz="0" w:space="0" w:color="auto"/>
      </w:divBdr>
    </w:div>
    <w:div w:id="1238632204">
      <w:bodyDiv w:val="1"/>
      <w:marLeft w:val="0"/>
      <w:marRight w:val="0"/>
      <w:marTop w:val="0"/>
      <w:marBottom w:val="0"/>
      <w:divBdr>
        <w:top w:val="none" w:sz="0" w:space="0" w:color="auto"/>
        <w:left w:val="none" w:sz="0" w:space="0" w:color="auto"/>
        <w:bottom w:val="none" w:sz="0" w:space="0" w:color="auto"/>
        <w:right w:val="none" w:sz="0" w:space="0" w:color="auto"/>
      </w:divBdr>
    </w:div>
    <w:div w:id="1319456453">
      <w:bodyDiv w:val="1"/>
      <w:marLeft w:val="0"/>
      <w:marRight w:val="0"/>
      <w:marTop w:val="0"/>
      <w:marBottom w:val="0"/>
      <w:divBdr>
        <w:top w:val="none" w:sz="0" w:space="0" w:color="auto"/>
        <w:left w:val="none" w:sz="0" w:space="0" w:color="auto"/>
        <w:bottom w:val="none" w:sz="0" w:space="0" w:color="auto"/>
        <w:right w:val="none" w:sz="0" w:space="0" w:color="auto"/>
      </w:divBdr>
    </w:div>
    <w:div w:id="1358577591">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 w:id="1423841417">
      <w:bodyDiv w:val="1"/>
      <w:marLeft w:val="0"/>
      <w:marRight w:val="0"/>
      <w:marTop w:val="0"/>
      <w:marBottom w:val="0"/>
      <w:divBdr>
        <w:top w:val="none" w:sz="0" w:space="0" w:color="auto"/>
        <w:left w:val="none" w:sz="0" w:space="0" w:color="auto"/>
        <w:bottom w:val="none" w:sz="0" w:space="0" w:color="auto"/>
        <w:right w:val="none" w:sz="0" w:space="0" w:color="auto"/>
      </w:divBdr>
    </w:div>
    <w:div w:id="1540706307">
      <w:bodyDiv w:val="1"/>
      <w:marLeft w:val="0"/>
      <w:marRight w:val="0"/>
      <w:marTop w:val="0"/>
      <w:marBottom w:val="0"/>
      <w:divBdr>
        <w:top w:val="none" w:sz="0" w:space="0" w:color="auto"/>
        <w:left w:val="none" w:sz="0" w:space="0" w:color="auto"/>
        <w:bottom w:val="none" w:sz="0" w:space="0" w:color="auto"/>
        <w:right w:val="none" w:sz="0" w:space="0" w:color="auto"/>
      </w:divBdr>
    </w:div>
    <w:div w:id="2104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rec/T-REC-Y.3174-202002-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T-REC-Y.3173-20200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EGITRS1-C-000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T-REC-Y.Sup55-201910-I" TargetMode="External"/><Relationship Id="rId5" Type="http://schemas.openxmlformats.org/officeDocument/2006/relationships/webSettings" Target="webSettings.xml"/><Relationship Id="rId15" Type="http://schemas.openxmlformats.org/officeDocument/2006/relationships/hyperlink" Target="https://www.itu.int/md/S23-EGITRS1-C-0002/en" TargetMode="External"/><Relationship Id="rId10" Type="http://schemas.openxmlformats.org/officeDocument/2006/relationships/hyperlink" Target="https://www.itu.int/rec/T-REC-Y.3172-201906-I/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hyperlink" Target="https://www.itu.int/rec/T-REC-Y.3176-202009-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en/press/press-releases/2023/12/09/artificial-intelligence-act-council-and-parliament-strike-a-deal-on-the-first-worldwide-rules-for-ai/" TargetMode="External"/><Relationship Id="rId3" Type="http://schemas.openxmlformats.org/officeDocument/2006/relationships/hyperlink" Target="https://www.un.org/techenvoy/ai-advisory-body" TargetMode="External"/><Relationship Id="rId7" Type="http://schemas.openxmlformats.org/officeDocument/2006/relationships/hyperlink" Target="https://gizmodo.com/ai-safety-openai-sam-altman-ouster-back-microsoft-1851038439" TargetMode="External"/><Relationship Id="rId2" Type="http://schemas.openxmlformats.org/officeDocument/2006/relationships/hyperlink" Target="https://www.itu.int/ITU-T/workprog/wp_item.aspx?isn=18153" TargetMode="External"/><Relationship Id="rId1" Type="http://schemas.openxmlformats.org/officeDocument/2006/relationships/hyperlink" Target="https://www.itu.int/en/ITU-T/focusgroups/ml5g/Pages/default.aspx" TargetMode="External"/><Relationship Id="rId6" Type="http://schemas.openxmlformats.org/officeDocument/2006/relationships/hyperlink" Target="https://www.whitehouse.gov/briefing-room/presidential-actions/2023/10/30/executive-order-on-the-safe-secure-and-trustworthy-development-and-use-of-artificial-intelligence/" TargetMode="External"/><Relationship Id="rId5" Type="http://schemas.openxmlformats.org/officeDocument/2006/relationships/hyperlink" Target="https://www.whitehouse.gov/briefing-room/statements-releases/2023/10/30/fact-sheet-president-biden-issues-executive-order-on-safe-secure-and-trustworthy-artificial-intelligence/" TargetMode="External"/><Relationship Id="rId4" Type="http://schemas.openxmlformats.org/officeDocument/2006/relationships/hyperlink" Target="https://www.mofa.go.jp/files/100573471.pdf" TargetMode="External"/><Relationship Id="rId9" Type="http://schemas.openxmlformats.org/officeDocument/2006/relationships/hyperlink" Target="https://data.consilium.europa.eu/doc/document/ST-14954-2022-INI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F3A9-5289-49D9-97C3-583E6CEB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1252</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9233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
  <cp:keywords>EG-ITRs, C23, Council-23, C23-ADD</cp:keywords>
  <dc:description/>
  <cp:lastModifiedBy/>
  <cp:revision>1</cp:revision>
  <dcterms:created xsi:type="dcterms:W3CDTF">2023-12-14T06:57:00Z</dcterms:created>
  <dcterms:modified xsi:type="dcterms:W3CDTF">2023-12-14T08:25:00Z</dcterms:modified>
  <cp:category>Conference document</cp:category>
</cp:coreProperties>
</file>