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9224F" w14:paraId="0043AC80" w14:textId="77777777" w:rsidTr="00AD3606">
        <w:trPr>
          <w:cantSplit/>
          <w:trHeight w:val="23"/>
        </w:trPr>
        <w:tc>
          <w:tcPr>
            <w:tcW w:w="3969" w:type="dxa"/>
            <w:vMerge w:val="restart"/>
            <w:tcMar>
              <w:left w:w="0" w:type="dxa"/>
            </w:tcMar>
          </w:tcPr>
          <w:p w14:paraId="60A806D3" w14:textId="6316C87D" w:rsidR="00AD3606" w:rsidRPr="0089224F"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1FD01A4" w:rsidR="00AD3606" w:rsidRPr="0089224F" w:rsidRDefault="00AD3606" w:rsidP="00472BAD">
            <w:pPr>
              <w:tabs>
                <w:tab w:val="left" w:pos="851"/>
              </w:tabs>
              <w:spacing w:before="0" w:line="240" w:lineRule="atLeast"/>
              <w:jc w:val="right"/>
              <w:rPr>
                <w:b/>
              </w:rPr>
            </w:pPr>
            <w:r w:rsidRPr="0089224F">
              <w:rPr>
                <w:b/>
              </w:rPr>
              <w:t xml:space="preserve">Document </w:t>
            </w:r>
            <w:r w:rsidR="00A028B5" w:rsidRPr="0089224F">
              <w:rPr>
                <w:b/>
              </w:rPr>
              <w:t>EG-ITRs</w:t>
            </w:r>
            <w:r w:rsidR="00A52C84" w:rsidRPr="0089224F">
              <w:rPr>
                <w:b/>
              </w:rPr>
              <w:t>-</w:t>
            </w:r>
            <w:r w:rsidR="009D024E" w:rsidRPr="0089224F">
              <w:rPr>
                <w:b/>
              </w:rPr>
              <w:t>2</w:t>
            </w:r>
            <w:r w:rsidRPr="0089224F">
              <w:rPr>
                <w:b/>
              </w:rPr>
              <w:t>/</w:t>
            </w:r>
            <w:r w:rsidR="006D7A3B" w:rsidRPr="0089224F">
              <w:rPr>
                <w:b/>
              </w:rPr>
              <w:t>17</w:t>
            </w:r>
          </w:p>
        </w:tc>
      </w:tr>
      <w:tr w:rsidR="00AD3606" w:rsidRPr="0089224F" w14:paraId="789B45BA" w14:textId="77777777" w:rsidTr="00AD3606">
        <w:trPr>
          <w:cantSplit/>
        </w:trPr>
        <w:tc>
          <w:tcPr>
            <w:tcW w:w="3969" w:type="dxa"/>
            <w:vMerge/>
          </w:tcPr>
          <w:p w14:paraId="3F3D4E17" w14:textId="77777777" w:rsidR="00AD3606" w:rsidRPr="0089224F"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75FC42AC" w:rsidR="00AD3606" w:rsidRPr="0089224F" w:rsidRDefault="006D7A3B" w:rsidP="00AD3606">
            <w:pPr>
              <w:tabs>
                <w:tab w:val="left" w:pos="851"/>
              </w:tabs>
              <w:spacing w:before="0"/>
              <w:jc w:val="right"/>
              <w:rPr>
                <w:b/>
              </w:rPr>
            </w:pPr>
            <w:r w:rsidRPr="0089224F">
              <w:rPr>
                <w:b/>
              </w:rPr>
              <w:t xml:space="preserve">17 </w:t>
            </w:r>
            <w:r w:rsidR="0083408D" w:rsidRPr="0089224F">
              <w:rPr>
                <w:b/>
              </w:rPr>
              <w:t>January 2024</w:t>
            </w:r>
          </w:p>
        </w:tc>
      </w:tr>
      <w:tr w:rsidR="00AD3606" w:rsidRPr="0089224F" w14:paraId="58A84C4A" w14:textId="77777777" w:rsidTr="00AD3606">
        <w:trPr>
          <w:cantSplit/>
          <w:trHeight w:val="23"/>
        </w:trPr>
        <w:tc>
          <w:tcPr>
            <w:tcW w:w="3969" w:type="dxa"/>
            <w:vMerge/>
          </w:tcPr>
          <w:p w14:paraId="77CEDDAA" w14:textId="77777777" w:rsidR="00AD3606" w:rsidRPr="0089224F" w:rsidRDefault="00AD3606" w:rsidP="00AD3606">
            <w:pPr>
              <w:tabs>
                <w:tab w:val="left" w:pos="851"/>
              </w:tabs>
              <w:spacing w:line="240" w:lineRule="atLeast"/>
              <w:rPr>
                <w:b/>
              </w:rPr>
            </w:pPr>
            <w:bookmarkStart w:id="7" w:name="dorlang" w:colFirst="1" w:colLast="1"/>
            <w:bookmarkEnd w:id="6"/>
          </w:p>
        </w:tc>
        <w:tc>
          <w:tcPr>
            <w:tcW w:w="5245" w:type="dxa"/>
          </w:tcPr>
          <w:p w14:paraId="561AAE94" w14:textId="0355724C" w:rsidR="00AD3606" w:rsidRPr="0089224F" w:rsidRDefault="00A028B5" w:rsidP="00AD3606">
            <w:pPr>
              <w:tabs>
                <w:tab w:val="left" w:pos="851"/>
              </w:tabs>
              <w:spacing w:before="0" w:line="240" w:lineRule="atLeast"/>
              <w:jc w:val="right"/>
              <w:rPr>
                <w:b/>
              </w:rPr>
            </w:pPr>
            <w:r w:rsidRPr="0089224F">
              <w:rPr>
                <w:b/>
              </w:rPr>
              <w:t>English</w:t>
            </w:r>
            <w:r w:rsidR="006D7A3B" w:rsidRPr="0089224F">
              <w:rPr>
                <w:b/>
              </w:rPr>
              <w:t xml:space="preserve"> only</w:t>
            </w:r>
          </w:p>
        </w:tc>
      </w:tr>
      <w:tr w:rsidR="00472BAD" w:rsidRPr="0089224F" w14:paraId="12C5EF5F" w14:textId="77777777" w:rsidTr="00AD3606">
        <w:trPr>
          <w:cantSplit/>
          <w:trHeight w:val="23"/>
        </w:trPr>
        <w:tc>
          <w:tcPr>
            <w:tcW w:w="3969" w:type="dxa"/>
          </w:tcPr>
          <w:p w14:paraId="4B839BA2" w14:textId="77777777" w:rsidR="00472BAD" w:rsidRPr="0089224F" w:rsidRDefault="00472BAD" w:rsidP="00AD3606">
            <w:pPr>
              <w:tabs>
                <w:tab w:val="left" w:pos="851"/>
              </w:tabs>
              <w:spacing w:line="240" w:lineRule="atLeast"/>
              <w:rPr>
                <w:b/>
              </w:rPr>
            </w:pPr>
          </w:p>
        </w:tc>
        <w:tc>
          <w:tcPr>
            <w:tcW w:w="5245" w:type="dxa"/>
          </w:tcPr>
          <w:p w14:paraId="12F66D25" w14:textId="77777777" w:rsidR="00472BAD" w:rsidRPr="0089224F" w:rsidRDefault="00472BAD" w:rsidP="00AD3606">
            <w:pPr>
              <w:tabs>
                <w:tab w:val="left" w:pos="851"/>
              </w:tabs>
              <w:spacing w:before="0" w:line="240" w:lineRule="atLeast"/>
              <w:jc w:val="right"/>
              <w:rPr>
                <w:b/>
              </w:rPr>
            </w:pPr>
          </w:p>
        </w:tc>
      </w:tr>
      <w:tr w:rsidR="00AD3606" w:rsidRPr="0089224F" w14:paraId="27000B2A" w14:textId="77777777" w:rsidTr="00AD3606">
        <w:trPr>
          <w:cantSplit/>
        </w:trPr>
        <w:tc>
          <w:tcPr>
            <w:tcW w:w="9214" w:type="dxa"/>
            <w:gridSpan w:val="2"/>
            <w:tcMar>
              <w:left w:w="0" w:type="dxa"/>
            </w:tcMar>
          </w:tcPr>
          <w:p w14:paraId="4E7CDB90" w14:textId="3D813315" w:rsidR="00AD3606" w:rsidRPr="0089224F" w:rsidRDefault="00244F7F" w:rsidP="009D024E">
            <w:pPr>
              <w:pStyle w:val="Source"/>
              <w:framePr w:hSpace="0" w:wrap="auto" w:vAnchor="margin" w:hAnchor="text" w:xAlign="left" w:yAlign="inline"/>
            </w:pPr>
            <w:bookmarkStart w:id="8" w:name="dsource" w:colFirst="0" w:colLast="0"/>
            <w:bookmarkEnd w:id="7"/>
            <w:r w:rsidRPr="0089224F">
              <w:t>Contribution</w:t>
            </w:r>
            <w:r w:rsidR="00AD3606" w:rsidRPr="0089224F">
              <w:t xml:space="preserve"> </w:t>
            </w:r>
            <w:r w:rsidR="00842B11" w:rsidRPr="0089224F">
              <w:t xml:space="preserve">from </w:t>
            </w:r>
            <w:r w:rsidR="006D7A3B" w:rsidRPr="0089224F">
              <w:t>Ghana, Kenya</w:t>
            </w:r>
            <w:r w:rsidR="006D7A3B" w:rsidRPr="0089224F">
              <w:t xml:space="preserve"> (Republic of)</w:t>
            </w:r>
            <w:r w:rsidR="006D7A3B" w:rsidRPr="0089224F">
              <w:t>, South Africa</w:t>
            </w:r>
            <w:r w:rsidR="006D7A3B" w:rsidRPr="0089224F">
              <w:t xml:space="preserve"> (Republic of),</w:t>
            </w:r>
            <w:r w:rsidR="006D7A3B" w:rsidRPr="0089224F">
              <w:t xml:space="preserve"> and Tanzania</w:t>
            </w:r>
            <w:r w:rsidR="006D7A3B" w:rsidRPr="0089224F">
              <w:t xml:space="preserve"> (United Republic of)</w:t>
            </w:r>
          </w:p>
        </w:tc>
      </w:tr>
      <w:tr w:rsidR="00AD3606" w:rsidRPr="0089224F" w14:paraId="2340750D" w14:textId="77777777" w:rsidTr="00AD3606">
        <w:trPr>
          <w:cantSplit/>
        </w:trPr>
        <w:tc>
          <w:tcPr>
            <w:tcW w:w="9214" w:type="dxa"/>
            <w:gridSpan w:val="2"/>
            <w:tcMar>
              <w:left w:w="0" w:type="dxa"/>
            </w:tcMar>
          </w:tcPr>
          <w:p w14:paraId="47B91AA8" w14:textId="156ACE83" w:rsidR="00AD3606" w:rsidRPr="0089224F" w:rsidRDefault="00573B30" w:rsidP="009D024E">
            <w:pPr>
              <w:pStyle w:val="Subtitle"/>
              <w:framePr w:hSpace="0" w:wrap="auto" w:xAlign="left" w:yAlign="inline"/>
              <w:rPr>
                <w:spacing w:val="-2"/>
                <w:sz w:val="31"/>
                <w:szCs w:val="31"/>
              </w:rPr>
            </w:pPr>
            <w:bookmarkStart w:id="9" w:name="dtitle1" w:colFirst="0" w:colLast="0"/>
            <w:bookmarkEnd w:id="8"/>
            <w:r w:rsidRPr="0089224F">
              <w:rPr>
                <w:sz w:val="31"/>
                <w:szCs w:val="31"/>
              </w:rPr>
              <w:t>EMPIRICAL DATA ON THE CURRENT USE OF THE ITRS BY OPERATING AGENCIES AND/OR ADMINISTRATIONS AND THE PROPORTION OF</w:t>
            </w:r>
            <w:r w:rsidRPr="0089224F">
              <w:rPr>
                <w:spacing w:val="-2"/>
                <w:sz w:val="31"/>
                <w:szCs w:val="31"/>
              </w:rPr>
              <w:t xml:space="preserve"> </w:t>
            </w:r>
            <w:r w:rsidRPr="0089224F">
              <w:rPr>
                <w:spacing w:val="-4"/>
                <w:sz w:val="31"/>
                <w:szCs w:val="31"/>
              </w:rPr>
              <w:t>GLOBAL TELECOMMUNICATION SERVICES WHICH NOW RELY ON THE ITRS</w:t>
            </w:r>
          </w:p>
        </w:tc>
      </w:tr>
      <w:tr w:rsidR="00AD3606" w:rsidRPr="0089224F"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1F40E0A1" w:rsidR="004D648B" w:rsidRPr="0089224F" w:rsidRDefault="004D648B" w:rsidP="004D648B">
            <w:pPr>
              <w:spacing w:before="160"/>
              <w:rPr>
                <w:b/>
                <w:bCs/>
                <w:sz w:val="26"/>
                <w:szCs w:val="26"/>
              </w:rPr>
            </w:pPr>
            <w:r w:rsidRPr="0089224F">
              <w:rPr>
                <w:b/>
                <w:bCs/>
                <w:sz w:val="26"/>
                <w:szCs w:val="26"/>
              </w:rPr>
              <w:t>Purpose</w:t>
            </w:r>
          </w:p>
          <w:p w14:paraId="7B62C026" w14:textId="0CB9C91E" w:rsidR="004D648B" w:rsidRPr="0089224F" w:rsidRDefault="00573B30" w:rsidP="004D648B">
            <w:pPr>
              <w:spacing w:before="160"/>
              <w:rPr>
                <w:szCs w:val="24"/>
              </w:rPr>
            </w:pPr>
            <w:r w:rsidRPr="0089224F">
              <w:rPr>
                <w:szCs w:val="24"/>
              </w:rPr>
              <w:t>The purpose is to provide empirical evidence regarding the use of the International Telecommunications Regulations 1988/2012.</w:t>
            </w:r>
          </w:p>
          <w:p w14:paraId="16727A07" w14:textId="77777777" w:rsidR="004D648B" w:rsidRPr="0089224F" w:rsidRDefault="004D648B" w:rsidP="004D648B">
            <w:pPr>
              <w:spacing w:before="160"/>
              <w:rPr>
                <w:b/>
                <w:bCs/>
                <w:sz w:val="26"/>
                <w:szCs w:val="26"/>
              </w:rPr>
            </w:pPr>
            <w:r w:rsidRPr="0089224F">
              <w:rPr>
                <w:b/>
                <w:bCs/>
                <w:sz w:val="26"/>
                <w:szCs w:val="26"/>
              </w:rPr>
              <w:t xml:space="preserve">Action </w:t>
            </w:r>
            <w:proofErr w:type="gramStart"/>
            <w:r w:rsidRPr="0089224F">
              <w:rPr>
                <w:b/>
                <w:bCs/>
                <w:sz w:val="26"/>
                <w:szCs w:val="26"/>
              </w:rPr>
              <w:t>required</w:t>
            </w:r>
            <w:proofErr w:type="gramEnd"/>
          </w:p>
          <w:p w14:paraId="40C01AB6" w14:textId="0C82E96A" w:rsidR="004D648B" w:rsidRPr="0089224F" w:rsidRDefault="00573B30" w:rsidP="004D648B">
            <w:pPr>
              <w:spacing w:before="160"/>
              <w:rPr>
                <w:b/>
                <w:bCs/>
                <w:szCs w:val="24"/>
              </w:rPr>
            </w:pPr>
            <w:r w:rsidRPr="0089224F">
              <w:t xml:space="preserve">This document is submitted to EG-ITRs </w:t>
            </w:r>
            <w:r w:rsidRPr="0089224F">
              <w:rPr>
                <w:b/>
                <w:bCs/>
              </w:rPr>
              <w:t>for consideration</w:t>
            </w:r>
            <w:r w:rsidRPr="0089224F">
              <w:t xml:space="preserve"> and </w:t>
            </w:r>
            <w:r w:rsidRPr="0089224F">
              <w:rPr>
                <w:b/>
                <w:bCs/>
              </w:rPr>
              <w:t>to also note</w:t>
            </w:r>
            <w:r w:rsidRPr="0089224F">
              <w:t xml:space="preserve"> the continued relevance of some of the provisions/principles contained in the ITRs.</w:t>
            </w:r>
          </w:p>
          <w:p w14:paraId="0175CD6C" w14:textId="225B7EB7" w:rsidR="00AD3606" w:rsidRPr="0089224F" w:rsidRDefault="00AD3606" w:rsidP="00F16BAB">
            <w:pPr>
              <w:spacing w:after="160"/>
            </w:pPr>
          </w:p>
        </w:tc>
      </w:tr>
    </w:tbl>
    <w:p w14:paraId="4CDB8B60" w14:textId="77777777" w:rsidR="00E227F3" w:rsidRPr="0089224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89224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9224F">
        <w:br w:type="page"/>
      </w:r>
    </w:p>
    <w:bookmarkEnd w:id="5"/>
    <w:bookmarkEnd w:id="10"/>
    <w:p w14:paraId="4F02EBC6" w14:textId="68A9BC27" w:rsidR="00573B30" w:rsidRPr="0089224F" w:rsidRDefault="00573B30" w:rsidP="00573B30">
      <w:pPr>
        <w:tabs>
          <w:tab w:val="clear" w:pos="567"/>
          <w:tab w:val="clear" w:pos="1134"/>
          <w:tab w:val="clear" w:pos="1701"/>
          <w:tab w:val="clear" w:pos="2268"/>
          <w:tab w:val="clear" w:pos="2835"/>
        </w:tabs>
        <w:overflowPunct/>
        <w:autoSpaceDE/>
        <w:autoSpaceDN/>
        <w:adjustRightInd/>
        <w:spacing w:after="240"/>
        <w:textAlignment w:val="auto"/>
        <w:rPr>
          <w:b/>
          <w:bCs/>
          <w:sz w:val="26"/>
          <w:szCs w:val="26"/>
        </w:rPr>
      </w:pPr>
      <w:r w:rsidRPr="0089224F">
        <w:rPr>
          <w:b/>
          <w:bCs/>
          <w:sz w:val="26"/>
          <w:szCs w:val="26"/>
        </w:rPr>
        <w:lastRenderedPageBreak/>
        <w:t>1</w:t>
      </w:r>
      <w:r w:rsidRPr="0089224F">
        <w:rPr>
          <w:b/>
          <w:bCs/>
          <w:sz w:val="26"/>
          <w:szCs w:val="26"/>
        </w:rPr>
        <w:t>.</w:t>
      </w:r>
      <w:r w:rsidRPr="0089224F">
        <w:rPr>
          <w:b/>
          <w:bCs/>
          <w:sz w:val="26"/>
          <w:szCs w:val="26"/>
        </w:rPr>
        <w:tab/>
        <w:t>Current Application of the ITRs by some African Countries:</w:t>
      </w:r>
    </w:p>
    <w:p w14:paraId="502F7F36"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after="120"/>
        <w:textAlignment w:val="auto"/>
      </w:pPr>
      <w:r w:rsidRPr="0089224F">
        <w:t>This contribution highlights the use of the ITRs by some African countries. It is the intention of the contributors, as the EG-ITRs continues to hold meetings and perform its duties in line with the TORs, to provide additional information regarding African countries that implements and/or relies on the ITRs.</w:t>
      </w:r>
    </w:p>
    <w:p w14:paraId="548ABE4E"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before="360" w:after="120"/>
        <w:textAlignment w:val="auto"/>
        <w:rPr>
          <w:b/>
          <w:bCs/>
          <w:u w:val="single"/>
        </w:rPr>
      </w:pPr>
      <w:r w:rsidRPr="0089224F">
        <w:rPr>
          <w:b/>
          <w:bCs/>
          <w:u w:val="single"/>
        </w:rPr>
        <w:t>South Africa:</w:t>
      </w:r>
    </w:p>
    <w:p w14:paraId="293BB9AF"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after="120"/>
        <w:textAlignment w:val="auto"/>
        <w:rPr>
          <w:b/>
          <w:bCs/>
        </w:rPr>
      </w:pPr>
      <w:r w:rsidRPr="0089224F">
        <w:rPr>
          <w:b/>
          <w:bCs/>
        </w:rPr>
        <w:t>Articles 3 &amp; 4 of the 1988/2012 ITRs -</w:t>
      </w:r>
    </w:p>
    <w:p w14:paraId="42048E6A"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after="120"/>
        <w:textAlignment w:val="auto"/>
        <w:rPr>
          <w:b/>
          <w:bCs/>
        </w:rPr>
      </w:pPr>
      <w:r w:rsidRPr="0089224F">
        <w:rPr>
          <w:b/>
          <w:bCs/>
        </w:rPr>
        <w:t>The Electronic Communications Act, 2005 (Act No. 36 of 2005):</w:t>
      </w:r>
    </w:p>
    <w:p w14:paraId="5DA528F3"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after="120"/>
        <w:textAlignment w:val="auto"/>
      </w:pPr>
      <w:r w:rsidRPr="0089224F">
        <w:t>The objects of the Electronic Communications Act, 2005 (ECA), amongst others, is to:</w:t>
      </w:r>
    </w:p>
    <w:p w14:paraId="2420DE1A"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after="120"/>
        <w:ind w:left="993" w:hanging="426"/>
        <w:textAlignment w:val="auto"/>
      </w:pPr>
      <w:r w:rsidRPr="0089224F">
        <w:t>(a)</w:t>
      </w:r>
      <w:r w:rsidRPr="0089224F">
        <w:tab/>
        <w:t xml:space="preserve">promote and facilitate the development of interoperable and interconnected electronic </w:t>
      </w:r>
      <w:proofErr w:type="gramStart"/>
      <w:r w:rsidRPr="0089224F">
        <w:t>networks;</w:t>
      </w:r>
      <w:proofErr w:type="gramEnd"/>
    </w:p>
    <w:p w14:paraId="1BF54D89"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after="120"/>
        <w:ind w:left="993" w:hanging="426"/>
        <w:textAlignment w:val="auto"/>
      </w:pPr>
      <w:r w:rsidRPr="0089224F">
        <w:t>(b)</w:t>
      </w:r>
      <w:r w:rsidRPr="0089224F">
        <w:tab/>
        <w:t xml:space="preserve">promote the universal provision of electronic communications networks and electronic communications services and connectivity for </w:t>
      </w:r>
      <w:proofErr w:type="gramStart"/>
      <w:r w:rsidRPr="0089224F">
        <w:t>all;</w:t>
      </w:r>
      <w:proofErr w:type="gramEnd"/>
    </w:p>
    <w:p w14:paraId="2CAC3C30"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after="120"/>
        <w:ind w:left="993" w:hanging="426"/>
        <w:textAlignment w:val="auto"/>
      </w:pPr>
      <w:r w:rsidRPr="0089224F">
        <w:t>(c)</w:t>
      </w:r>
      <w:r w:rsidRPr="0089224F">
        <w:tab/>
        <w:t xml:space="preserve">promote an environment of open, fair and non-discriminatory access to electronic communications networks and to electronic communications </w:t>
      </w:r>
      <w:proofErr w:type="gramStart"/>
      <w:r w:rsidRPr="0089224F">
        <w:t>services;</w:t>
      </w:r>
      <w:proofErr w:type="gramEnd"/>
    </w:p>
    <w:p w14:paraId="668DD8D9"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after="120"/>
        <w:ind w:left="993" w:hanging="426"/>
        <w:textAlignment w:val="auto"/>
      </w:pPr>
      <w:r w:rsidRPr="0089224F">
        <w:t>(d)</w:t>
      </w:r>
      <w:r w:rsidRPr="0089224F">
        <w:tab/>
        <w:t xml:space="preserve"> ensure the provision of a variety of quality electronic communications services at reasonable prices; and</w:t>
      </w:r>
    </w:p>
    <w:p w14:paraId="6AC4EDBF"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after="120"/>
        <w:ind w:left="993" w:hanging="426"/>
        <w:textAlignment w:val="auto"/>
      </w:pPr>
      <w:r w:rsidRPr="0089224F">
        <w:t>(e)</w:t>
      </w:r>
      <w:r w:rsidRPr="0089224F">
        <w:tab/>
        <w:t xml:space="preserve">promote the interests of consumers </w:t>
      </w:r>
      <w:proofErr w:type="gramStart"/>
      <w:r w:rsidRPr="0089224F">
        <w:t>with regard to</w:t>
      </w:r>
      <w:proofErr w:type="gramEnd"/>
      <w:r w:rsidRPr="0089224F">
        <w:t xml:space="preserve"> the price, quality and the variety of electronic communications services.</w:t>
      </w:r>
    </w:p>
    <w:p w14:paraId="2FE97C65"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before="240" w:after="120"/>
        <w:textAlignment w:val="auto"/>
      </w:pPr>
      <w:r w:rsidRPr="0089224F">
        <w:t>Section 37 (6) of the ECA provides that “ The interconnection agreement entered into by a licensee … must, unless otherwise requested by the party seeking interconnection, be non-discriminatory as among comparable types of interconnection and not be of a lower technical standard and quality than the technical standard and quality provided by such licensee to itself or to an affiliate or in any other way discriminatory compared to the comparable network services provided by such licensee to itself or to an affiliate.”</w:t>
      </w:r>
    </w:p>
    <w:p w14:paraId="1EF6B68E"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before="240" w:after="120"/>
        <w:textAlignment w:val="auto"/>
      </w:pPr>
      <w:r w:rsidRPr="0089224F">
        <w:t xml:space="preserve">The objects of the ECA and the provisions of section 37 (6) facilitate the provision of international telecommunications services and international network. </w:t>
      </w:r>
    </w:p>
    <w:p w14:paraId="410C9D5A"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before="240" w:after="120"/>
        <w:textAlignment w:val="auto"/>
      </w:pPr>
      <w:r w:rsidRPr="0089224F">
        <w:t>Section 43 (1) of the ECA provides that “… electronic communications network service licensee must, on request, lease electronic communications facilities to any other person licensed in terms of this Act and persons providing services pursuant to a licence exemption in accordance with the terms and conditions of an electronic communications facilities leasing agreement entered into between the parties, unless such request is unreasonable”.</w:t>
      </w:r>
    </w:p>
    <w:p w14:paraId="64B3C081"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after="120"/>
        <w:textAlignment w:val="auto"/>
      </w:pPr>
      <w:r w:rsidRPr="0089224F">
        <w:t>Section 43 (1) of the ECA is very useful in circumstances where an individual licensee does not have coverage in certain geographical areas in the Republic.</w:t>
      </w:r>
    </w:p>
    <w:p w14:paraId="4711CD13" w14:textId="77777777" w:rsidR="00573B30" w:rsidRPr="0089224F" w:rsidRDefault="00573B30" w:rsidP="00573B30">
      <w:pPr>
        <w:tabs>
          <w:tab w:val="clear" w:pos="567"/>
          <w:tab w:val="clear" w:pos="1134"/>
          <w:tab w:val="clear" w:pos="1701"/>
          <w:tab w:val="clear" w:pos="2268"/>
          <w:tab w:val="clear" w:pos="2835"/>
        </w:tabs>
        <w:overflowPunct/>
        <w:autoSpaceDE/>
        <w:autoSpaceDN/>
        <w:adjustRightInd/>
        <w:spacing w:before="240" w:after="120"/>
        <w:textAlignment w:val="auto"/>
      </w:pPr>
      <w:r w:rsidRPr="0089224F">
        <w:t>Further to the above, section 43 (10) of the ECA provides that “An electronic communications network service licensee may not enter into any agreement or other arrangement with any person for access to, or use of, any international electronic communications facilities, including submarine cables and satellites, that –</w:t>
      </w:r>
    </w:p>
    <w:p w14:paraId="277C76A1" w14:textId="77777777" w:rsidR="00573B30" w:rsidRPr="0089224F" w:rsidRDefault="00573B30" w:rsidP="0089224F">
      <w:pPr>
        <w:tabs>
          <w:tab w:val="clear" w:pos="567"/>
          <w:tab w:val="clear" w:pos="1134"/>
          <w:tab w:val="clear" w:pos="1701"/>
          <w:tab w:val="clear" w:pos="2268"/>
          <w:tab w:val="clear" w:pos="2835"/>
        </w:tabs>
        <w:overflowPunct/>
        <w:autoSpaceDE/>
        <w:autoSpaceDN/>
        <w:adjustRightInd/>
        <w:spacing w:after="120"/>
        <w:ind w:left="993" w:hanging="426"/>
        <w:textAlignment w:val="auto"/>
        <w:rPr>
          <w:i/>
          <w:iCs/>
        </w:rPr>
      </w:pPr>
      <w:r w:rsidRPr="0089224F">
        <w:rPr>
          <w:i/>
          <w:iCs/>
        </w:rPr>
        <w:t>(a)</w:t>
      </w:r>
      <w:r w:rsidRPr="0089224F">
        <w:rPr>
          <w:i/>
          <w:iCs/>
        </w:rPr>
        <w:tab/>
        <w:t>…</w:t>
      </w:r>
    </w:p>
    <w:p w14:paraId="6CDFCDFC" w14:textId="77777777" w:rsidR="00573B30" w:rsidRPr="0089224F" w:rsidRDefault="00573B30" w:rsidP="0089224F">
      <w:pPr>
        <w:tabs>
          <w:tab w:val="clear" w:pos="567"/>
          <w:tab w:val="clear" w:pos="1134"/>
          <w:tab w:val="clear" w:pos="1701"/>
          <w:tab w:val="clear" w:pos="2268"/>
          <w:tab w:val="clear" w:pos="2835"/>
        </w:tabs>
        <w:overflowPunct/>
        <w:autoSpaceDE/>
        <w:autoSpaceDN/>
        <w:adjustRightInd/>
        <w:spacing w:after="120"/>
        <w:ind w:left="993" w:hanging="426"/>
        <w:textAlignment w:val="auto"/>
        <w:rPr>
          <w:i/>
          <w:iCs/>
        </w:rPr>
      </w:pPr>
      <w:r w:rsidRPr="0089224F">
        <w:rPr>
          <w:i/>
          <w:iCs/>
        </w:rPr>
        <w:t>(b)</w:t>
      </w:r>
      <w:r w:rsidRPr="0089224F">
        <w:rPr>
          <w:i/>
          <w:iCs/>
        </w:rPr>
        <w:tab/>
        <w:t>contains provisions that create undue barriers to access to and use of such international communication facilities; or</w:t>
      </w:r>
    </w:p>
    <w:p w14:paraId="60EE3208" w14:textId="77777777" w:rsidR="00573B30" w:rsidRPr="0089224F" w:rsidRDefault="00573B30" w:rsidP="0089224F">
      <w:pPr>
        <w:tabs>
          <w:tab w:val="clear" w:pos="567"/>
          <w:tab w:val="clear" w:pos="1134"/>
          <w:tab w:val="clear" w:pos="1701"/>
          <w:tab w:val="clear" w:pos="2268"/>
          <w:tab w:val="clear" w:pos="2835"/>
        </w:tabs>
        <w:overflowPunct/>
        <w:autoSpaceDE/>
        <w:autoSpaceDN/>
        <w:adjustRightInd/>
        <w:spacing w:after="120"/>
        <w:ind w:left="993" w:hanging="426"/>
        <w:textAlignment w:val="auto"/>
        <w:rPr>
          <w:i/>
          <w:iCs/>
        </w:rPr>
      </w:pPr>
      <w:r w:rsidRPr="0089224F">
        <w:rPr>
          <w:i/>
          <w:iCs/>
        </w:rPr>
        <w:t>(c)</w:t>
      </w:r>
      <w:r w:rsidRPr="0089224F">
        <w:rPr>
          <w:i/>
          <w:iCs/>
        </w:rPr>
        <w:tab/>
        <w:t>otherwise restricts any party to such agreement or other arrangement from –</w:t>
      </w:r>
    </w:p>
    <w:p w14:paraId="4DA6D942" w14:textId="77777777" w:rsidR="00573B30" w:rsidRPr="0089224F" w:rsidRDefault="00573B30" w:rsidP="0089224F">
      <w:pPr>
        <w:tabs>
          <w:tab w:val="clear" w:pos="567"/>
          <w:tab w:val="clear" w:pos="1134"/>
          <w:tab w:val="clear" w:pos="1701"/>
          <w:tab w:val="clear" w:pos="2268"/>
          <w:tab w:val="clear" w:pos="2835"/>
        </w:tabs>
        <w:overflowPunct/>
        <w:autoSpaceDE/>
        <w:autoSpaceDN/>
        <w:adjustRightInd/>
        <w:spacing w:after="120"/>
        <w:ind w:left="1418" w:hanging="425"/>
        <w:textAlignment w:val="auto"/>
        <w:rPr>
          <w:i/>
          <w:iCs/>
        </w:rPr>
      </w:pPr>
      <w:r w:rsidRPr="0089224F">
        <w:rPr>
          <w:i/>
          <w:iCs/>
        </w:rPr>
        <w:t>i.</w:t>
      </w:r>
      <w:r w:rsidRPr="0089224F">
        <w:rPr>
          <w:i/>
          <w:iCs/>
        </w:rPr>
        <w:tab/>
      </w:r>
      <w:proofErr w:type="gramStart"/>
      <w:r w:rsidRPr="0089224F">
        <w:rPr>
          <w:i/>
          <w:iCs/>
        </w:rPr>
        <w:t>leasing;</w:t>
      </w:r>
      <w:proofErr w:type="gramEnd"/>
    </w:p>
    <w:p w14:paraId="14E99E5C" w14:textId="77777777" w:rsidR="00573B30" w:rsidRPr="0089224F" w:rsidRDefault="00573B30" w:rsidP="0089224F">
      <w:pPr>
        <w:tabs>
          <w:tab w:val="clear" w:pos="567"/>
          <w:tab w:val="clear" w:pos="1134"/>
          <w:tab w:val="clear" w:pos="1701"/>
          <w:tab w:val="clear" w:pos="2268"/>
          <w:tab w:val="clear" w:pos="2835"/>
        </w:tabs>
        <w:overflowPunct/>
        <w:autoSpaceDE/>
        <w:autoSpaceDN/>
        <w:adjustRightInd/>
        <w:spacing w:after="120"/>
        <w:ind w:left="1418" w:hanging="425"/>
        <w:textAlignment w:val="auto"/>
        <w:rPr>
          <w:i/>
          <w:iCs/>
        </w:rPr>
      </w:pPr>
      <w:r w:rsidRPr="0089224F">
        <w:rPr>
          <w:i/>
          <w:iCs/>
        </w:rPr>
        <w:t>ii.</w:t>
      </w:r>
      <w:r w:rsidRPr="0089224F">
        <w:rPr>
          <w:i/>
          <w:iCs/>
        </w:rPr>
        <w:tab/>
        <w:t>selling; or</w:t>
      </w:r>
    </w:p>
    <w:p w14:paraId="616CD9AE" w14:textId="77777777" w:rsidR="00573B30" w:rsidRPr="0089224F" w:rsidRDefault="00573B30" w:rsidP="0089224F">
      <w:pPr>
        <w:tabs>
          <w:tab w:val="clear" w:pos="567"/>
          <w:tab w:val="clear" w:pos="1134"/>
          <w:tab w:val="clear" w:pos="1701"/>
          <w:tab w:val="clear" w:pos="2268"/>
          <w:tab w:val="clear" w:pos="2835"/>
        </w:tabs>
        <w:overflowPunct/>
        <w:autoSpaceDE/>
        <w:autoSpaceDN/>
        <w:adjustRightInd/>
        <w:spacing w:after="120"/>
        <w:ind w:left="1418" w:hanging="425"/>
        <w:textAlignment w:val="auto"/>
        <w:rPr>
          <w:i/>
          <w:iCs/>
        </w:rPr>
      </w:pPr>
      <w:r w:rsidRPr="0089224F">
        <w:rPr>
          <w:i/>
          <w:iCs/>
        </w:rPr>
        <w:t>iii.</w:t>
      </w:r>
      <w:r w:rsidRPr="0089224F">
        <w:rPr>
          <w:i/>
          <w:iCs/>
        </w:rPr>
        <w:tab/>
        <w:t>otherwise entering into an agreement with any licensee under this Act or person providing services pursuant to a licence exemption for access to, and use of, such international electronic communications facilities.”</w:t>
      </w:r>
    </w:p>
    <w:p w14:paraId="039BA0EA" w14:textId="77777777" w:rsidR="00573B30" w:rsidRPr="0089224F" w:rsidRDefault="00573B30" w:rsidP="0089224F">
      <w:pPr>
        <w:tabs>
          <w:tab w:val="clear" w:pos="567"/>
          <w:tab w:val="clear" w:pos="1134"/>
          <w:tab w:val="clear" w:pos="1701"/>
          <w:tab w:val="clear" w:pos="2268"/>
          <w:tab w:val="clear" w:pos="2835"/>
        </w:tabs>
        <w:overflowPunct/>
        <w:autoSpaceDE/>
        <w:autoSpaceDN/>
        <w:adjustRightInd/>
        <w:spacing w:before="240" w:after="120"/>
        <w:textAlignment w:val="auto"/>
      </w:pPr>
      <w:r w:rsidRPr="0089224F">
        <w:t>Section 43 (10) of the ECA ensures that there is provision for sufficient telecommunications facilities to meet the demand for international telecommunications services.</w:t>
      </w:r>
    </w:p>
    <w:p w14:paraId="29FC9C16" w14:textId="49CB9B33" w:rsidR="00573B30" w:rsidRPr="0089224F" w:rsidRDefault="0089224F" w:rsidP="0089224F">
      <w:pPr>
        <w:tabs>
          <w:tab w:val="clear" w:pos="567"/>
          <w:tab w:val="clear" w:pos="1134"/>
          <w:tab w:val="clear" w:pos="1701"/>
          <w:tab w:val="clear" w:pos="2268"/>
          <w:tab w:val="clear" w:pos="2835"/>
        </w:tabs>
        <w:overflowPunct/>
        <w:autoSpaceDE/>
        <w:autoSpaceDN/>
        <w:adjustRightInd/>
        <w:spacing w:before="480" w:after="120"/>
        <w:textAlignment w:val="auto"/>
        <w:rPr>
          <w:b/>
          <w:bCs/>
          <w:sz w:val="26"/>
          <w:szCs w:val="26"/>
        </w:rPr>
      </w:pPr>
      <w:r w:rsidRPr="0089224F">
        <w:rPr>
          <w:b/>
          <w:bCs/>
          <w:sz w:val="26"/>
          <w:szCs w:val="26"/>
        </w:rPr>
        <w:t>2</w:t>
      </w:r>
      <w:r w:rsidR="00573B30" w:rsidRPr="0089224F">
        <w:rPr>
          <w:b/>
          <w:bCs/>
          <w:sz w:val="26"/>
          <w:szCs w:val="26"/>
        </w:rPr>
        <w:t>.</w:t>
      </w:r>
      <w:r w:rsidR="00573B30" w:rsidRPr="0089224F">
        <w:rPr>
          <w:b/>
          <w:bCs/>
          <w:sz w:val="26"/>
          <w:szCs w:val="26"/>
        </w:rPr>
        <w:tab/>
        <w:t>Consultation with Operating Agencies in Africa Regarding the Usage of ITRs -</w:t>
      </w:r>
    </w:p>
    <w:p w14:paraId="2E55BDB6" w14:textId="77777777" w:rsidR="00573B30" w:rsidRPr="0089224F" w:rsidRDefault="00573B30" w:rsidP="0089224F">
      <w:pPr>
        <w:tabs>
          <w:tab w:val="clear" w:pos="567"/>
          <w:tab w:val="clear" w:pos="1134"/>
          <w:tab w:val="clear" w:pos="1701"/>
          <w:tab w:val="clear" w:pos="2268"/>
          <w:tab w:val="clear" w:pos="2835"/>
        </w:tabs>
        <w:overflowPunct/>
        <w:autoSpaceDE/>
        <w:autoSpaceDN/>
        <w:adjustRightInd/>
        <w:spacing w:before="240" w:after="120"/>
        <w:textAlignment w:val="auto"/>
      </w:pPr>
      <w:r w:rsidRPr="0089224F">
        <w:t>The Operating Agencies in some African countries were asked the following questions regarding the use and implementation of the ITRs:</w:t>
      </w:r>
    </w:p>
    <w:p w14:paraId="1A4B1DF1" w14:textId="77777777" w:rsidR="00573B30" w:rsidRPr="0089224F" w:rsidRDefault="00573B30" w:rsidP="0089224F">
      <w:pPr>
        <w:tabs>
          <w:tab w:val="clear" w:pos="567"/>
          <w:tab w:val="clear" w:pos="1134"/>
          <w:tab w:val="clear" w:pos="1701"/>
          <w:tab w:val="clear" w:pos="2268"/>
          <w:tab w:val="clear" w:pos="2835"/>
        </w:tabs>
        <w:overflowPunct/>
        <w:autoSpaceDE/>
        <w:autoSpaceDN/>
        <w:adjustRightInd/>
        <w:spacing w:after="120"/>
        <w:ind w:left="993" w:hanging="426"/>
        <w:textAlignment w:val="auto"/>
      </w:pPr>
      <w:r w:rsidRPr="0089224F">
        <w:t>(a)</w:t>
      </w:r>
      <w:r w:rsidRPr="0089224F">
        <w:tab/>
        <w:t xml:space="preserve">What benefits have accrued to the operator </w:t>
      </w:r>
      <w:proofErr w:type="gramStart"/>
      <w:r w:rsidRPr="0089224F">
        <w:t>as a result of</w:t>
      </w:r>
      <w:proofErr w:type="gramEnd"/>
      <w:r w:rsidRPr="0089224F">
        <w:t xml:space="preserve"> the use/implementation of the ITRs?</w:t>
      </w:r>
    </w:p>
    <w:p w14:paraId="7A90E96A" w14:textId="77777777" w:rsidR="00573B30" w:rsidRPr="0089224F" w:rsidRDefault="00573B30" w:rsidP="0089224F">
      <w:pPr>
        <w:tabs>
          <w:tab w:val="clear" w:pos="567"/>
          <w:tab w:val="clear" w:pos="1134"/>
          <w:tab w:val="clear" w:pos="1701"/>
          <w:tab w:val="clear" w:pos="2268"/>
          <w:tab w:val="clear" w:pos="2835"/>
        </w:tabs>
        <w:overflowPunct/>
        <w:autoSpaceDE/>
        <w:autoSpaceDN/>
        <w:adjustRightInd/>
        <w:spacing w:after="120"/>
        <w:ind w:left="993" w:hanging="426"/>
        <w:textAlignment w:val="auto"/>
      </w:pPr>
      <w:r w:rsidRPr="0089224F">
        <w:t>(b)</w:t>
      </w:r>
      <w:r w:rsidRPr="0089224F">
        <w:tab/>
        <w:t>To what extent does the operator utilise the ITRs?</w:t>
      </w:r>
    </w:p>
    <w:p w14:paraId="4B9F72A4" w14:textId="77777777" w:rsidR="00573B30" w:rsidRPr="0089224F" w:rsidRDefault="00573B30" w:rsidP="0089224F">
      <w:pPr>
        <w:tabs>
          <w:tab w:val="clear" w:pos="567"/>
          <w:tab w:val="clear" w:pos="1134"/>
          <w:tab w:val="clear" w:pos="1701"/>
          <w:tab w:val="clear" w:pos="2268"/>
          <w:tab w:val="clear" w:pos="2835"/>
        </w:tabs>
        <w:overflowPunct/>
        <w:autoSpaceDE/>
        <w:autoSpaceDN/>
        <w:adjustRightInd/>
        <w:spacing w:before="240" w:after="120"/>
        <w:textAlignment w:val="auto"/>
      </w:pPr>
      <w:r w:rsidRPr="0089224F">
        <w:t>It is the intention of the contributors, as the EG-ITRs continues to hold meetings and perform its duties in line with the TORs, to provide additional information regarding the usage and reliance by some of the operating agencies operating in Africa, on the principles contained in the 1988 and/or 2012 ITRs.</w:t>
      </w:r>
    </w:p>
    <w:p w14:paraId="2CD3434F" w14:textId="77777777" w:rsidR="00573B30" w:rsidRPr="0089224F" w:rsidRDefault="00573B30" w:rsidP="0089224F">
      <w:pPr>
        <w:tabs>
          <w:tab w:val="clear" w:pos="567"/>
          <w:tab w:val="clear" w:pos="1134"/>
          <w:tab w:val="clear" w:pos="1701"/>
          <w:tab w:val="clear" w:pos="2268"/>
          <w:tab w:val="clear" w:pos="2835"/>
        </w:tabs>
        <w:overflowPunct/>
        <w:autoSpaceDE/>
        <w:autoSpaceDN/>
        <w:adjustRightInd/>
        <w:spacing w:before="240" w:after="120"/>
        <w:textAlignment w:val="auto"/>
        <w:rPr>
          <w:b/>
          <w:bCs/>
        </w:rPr>
      </w:pPr>
      <w:r w:rsidRPr="0089224F">
        <w:rPr>
          <w:b/>
          <w:bCs/>
        </w:rPr>
        <w:t>South Africa:</w:t>
      </w:r>
    </w:p>
    <w:p w14:paraId="257674B4" w14:textId="6320D45D" w:rsidR="00A514A4" w:rsidRPr="0089224F" w:rsidRDefault="00573B30" w:rsidP="00573B30">
      <w:pPr>
        <w:tabs>
          <w:tab w:val="clear" w:pos="567"/>
          <w:tab w:val="clear" w:pos="1134"/>
          <w:tab w:val="clear" w:pos="1701"/>
          <w:tab w:val="clear" w:pos="2268"/>
          <w:tab w:val="clear" w:pos="2835"/>
        </w:tabs>
        <w:overflowPunct/>
        <w:autoSpaceDE/>
        <w:autoSpaceDN/>
        <w:adjustRightInd/>
        <w:spacing w:after="120"/>
        <w:textAlignment w:val="auto"/>
      </w:pPr>
      <w:r w:rsidRPr="0089224F">
        <w:t xml:space="preserve">Responses by Operators can be found in </w:t>
      </w:r>
      <w:r w:rsidRPr="0089224F">
        <w:rPr>
          <w:b/>
          <w:bCs/>
        </w:rPr>
        <w:t>Annex 1</w:t>
      </w:r>
      <w:r w:rsidRPr="0089224F">
        <w:t xml:space="preserve"> of the contribution.</w:t>
      </w:r>
    </w:p>
    <w:p w14:paraId="2BA6FD4C" w14:textId="6C67F848" w:rsidR="0089224F" w:rsidRPr="0089224F" w:rsidRDefault="0089224F">
      <w:pPr>
        <w:tabs>
          <w:tab w:val="clear" w:pos="567"/>
          <w:tab w:val="clear" w:pos="1134"/>
          <w:tab w:val="clear" w:pos="1701"/>
          <w:tab w:val="clear" w:pos="2268"/>
          <w:tab w:val="clear" w:pos="2835"/>
        </w:tabs>
        <w:overflowPunct/>
        <w:autoSpaceDE/>
        <w:autoSpaceDN/>
        <w:adjustRightInd/>
        <w:spacing w:before="0"/>
        <w:textAlignment w:val="auto"/>
      </w:pPr>
      <w:r w:rsidRPr="0089224F">
        <w:br w:type="page"/>
      </w:r>
    </w:p>
    <w:p w14:paraId="4171AADB" w14:textId="161A81E8" w:rsidR="0089224F" w:rsidRPr="0089224F" w:rsidRDefault="0089224F" w:rsidP="0089224F">
      <w:pPr>
        <w:tabs>
          <w:tab w:val="clear" w:pos="567"/>
          <w:tab w:val="clear" w:pos="1134"/>
          <w:tab w:val="clear" w:pos="1701"/>
          <w:tab w:val="clear" w:pos="2268"/>
          <w:tab w:val="clear" w:pos="2835"/>
        </w:tabs>
        <w:overflowPunct/>
        <w:autoSpaceDE/>
        <w:autoSpaceDN/>
        <w:adjustRightInd/>
        <w:spacing w:before="840"/>
        <w:ind w:left="720" w:firstLine="720"/>
        <w:jc w:val="center"/>
        <w:textAlignment w:val="auto"/>
        <w:rPr>
          <w:rFonts w:asciiTheme="minorHAnsi" w:eastAsia="SimSun" w:hAnsiTheme="minorHAnsi" w:cstheme="minorHAnsi"/>
          <w:b/>
          <w:bCs/>
          <w:szCs w:val="24"/>
        </w:rPr>
      </w:pPr>
      <w:r w:rsidRPr="0089224F">
        <w:rPr>
          <w:rFonts w:asciiTheme="minorHAnsi" w:eastAsia="SimSun" w:hAnsiTheme="minorHAnsi" w:cstheme="minorHAnsi"/>
          <w:b/>
          <w:bCs/>
          <w:szCs w:val="24"/>
        </w:rPr>
        <w:t>ANNEX 1</w:t>
      </w:r>
    </w:p>
    <w:p w14:paraId="40B45FC3" w14:textId="77777777" w:rsidR="0089224F" w:rsidRPr="0089224F" w:rsidRDefault="0089224F" w:rsidP="0089224F">
      <w:pPr>
        <w:tabs>
          <w:tab w:val="clear" w:pos="567"/>
          <w:tab w:val="clear" w:pos="1134"/>
          <w:tab w:val="clear" w:pos="1701"/>
          <w:tab w:val="clear" w:pos="2268"/>
          <w:tab w:val="clear" w:pos="2835"/>
        </w:tabs>
        <w:overflowPunct/>
        <w:autoSpaceDE/>
        <w:autoSpaceDN/>
        <w:adjustRightInd/>
        <w:spacing w:before="480"/>
        <w:ind w:left="720" w:firstLine="720"/>
        <w:jc w:val="center"/>
        <w:textAlignment w:val="auto"/>
        <w:rPr>
          <w:rFonts w:asciiTheme="minorHAnsi" w:eastAsia="SimSun" w:hAnsiTheme="minorHAnsi" w:cstheme="minorHAnsi"/>
          <w:b/>
          <w:bCs/>
          <w:szCs w:val="24"/>
        </w:rPr>
      </w:pPr>
    </w:p>
    <w:tbl>
      <w:tblPr>
        <w:tblStyle w:val="TableGrid"/>
        <w:tblW w:w="8773" w:type="dxa"/>
        <w:tblInd w:w="720" w:type="dxa"/>
        <w:tblLook w:val="04A0" w:firstRow="1" w:lastRow="0" w:firstColumn="1" w:lastColumn="0" w:noHBand="0" w:noVBand="1"/>
      </w:tblPr>
      <w:tblGrid>
        <w:gridCol w:w="8773"/>
      </w:tblGrid>
      <w:tr w:rsidR="0089224F" w:rsidRPr="0089224F" w14:paraId="29FC09B1" w14:textId="77777777" w:rsidTr="00A87212">
        <w:trPr>
          <w:trHeight w:val="855"/>
        </w:trPr>
        <w:tc>
          <w:tcPr>
            <w:tcW w:w="8773" w:type="dxa"/>
            <w:shd w:val="clear" w:color="auto" w:fill="8DB3E2" w:themeFill="text2" w:themeFillTint="66"/>
          </w:tcPr>
          <w:p w14:paraId="62CA8B43" w14:textId="77777777" w:rsidR="0089224F" w:rsidRPr="0089224F" w:rsidRDefault="0089224F" w:rsidP="0089224F">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b/>
                <w:bCs/>
                <w:szCs w:val="24"/>
              </w:rPr>
            </w:pPr>
            <w:r w:rsidRPr="0089224F">
              <w:rPr>
                <w:rFonts w:asciiTheme="minorHAnsi" w:hAnsiTheme="minorHAnsi" w:cstheme="minorHAnsi"/>
                <w:b/>
                <w:bCs/>
                <w:szCs w:val="24"/>
              </w:rPr>
              <w:t>Benefits realised by Operating Agencies</w:t>
            </w:r>
          </w:p>
          <w:p w14:paraId="0F4D77DD" w14:textId="77777777" w:rsidR="0089224F" w:rsidRPr="0089224F" w:rsidRDefault="0089224F" w:rsidP="0089224F">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b/>
                <w:bCs/>
                <w:szCs w:val="24"/>
              </w:rPr>
            </w:pPr>
            <w:r w:rsidRPr="0089224F">
              <w:rPr>
                <w:rFonts w:asciiTheme="minorHAnsi" w:hAnsiTheme="minorHAnsi" w:cstheme="minorHAnsi"/>
                <w:b/>
                <w:bCs/>
                <w:szCs w:val="24"/>
              </w:rPr>
              <w:t xml:space="preserve"> </w:t>
            </w:r>
          </w:p>
        </w:tc>
      </w:tr>
      <w:tr w:rsidR="0089224F" w:rsidRPr="0089224F" w14:paraId="49C4BF93" w14:textId="77777777" w:rsidTr="00A87212">
        <w:tc>
          <w:tcPr>
            <w:tcW w:w="8773" w:type="dxa"/>
          </w:tcPr>
          <w:p w14:paraId="450C8BD0" w14:textId="77777777" w:rsidR="0089224F" w:rsidRPr="0089224F" w:rsidRDefault="0089224F" w:rsidP="0089224F">
            <w:pPr>
              <w:numPr>
                <w:ilvl w:val="0"/>
                <w:numId w:val="2"/>
              </w:numPr>
              <w:tabs>
                <w:tab w:val="clear" w:pos="567"/>
                <w:tab w:val="clear" w:pos="1134"/>
                <w:tab w:val="clear" w:pos="1701"/>
                <w:tab w:val="clear" w:pos="2268"/>
                <w:tab w:val="clear" w:pos="2835"/>
              </w:tabs>
              <w:overflowPunct/>
              <w:autoSpaceDE/>
              <w:autoSpaceDN/>
              <w:adjustRightInd/>
              <w:spacing w:before="840"/>
              <w:ind w:left="294" w:hanging="283"/>
              <w:contextualSpacing/>
              <w:jc w:val="both"/>
              <w:textAlignment w:val="auto"/>
              <w:rPr>
                <w:rFonts w:asciiTheme="minorHAnsi" w:hAnsiTheme="minorHAnsi" w:cstheme="minorHAnsi"/>
                <w:szCs w:val="24"/>
              </w:rPr>
            </w:pPr>
            <w:r w:rsidRPr="0089224F">
              <w:rPr>
                <w:rFonts w:asciiTheme="minorHAnsi" w:hAnsiTheme="minorHAnsi" w:cstheme="minorHAnsi"/>
                <w:szCs w:val="24"/>
              </w:rPr>
              <w:t>The 2012 ITRs have enabled Member States to promote the development of international telecommunication services in a more competitive environment in which South Africa, like many Member States, has liberalised markets for the provision of telecommunications services. Some operators have implemented ITU-T Recommendations relating to quality of services, Caller Line Identification (CLI), numbering etc.</w:t>
            </w:r>
          </w:p>
          <w:p w14:paraId="0D5C9377" w14:textId="77777777" w:rsidR="0089224F" w:rsidRPr="0089224F" w:rsidRDefault="0089224F" w:rsidP="0089224F">
            <w:pPr>
              <w:tabs>
                <w:tab w:val="clear" w:pos="567"/>
                <w:tab w:val="clear" w:pos="1134"/>
                <w:tab w:val="clear" w:pos="1701"/>
                <w:tab w:val="clear" w:pos="2268"/>
                <w:tab w:val="clear" w:pos="2835"/>
              </w:tabs>
              <w:overflowPunct/>
              <w:autoSpaceDE/>
              <w:autoSpaceDN/>
              <w:adjustRightInd/>
              <w:spacing w:before="840"/>
              <w:ind w:left="294"/>
              <w:contextualSpacing/>
              <w:jc w:val="both"/>
              <w:textAlignment w:val="auto"/>
              <w:rPr>
                <w:rFonts w:asciiTheme="minorHAnsi" w:hAnsiTheme="minorHAnsi" w:cstheme="minorHAnsi"/>
                <w:szCs w:val="24"/>
              </w:rPr>
            </w:pPr>
          </w:p>
          <w:p w14:paraId="3391FB19" w14:textId="77777777" w:rsidR="0089224F" w:rsidRPr="0089224F" w:rsidRDefault="0089224F" w:rsidP="0089224F">
            <w:pPr>
              <w:numPr>
                <w:ilvl w:val="0"/>
                <w:numId w:val="2"/>
              </w:numPr>
              <w:tabs>
                <w:tab w:val="clear" w:pos="567"/>
                <w:tab w:val="clear" w:pos="1134"/>
                <w:tab w:val="clear" w:pos="1701"/>
                <w:tab w:val="clear" w:pos="2268"/>
                <w:tab w:val="clear" w:pos="2835"/>
              </w:tabs>
              <w:overflowPunct/>
              <w:autoSpaceDE/>
              <w:autoSpaceDN/>
              <w:adjustRightInd/>
              <w:spacing w:before="840"/>
              <w:ind w:left="294" w:hanging="283"/>
              <w:contextualSpacing/>
              <w:jc w:val="both"/>
              <w:textAlignment w:val="auto"/>
              <w:rPr>
                <w:rFonts w:asciiTheme="minorHAnsi" w:hAnsiTheme="minorHAnsi" w:cstheme="minorHAnsi"/>
                <w:szCs w:val="24"/>
              </w:rPr>
            </w:pPr>
            <w:r w:rsidRPr="0089224F">
              <w:rPr>
                <w:rFonts w:asciiTheme="minorHAnsi" w:hAnsiTheme="minorHAnsi" w:cstheme="minorHAnsi"/>
                <w:szCs w:val="24"/>
              </w:rPr>
              <w:t xml:space="preserve">Operators align with the decisions of the Regulator in terms of regulatory requirements based on ITU-T Recommendations </w:t>
            </w:r>
            <w:proofErr w:type="gramStart"/>
            <w:r w:rsidRPr="0089224F">
              <w:rPr>
                <w:rFonts w:asciiTheme="minorHAnsi" w:hAnsiTheme="minorHAnsi" w:cstheme="minorHAnsi"/>
                <w:szCs w:val="24"/>
              </w:rPr>
              <w:t>e.g.</w:t>
            </w:r>
            <w:proofErr w:type="gramEnd"/>
            <w:r w:rsidRPr="0089224F">
              <w:rPr>
                <w:rFonts w:asciiTheme="minorHAnsi" w:hAnsiTheme="minorHAnsi" w:cstheme="minorHAnsi"/>
                <w:szCs w:val="24"/>
              </w:rPr>
              <w:t xml:space="preserve"> Child Help Line 116, national emergency service number 112, the proposed development of the SADC National Emergency Telephone Plan (NETP) requirements, etc.</w:t>
            </w:r>
          </w:p>
          <w:p w14:paraId="025AB0C6" w14:textId="77777777" w:rsidR="0089224F" w:rsidRPr="0089224F" w:rsidRDefault="0089224F" w:rsidP="0089224F">
            <w:pPr>
              <w:ind w:left="720"/>
              <w:contextualSpacing/>
              <w:rPr>
                <w:rFonts w:asciiTheme="minorHAnsi" w:hAnsiTheme="minorHAnsi" w:cstheme="minorHAnsi"/>
                <w:szCs w:val="24"/>
              </w:rPr>
            </w:pPr>
          </w:p>
          <w:p w14:paraId="6C3C425E" w14:textId="77777777" w:rsidR="0089224F" w:rsidRPr="0089224F" w:rsidRDefault="0089224F" w:rsidP="0089224F">
            <w:pPr>
              <w:numPr>
                <w:ilvl w:val="0"/>
                <w:numId w:val="2"/>
              </w:numPr>
              <w:tabs>
                <w:tab w:val="clear" w:pos="567"/>
                <w:tab w:val="clear" w:pos="1134"/>
                <w:tab w:val="clear" w:pos="1701"/>
                <w:tab w:val="clear" w:pos="2268"/>
                <w:tab w:val="clear" w:pos="2835"/>
              </w:tabs>
              <w:overflowPunct/>
              <w:autoSpaceDE/>
              <w:autoSpaceDN/>
              <w:adjustRightInd/>
              <w:spacing w:before="840"/>
              <w:ind w:left="294" w:hanging="283"/>
              <w:contextualSpacing/>
              <w:jc w:val="both"/>
              <w:textAlignment w:val="auto"/>
              <w:rPr>
                <w:rFonts w:asciiTheme="minorHAnsi" w:hAnsiTheme="minorHAnsi" w:cstheme="minorHAnsi"/>
                <w:szCs w:val="24"/>
              </w:rPr>
            </w:pPr>
            <w:r w:rsidRPr="0089224F">
              <w:rPr>
                <w:rFonts w:asciiTheme="minorHAnsi" w:hAnsiTheme="minorHAnsi" w:cstheme="minorHAnsi"/>
                <w:szCs w:val="24"/>
              </w:rPr>
              <w:t>Some operators have seen the increase in undersea cable capacity and considering that international networks are implemented based on commercial considerations. For example, implementation of the ITU-T Recommendations throughout their networks based on commercial and business requirements.</w:t>
            </w:r>
          </w:p>
          <w:p w14:paraId="5ECAF0F5" w14:textId="77777777" w:rsidR="0089224F" w:rsidRPr="0089224F" w:rsidRDefault="0089224F" w:rsidP="0089224F">
            <w:pPr>
              <w:ind w:left="720"/>
              <w:contextualSpacing/>
              <w:rPr>
                <w:rFonts w:asciiTheme="minorHAnsi" w:hAnsiTheme="minorHAnsi" w:cstheme="minorHAnsi"/>
                <w:szCs w:val="24"/>
              </w:rPr>
            </w:pPr>
          </w:p>
          <w:p w14:paraId="2A8ACBA2" w14:textId="77777777" w:rsidR="0089224F" w:rsidRPr="0089224F" w:rsidRDefault="0089224F" w:rsidP="0089224F">
            <w:pPr>
              <w:numPr>
                <w:ilvl w:val="0"/>
                <w:numId w:val="2"/>
              </w:numPr>
              <w:tabs>
                <w:tab w:val="clear" w:pos="567"/>
                <w:tab w:val="clear" w:pos="1134"/>
                <w:tab w:val="clear" w:pos="1701"/>
                <w:tab w:val="clear" w:pos="2268"/>
                <w:tab w:val="clear" w:pos="2835"/>
              </w:tabs>
              <w:overflowPunct/>
              <w:autoSpaceDE/>
              <w:autoSpaceDN/>
              <w:adjustRightInd/>
              <w:spacing w:before="840"/>
              <w:ind w:left="294" w:hanging="283"/>
              <w:contextualSpacing/>
              <w:jc w:val="both"/>
              <w:textAlignment w:val="auto"/>
              <w:rPr>
                <w:rFonts w:asciiTheme="minorHAnsi" w:hAnsiTheme="minorHAnsi" w:cstheme="minorHAnsi"/>
                <w:szCs w:val="24"/>
              </w:rPr>
            </w:pPr>
            <w:r w:rsidRPr="0089224F">
              <w:rPr>
                <w:rFonts w:asciiTheme="minorHAnsi" w:hAnsiTheme="minorHAnsi" w:cstheme="minorHAnsi"/>
                <w:szCs w:val="24"/>
              </w:rPr>
              <w:t xml:space="preserve">Some operators have not accrued significant direct benefits from the ITRs. Nonetheless they believe that the broad principles of the ITRs that cover charging and accounting for the provision of international telecommunications services, provide a framework for fair and efficient trade in such </w:t>
            </w:r>
            <w:r w:rsidRPr="0089224F">
              <w:rPr>
                <w:rFonts w:asciiTheme="minorHAnsi" w:hAnsiTheme="minorHAnsi" w:cstheme="minorHAnsi"/>
                <w:sz w:val="20"/>
                <w:lang w:eastAsia="zh-CN"/>
              </w:rPr>
              <w:t>services across jurisdictions.</w:t>
            </w:r>
          </w:p>
          <w:p w14:paraId="29B2DD85" w14:textId="77777777" w:rsidR="0089224F" w:rsidRPr="0089224F" w:rsidRDefault="0089224F" w:rsidP="0089224F">
            <w:pPr>
              <w:ind w:left="720"/>
              <w:contextualSpacing/>
              <w:rPr>
                <w:rFonts w:asciiTheme="minorHAnsi" w:hAnsiTheme="minorHAnsi" w:cstheme="minorHAnsi"/>
                <w:szCs w:val="24"/>
              </w:rPr>
            </w:pPr>
          </w:p>
          <w:p w14:paraId="4DE8FEB9" w14:textId="77777777" w:rsidR="0089224F" w:rsidRPr="0089224F" w:rsidRDefault="0089224F" w:rsidP="0089224F">
            <w:pPr>
              <w:numPr>
                <w:ilvl w:val="0"/>
                <w:numId w:val="2"/>
              </w:numPr>
              <w:tabs>
                <w:tab w:val="clear" w:pos="567"/>
                <w:tab w:val="clear" w:pos="1134"/>
                <w:tab w:val="clear" w:pos="1701"/>
                <w:tab w:val="clear" w:pos="2268"/>
                <w:tab w:val="clear" w:pos="2835"/>
              </w:tabs>
              <w:overflowPunct/>
              <w:autoSpaceDE/>
              <w:autoSpaceDN/>
              <w:adjustRightInd/>
              <w:spacing w:before="840"/>
              <w:ind w:left="294" w:hanging="283"/>
              <w:contextualSpacing/>
              <w:jc w:val="both"/>
              <w:textAlignment w:val="auto"/>
              <w:rPr>
                <w:rFonts w:asciiTheme="minorHAnsi" w:hAnsiTheme="minorHAnsi" w:cstheme="minorHAnsi"/>
                <w:szCs w:val="24"/>
              </w:rPr>
            </w:pPr>
            <w:r w:rsidRPr="0089224F">
              <w:rPr>
                <w:rFonts w:asciiTheme="minorHAnsi" w:hAnsiTheme="minorHAnsi" w:cstheme="minorHAnsi"/>
                <w:szCs w:val="24"/>
              </w:rPr>
              <w:t>Some operators are of the view that while Interoperability and interconnectivity are essential and are at the very core of network and services. These are implemented and bound by country specific regulatory regime and country specific environment. This means that ITRs can serve as guidelines only.</w:t>
            </w:r>
          </w:p>
          <w:p w14:paraId="7E80DD04" w14:textId="77777777" w:rsidR="0089224F" w:rsidRPr="0089224F" w:rsidRDefault="0089224F" w:rsidP="0089224F">
            <w:pPr>
              <w:ind w:left="720"/>
              <w:contextualSpacing/>
              <w:rPr>
                <w:rFonts w:asciiTheme="minorHAnsi" w:hAnsiTheme="minorHAnsi" w:cstheme="minorHAnsi"/>
                <w:szCs w:val="24"/>
              </w:rPr>
            </w:pPr>
          </w:p>
          <w:p w14:paraId="30ABCC2E" w14:textId="77777777" w:rsidR="0089224F" w:rsidRPr="0089224F" w:rsidRDefault="0089224F" w:rsidP="0089224F">
            <w:pPr>
              <w:tabs>
                <w:tab w:val="clear" w:pos="567"/>
                <w:tab w:val="clear" w:pos="1134"/>
                <w:tab w:val="clear" w:pos="1701"/>
                <w:tab w:val="clear" w:pos="2268"/>
                <w:tab w:val="clear" w:pos="2835"/>
              </w:tabs>
              <w:overflowPunct/>
              <w:autoSpaceDE/>
              <w:autoSpaceDN/>
              <w:adjustRightInd/>
              <w:spacing w:before="840"/>
              <w:ind w:left="207"/>
              <w:contextualSpacing/>
              <w:textAlignment w:val="auto"/>
              <w:rPr>
                <w:rFonts w:asciiTheme="minorHAnsi" w:hAnsiTheme="minorHAnsi" w:cstheme="minorHAnsi"/>
                <w:szCs w:val="24"/>
              </w:rPr>
            </w:pPr>
          </w:p>
        </w:tc>
      </w:tr>
      <w:tr w:rsidR="0089224F" w:rsidRPr="0089224F" w14:paraId="2CA9DF5C" w14:textId="77777777" w:rsidTr="00A87212">
        <w:trPr>
          <w:trHeight w:val="1829"/>
        </w:trPr>
        <w:tc>
          <w:tcPr>
            <w:tcW w:w="8773" w:type="dxa"/>
            <w:shd w:val="clear" w:color="auto" w:fill="95B3D7" w:themeFill="accent1" w:themeFillTint="99"/>
          </w:tcPr>
          <w:p w14:paraId="1BF65374" w14:textId="77777777" w:rsidR="0089224F" w:rsidRPr="0089224F" w:rsidRDefault="0089224F" w:rsidP="0089224F">
            <w:pPr>
              <w:keepNext/>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b/>
                <w:bCs/>
                <w:szCs w:val="24"/>
              </w:rPr>
            </w:pPr>
            <w:r w:rsidRPr="0089224F">
              <w:rPr>
                <w:rFonts w:asciiTheme="minorHAnsi" w:hAnsiTheme="minorHAnsi" w:cstheme="minorHAnsi"/>
                <w:b/>
                <w:bCs/>
                <w:szCs w:val="24"/>
              </w:rPr>
              <w:t>Utilisation of the ITRs</w:t>
            </w:r>
          </w:p>
          <w:p w14:paraId="53EC55F1" w14:textId="77777777" w:rsidR="0089224F" w:rsidRPr="0089224F" w:rsidRDefault="0089224F" w:rsidP="0089224F">
            <w:pPr>
              <w:keepNext/>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b/>
                <w:bCs/>
                <w:szCs w:val="24"/>
              </w:rPr>
            </w:pPr>
          </w:p>
        </w:tc>
      </w:tr>
      <w:tr w:rsidR="0089224F" w:rsidRPr="0089224F" w14:paraId="42114C28" w14:textId="77777777" w:rsidTr="00A87212">
        <w:tc>
          <w:tcPr>
            <w:tcW w:w="8773" w:type="dxa"/>
          </w:tcPr>
          <w:p w14:paraId="0BEA99FA" w14:textId="77777777" w:rsidR="0089224F" w:rsidRPr="0089224F" w:rsidRDefault="0089224F" w:rsidP="0089224F">
            <w:pPr>
              <w:keepNext/>
              <w:numPr>
                <w:ilvl w:val="0"/>
                <w:numId w:val="2"/>
              </w:numPr>
              <w:tabs>
                <w:tab w:val="clear" w:pos="567"/>
                <w:tab w:val="clear" w:pos="1134"/>
                <w:tab w:val="clear" w:pos="1701"/>
                <w:tab w:val="clear" w:pos="2268"/>
                <w:tab w:val="clear" w:pos="2835"/>
              </w:tabs>
              <w:overflowPunct/>
              <w:autoSpaceDE/>
              <w:autoSpaceDN/>
              <w:adjustRightInd/>
              <w:spacing w:before="840"/>
              <w:ind w:left="294" w:hanging="294"/>
              <w:contextualSpacing/>
              <w:jc w:val="both"/>
              <w:textAlignment w:val="auto"/>
              <w:rPr>
                <w:rFonts w:asciiTheme="minorHAnsi" w:hAnsiTheme="minorHAnsi" w:cstheme="minorHAnsi"/>
                <w:szCs w:val="24"/>
              </w:rPr>
            </w:pPr>
            <w:r w:rsidRPr="0089224F">
              <w:rPr>
                <w:rFonts w:asciiTheme="minorHAnsi" w:hAnsiTheme="minorHAnsi" w:cstheme="minorHAnsi"/>
                <w:szCs w:val="24"/>
              </w:rPr>
              <w:t>The 2012 ITRs introduced a more relaxed regime for international voice termination rate.</w:t>
            </w:r>
          </w:p>
          <w:p w14:paraId="4221BF39" w14:textId="77777777" w:rsidR="0089224F" w:rsidRPr="0089224F" w:rsidRDefault="0089224F" w:rsidP="0089224F">
            <w:pPr>
              <w:keepNext/>
              <w:tabs>
                <w:tab w:val="clear" w:pos="567"/>
                <w:tab w:val="clear" w:pos="1134"/>
                <w:tab w:val="clear" w:pos="1701"/>
                <w:tab w:val="clear" w:pos="2268"/>
                <w:tab w:val="clear" w:pos="2835"/>
              </w:tabs>
              <w:overflowPunct/>
              <w:autoSpaceDE/>
              <w:autoSpaceDN/>
              <w:adjustRightInd/>
              <w:spacing w:before="840"/>
              <w:ind w:left="294"/>
              <w:contextualSpacing/>
              <w:textAlignment w:val="auto"/>
              <w:rPr>
                <w:rFonts w:asciiTheme="minorHAnsi" w:hAnsiTheme="minorHAnsi" w:cstheme="minorHAnsi"/>
                <w:szCs w:val="24"/>
              </w:rPr>
            </w:pPr>
          </w:p>
          <w:p w14:paraId="23B1B86A" w14:textId="77777777" w:rsidR="0089224F" w:rsidRPr="0089224F" w:rsidRDefault="0089224F" w:rsidP="0089224F">
            <w:pPr>
              <w:keepNext/>
              <w:numPr>
                <w:ilvl w:val="0"/>
                <w:numId w:val="2"/>
              </w:numPr>
              <w:tabs>
                <w:tab w:val="clear" w:pos="567"/>
                <w:tab w:val="clear" w:pos="1134"/>
                <w:tab w:val="clear" w:pos="1701"/>
                <w:tab w:val="clear" w:pos="2268"/>
                <w:tab w:val="clear" w:pos="2835"/>
              </w:tabs>
              <w:overflowPunct/>
              <w:autoSpaceDE/>
              <w:autoSpaceDN/>
              <w:adjustRightInd/>
              <w:spacing w:before="840"/>
              <w:ind w:left="294" w:hanging="294"/>
              <w:contextualSpacing/>
              <w:jc w:val="both"/>
              <w:textAlignment w:val="auto"/>
              <w:rPr>
                <w:rFonts w:asciiTheme="minorHAnsi" w:hAnsiTheme="minorHAnsi" w:cstheme="minorHAnsi"/>
                <w:szCs w:val="24"/>
              </w:rPr>
            </w:pPr>
            <w:r w:rsidRPr="0089224F">
              <w:rPr>
                <w:rFonts w:asciiTheme="minorHAnsi" w:hAnsiTheme="minorHAnsi" w:cstheme="minorHAnsi"/>
                <w:szCs w:val="24"/>
              </w:rPr>
              <w:t>On 6 Oct 2017 the Regulator issued a notice that international termination rates are not regulated by the 2017 call termination rate regulations. Operators proceeded to de-link their international termination rate from its regulated national termination rate.  Operators increased their international termination rates, to off-set against declining international call volumes due to alternative voice services (such as WhatsApp) and competition in the international telecommunication services market.</w:t>
            </w:r>
          </w:p>
          <w:p w14:paraId="73FC71A7" w14:textId="77777777" w:rsidR="0089224F" w:rsidRPr="0089224F" w:rsidRDefault="0089224F" w:rsidP="0089224F">
            <w:pPr>
              <w:keepNext/>
              <w:ind w:left="720"/>
              <w:contextualSpacing/>
              <w:rPr>
                <w:rFonts w:asciiTheme="minorHAnsi" w:hAnsiTheme="minorHAnsi" w:cstheme="minorHAnsi"/>
                <w:szCs w:val="24"/>
              </w:rPr>
            </w:pPr>
          </w:p>
          <w:p w14:paraId="36A107E2" w14:textId="77777777" w:rsidR="0089224F" w:rsidRPr="0089224F" w:rsidRDefault="0089224F" w:rsidP="0089224F">
            <w:pPr>
              <w:keepNext/>
              <w:numPr>
                <w:ilvl w:val="0"/>
                <w:numId w:val="2"/>
              </w:numPr>
              <w:tabs>
                <w:tab w:val="clear" w:pos="567"/>
                <w:tab w:val="clear" w:pos="1134"/>
                <w:tab w:val="clear" w:pos="1701"/>
                <w:tab w:val="clear" w:pos="2268"/>
                <w:tab w:val="clear" w:pos="2835"/>
              </w:tabs>
              <w:overflowPunct/>
              <w:autoSpaceDE/>
              <w:autoSpaceDN/>
              <w:adjustRightInd/>
              <w:spacing w:before="840"/>
              <w:ind w:left="294" w:hanging="294"/>
              <w:contextualSpacing/>
              <w:jc w:val="both"/>
              <w:textAlignment w:val="auto"/>
              <w:rPr>
                <w:rFonts w:asciiTheme="minorHAnsi" w:hAnsiTheme="minorHAnsi" w:cstheme="minorHAnsi"/>
                <w:szCs w:val="24"/>
              </w:rPr>
            </w:pPr>
            <w:r w:rsidRPr="0089224F">
              <w:rPr>
                <w:rFonts w:asciiTheme="minorHAnsi" w:hAnsiTheme="minorHAnsi" w:cstheme="minorHAnsi"/>
                <w:szCs w:val="24"/>
              </w:rPr>
              <w:t>Article 4 requires that Member States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 This transparency provision has been adopted by some operators and has assisted in enabling users to avoid bill-shock and thus has supported the maintenance of international roaming services in a sustainable manner. The other provisions relating to roaming in Article 4 have also assisted in maintaining network resilience and competition.</w:t>
            </w:r>
          </w:p>
          <w:p w14:paraId="5AB83873" w14:textId="77777777" w:rsidR="0089224F" w:rsidRPr="0089224F" w:rsidRDefault="0089224F" w:rsidP="0089224F">
            <w:pPr>
              <w:keepNext/>
              <w:ind w:left="720"/>
              <w:contextualSpacing/>
              <w:rPr>
                <w:rFonts w:asciiTheme="minorHAnsi" w:hAnsiTheme="minorHAnsi" w:cstheme="minorHAnsi"/>
                <w:szCs w:val="24"/>
              </w:rPr>
            </w:pPr>
          </w:p>
          <w:p w14:paraId="685A7B53" w14:textId="77777777" w:rsidR="0089224F" w:rsidRPr="0089224F" w:rsidRDefault="0089224F" w:rsidP="0089224F">
            <w:pPr>
              <w:keepNext/>
              <w:numPr>
                <w:ilvl w:val="0"/>
                <w:numId w:val="2"/>
              </w:numPr>
              <w:tabs>
                <w:tab w:val="clear" w:pos="567"/>
                <w:tab w:val="clear" w:pos="1134"/>
                <w:tab w:val="clear" w:pos="1701"/>
                <w:tab w:val="clear" w:pos="2268"/>
                <w:tab w:val="clear" w:pos="2835"/>
              </w:tabs>
              <w:overflowPunct/>
              <w:autoSpaceDE/>
              <w:autoSpaceDN/>
              <w:adjustRightInd/>
              <w:spacing w:before="840"/>
              <w:ind w:left="294" w:hanging="294"/>
              <w:contextualSpacing/>
              <w:jc w:val="both"/>
              <w:textAlignment w:val="auto"/>
              <w:rPr>
                <w:rFonts w:asciiTheme="minorHAnsi" w:hAnsiTheme="minorHAnsi" w:cstheme="minorHAnsi"/>
                <w:szCs w:val="24"/>
              </w:rPr>
            </w:pPr>
            <w:r w:rsidRPr="0089224F">
              <w:rPr>
                <w:rFonts w:asciiTheme="minorHAnsi" w:hAnsiTheme="minorHAnsi" w:cstheme="minorHAnsi"/>
                <w:szCs w:val="24"/>
              </w:rPr>
              <w:t>Some operators believe the ITRs are important because, as the Regulator acknowledged in its Discussion Document on Call Termination Regulations (GG45426 on 5 November 2021), that it does not have legislative powers to directly control the international termination rates charged by terminating licensees for voice calls that originate in SA. This is where ITRs have a role to play to provide guidance to avoid South African subsidising the tax base of foreign countries.</w:t>
            </w:r>
          </w:p>
          <w:p w14:paraId="723A2067" w14:textId="77777777" w:rsidR="0089224F" w:rsidRPr="0089224F" w:rsidRDefault="0089224F" w:rsidP="0089224F">
            <w:pPr>
              <w:keepNext/>
              <w:ind w:left="720"/>
              <w:contextualSpacing/>
              <w:rPr>
                <w:rFonts w:asciiTheme="minorHAnsi" w:hAnsiTheme="minorHAnsi" w:cstheme="minorHAnsi"/>
                <w:szCs w:val="24"/>
              </w:rPr>
            </w:pPr>
          </w:p>
          <w:p w14:paraId="3AF9F5EC" w14:textId="77777777" w:rsidR="0089224F" w:rsidRPr="0089224F" w:rsidRDefault="0089224F" w:rsidP="0089224F">
            <w:pPr>
              <w:keepNext/>
              <w:numPr>
                <w:ilvl w:val="0"/>
                <w:numId w:val="2"/>
              </w:numPr>
              <w:tabs>
                <w:tab w:val="clear" w:pos="567"/>
                <w:tab w:val="clear" w:pos="1134"/>
                <w:tab w:val="clear" w:pos="1701"/>
                <w:tab w:val="clear" w:pos="2268"/>
                <w:tab w:val="clear" w:pos="2835"/>
              </w:tabs>
              <w:overflowPunct/>
              <w:autoSpaceDE/>
              <w:autoSpaceDN/>
              <w:adjustRightInd/>
              <w:spacing w:before="840"/>
              <w:ind w:left="294" w:hanging="294"/>
              <w:contextualSpacing/>
              <w:jc w:val="both"/>
              <w:textAlignment w:val="auto"/>
              <w:rPr>
                <w:rFonts w:asciiTheme="minorHAnsi" w:hAnsiTheme="minorHAnsi" w:cstheme="minorHAnsi"/>
                <w:szCs w:val="24"/>
              </w:rPr>
            </w:pPr>
            <w:r w:rsidRPr="0089224F">
              <w:rPr>
                <w:rFonts w:asciiTheme="minorHAnsi" w:hAnsiTheme="minorHAnsi" w:cstheme="minorHAnsi"/>
                <w:szCs w:val="24"/>
              </w:rPr>
              <w:t>Some operators are not utilising the ITRs. ITRs only serve as a guiding framework.</w:t>
            </w:r>
          </w:p>
          <w:p w14:paraId="43FC5337" w14:textId="77777777" w:rsidR="0089224F" w:rsidRPr="0089224F" w:rsidRDefault="0089224F" w:rsidP="0089224F">
            <w:pPr>
              <w:keepNext/>
              <w:tabs>
                <w:tab w:val="clear" w:pos="567"/>
                <w:tab w:val="clear" w:pos="1134"/>
                <w:tab w:val="clear" w:pos="1701"/>
                <w:tab w:val="clear" w:pos="2268"/>
                <w:tab w:val="clear" w:pos="2835"/>
              </w:tabs>
              <w:overflowPunct/>
              <w:autoSpaceDE/>
              <w:autoSpaceDN/>
              <w:adjustRightInd/>
              <w:spacing w:before="840"/>
              <w:ind w:left="207"/>
              <w:contextualSpacing/>
              <w:textAlignment w:val="auto"/>
              <w:rPr>
                <w:rFonts w:asciiTheme="minorHAnsi" w:hAnsiTheme="minorHAnsi" w:cstheme="minorHAnsi"/>
                <w:szCs w:val="24"/>
              </w:rPr>
            </w:pPr>
          </w:p>
        </w:tc>
      </w:tr>
    </w:tbl>
    <w:p w14:paraId="6BACCAFB" w14:textId="4CD3CDEF" w:rsidR="0089224F" w:rsidRPr="0089224F" w:rsidRDefault="0089224F" w:rsidP="0089224F">
      <w:pPr>
        <w:tabs>
          <w:tab w:val="clear" w:pos="567"/>
          <w:tab w:val="clear" w:pos="1134"/>
          <w:tab w:val="clear" w:pos="1701"/>
          <w:tab w:val="clear" w:pos="2268"/>
          <w:tab w:val="clear" w:pos="2835"/>
        </w:tabs>
        <w:overflowPunct/>
        <w:autoSpaceDE/>
        <w:autoSpaceDN/>
        <w:adjustRightInd/>
        <w:spacing w:before="840" w:after="120"/>
        <w:jc w:val="center"/>
        <w:textAlignment w:val="auto"/>
      </w:pPr>
      <w:r w:rsidRPr="0089224F">
        <w:t>________________</w:t>
      </w:r>
    </w:p>
    <w:sectPr w:rsidR="0089224F" w:rsidRPr="0089224F"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7777777" w:rsidR="00EE49E8" w:rsidRDefault="00EE49E8" w:rsidP="00EE49E8">
          <w:pPr>
            <w:pStyle w:val="Header"/>
            <w:jc w:val="left"/>
            <w:rPr>
              <w:noProof/>
            </w:rPr>
          </w:pPr>
          <w:r>
            <w:rPr>
              <w:noProof/>
            </w:rPr>
            <w:t>DPS #</w:t>
          </w:r>
        </w:p>
      </w:tc>
      <w:tc>
        <w:tcPr>
          <w:tcW w:w="8261" w:type="dxa"/>
        </w:tcPr>
        <w:p w14:paraId="2D49E76E" w14:textId="4954D092"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00A52C84" w:rsidRPr="00623AE3">
            <w:rPr>
              <w:bCs/>
            </w:rPr>
            <w:t>/</w:t>
          </w:r>
          <w:r w:rsidR="0089224F">
            <w:rPr>
              <w:bCs/>
            </w:rPr>
            <w:t>17</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582C2778"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Pr="00623AE3">
            <w:rPr>
              <w:bCs/>
            </w:rPr>
            <w:t>/</w:t>
          </w:r>
          <w:r w:rsidR="00573B30">
            <w:rPr>
              <w:bCs/>
            </w:rPr>
            <w:t>17</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B993683"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D024E">
                            <w:rPr>
                              <w:sz w:val="20"/>
                            </w:rPr>
                            <w:t>Second</w:t>
                          </w:r>
                          <w:r w:rsidR="00130599" w:rsidRPr="00130599">
                            <w:rPr>
                              <w:sz w:val="20"/>
                            </w:rPr>
                            <w:t xml:space="preserve"> meeting - </w:t>
                          </w:r>
                          <w:r w:rsidR="009D024E">
                            <w:rPr>
                              <w:sz w:val="20"/>
                            </w:rPr>
                            <w:t>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B993683"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D024E">
                      <w:rPr>
                        <w:sz w:val="20"/>
                      </w:rPr>
                      <w:t>Second</w:t>
                    </w:r>
                    <w:r w:rsidR="00130599" w:rsidRPr="00130599">
                      <w:rPr>
                        <w:sz w:val="20"/>
                      </w:rPr>
                      <w:t xml:space="preserve"> meeting - </w:t>
                    </w:r>
                    <w:r w:rsidR="009D024E">
                      <w:rPr>
                        <w:sz w:val="20"/>
                      </w:rPr>
                      <w:t>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7B3B60"/>
    <w:multiLevelType w:val="hybridMultilevel"/>
    <w:tmpl w:val="0820053C"/>
    <w:lvl w:ilvl="0" w:tplc="103052E8">
      <w:start w:val="2"/>
      <w:numFmt w:val="bullet"/>
      <w:lvlText w:val="-"/>
      <w:lvlJc w:val="left"/>
      <w:pPr>
        <w:ind w:left="720" w:hanging="360"/>
      </w:pPr>
      <w:rPr>
        <w:rFonts w:ascii="Cambria" w:eastAsiaTheme="minorHAnsi" w:hAnsi="Cambria"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2266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0555B"/>
    <w:rsid w:val="002119FD"/>
    <w:rsid w:val="002130E0"/>
    <w:rsid w:val="00244F7F"/>
    <w:rsid w:val="00264425"/>
    <w:rsid w:val="00265875"/>
    <w:rsid w:val="0027303B"/>
    <w:rsid w:val="0028109B"/>
    <w:rsid w:val="00293B38"/>
    <w:rsid w:val="002A2188"/>
    <w:rsid w:val="002B1F58"/>
    <w:rsid w:val="002C1C7A"/>
    <w:rsid w:val="002C54E2"/>
    <w:rsid w:val="002C70D3"/>
    <w:rsid w:val="0030160F"/>
    <w:rsid w:val="00320223"/>
    <w:rsid w:val="00322D0D"/>
    <w:rsid w:val="00361465"/>
    <w:rsid w:val="0036415F"/>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73B30"/>
    <w:rsid w:val="005800BC"/>
    <w:rsid w:val="00582442"/>
    <w:rsid w:val="005A335D"/>
    <w:rsid w:val="005E2BD5"/>
    <w:rsid w:val="005F3269"/>
    <w:rsid w:val="00623AE3"/>
    <w:rsid w:val="00636853"/>
    <w:rsid w:val="0064737F"/>
    <w:rsid w:val="006535F1"/>
    <w:rsid w:val="0065557D"/>
    <w:rsid w:val="00660D50"/>
    <w:rsid w:val="00662984"/>
    <w:rsid w:val="006716BB"/>
    <w:rsid w:val="006B1859"/>
    <w:rsid w:val="006B6680"/>
    <w:rsid w:val="006B6DCC"/>
    <w:rsid w:val="006C11BB"/>
    <w:rsid w:val="006D7A3B"/>
    <w:rsid w:val="00702DEF"/>
    <w:rsid w:val="00706861"/>
    <w:rsid w:val="00745D44"/>
    <w:rsid w:val="0075051B"/>
    <w:rsid w:val="00775655"/>
    <w:rsid w:val="00793188"/>
    <w:rsid w:val="00794D34"/>
    <w:rsid w:val="00794DFC"/>
    <w:rsid w:val="00813E5E"/>
    <w:rsid w:val="0083408D"/>
    <w:rsid w:val="0083581B"/>
    <w:rsid w:val="00842B11"/>
    <w:rsid w:val="00863874"/>
    <w:rsid w:val="00864AFF"/>
    <w:rsid w:val="00865925"/>
    <w:rsid w:val="0086704D"/>
    <w:rsid w:val="0089224F"/>
    <w:rsid w:val="008B4A6A"/>
    <w:rsid w:val="008C7E27"/>
    <w:rsid w:val="008F7448"/>
    <w:rsid w:val="0090147A"/>
    <w:rsid w:val="009173EF"/>
    <w:rsid w:val="00932906"/>
    <w:rsid w:val="00961B0B"/>
    <w:rsid w:val="00962D33"/>
    <w:rsid w:val="009B38C3"/>
    <w:rsid w:val="009D024E"/>
    <w:rsid w:val="009E17BD"/>
    <w:rsid w:val="009E485A"/>
    <w:rsid w:val="00A028B5"/>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670A7"/>
    <w:rsid w:val="00DB00D5"/>
    <w:rsid w:val="00DB1936"/>
    <w:rsid w:val="00DB384B"/>
    <w:rsid w:val="00DF0189"/>
    <w:rsid w:val="00E06FD5"/>
    <w:rsid w:val="00E10E80"/>
    <w:rsid w:val="00E124F0"/>
    <w:rsid w:val="00E227F3"/>
    <w:rsid w:val="00E543AC"/>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1229</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Empirical data on the current use of the ITRs by operating agencies and/or administrations and the proportion of global</dc:title>
  <dc:subject>Expert Group on the International Telecommunication Regulations</dc:subject>
  <dc:creator/>
  <cp:keywords>EG-ITRs, C24</cp:keywords>
  <dc:description/>
  <cp:lastModifiedBy/>
  <cp:revision>1</cp:revision>
  <dcterms:created xsi:type="dcterms:W3CDTF">2024-01-17T17:36:00Z</dcterms:created>
  <dcterms:modified xsi:type="dcterms:W3CDTF">2024-01-17T17:52:00Z</dcterms:modified>
  <cp:category>Conference document</cp:category>
</cp:coreProperties>
</file>