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4999237"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9D024E">
              <w:rPr>
                <w:b/>
                <w:lang w:val="fr-CH"/>
              </w:rPr>
              <w:t>2</w:t>
            </w:r>
            <w:r w:rsidRPr="00A52C84">
              <w:rPr>
                <w:b/>
                <w:lang w:val="fr-CH"/>
              </w:rPr>
              <w:t>/</w:t>
            </w:r>
            <w:r w:rsidR="00E46268">
              <w:rPr>
                <w:b/>
                <w:lang w:val="fr-CH"/>
              </w:rPr>
              <w:t>19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C9533B8" w:rsidR="00AD3606" w:rsidRPr="00E85629" w:rsidRDefault="007B2CD8" w:rsidP="00AD3606">
            <w:pPr>
              <w:tabs>
                <w:tab w:val="left" w:pos="851"/>
              </w:tabs>
              <w:spacing w:before="0"/>
              <w:jc w:val="right"/>
              <w:rPr>
                <w:b/>
              </w:rPr>
            </w:pPr>
            <w:r w:rsidRPr="007B2CD8">
              <w:rPr>
                <w:b/>
              </w:rPr>
              <w:t>17</w:t>
            </w:r>
            <w:r w:rsidR="00AD3606" w:rsidRPr="007B2CD8">
              <w:rPr>
                <w:b/>
              </w:rPr>
              <w:t xml:space="preserve"> </w:t>
            </w:r>
            <w:r w:rsidR="0083408D" w:rsidRPr="007B2CD8">
              <w:rPr>
                <w:b/>
              </w:rPr>
              <w:t>January</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9DAA1E" w:rsidR="00AD3606" w:rsidRPr="00E85629" w:rsidRDefault="00A028B5" w:rsidP="00AD3606">
            <w:pPr>
              <w:tabs>
                <w:tab w:val="left" w:pos="851"/>
              </w:tabs>
              <w:spacing w:before="0" w:line="240" w:lineRule="atLeast"/>
              <w:jc w:val="right"/>
              <w:rPr>
                <w:b/>
              </w:rPr>
            </w:pPr>
            <w:r>
              <w:rPr>
                <w:b/>
              </w:rPr>
              <w:t>English</w:t>
            </w:r>
            <w:r w:rsidR="00E46268">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BAA7EE8" w:rsidR="00AD3606" w:rsidRPr="009D024E" w:rsidRDefault="00244F7F" w:rsidP="009D024E">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842B11" w:rsidRPr="00842B11">
              <w:t xml:space="preserve">from </w:t>
            </w:r>
            <w:r w:rsidR="00F94AF1">
              <w:t>the United States of America</w:t>
            </w:r>
          </w:p>
        </w:tc>
      </w:tr>
      <w:tr w:rsidR="00AD3606" w:rsidRPr="00813E5E" w14:paraId="2340750D" w14:textId="77777777" w:rsidTr="00AD3606">
        <w:trPr>
          <w:cantSplit/>
        </w:trPr>
        <w:tc>
          <w:tcPr>
            <w:tcW w:w="9214" w:type="dxa"/>
            <w:gridSpan w:val="2"/>
            <w:tcMar>
              <w:left w:w="0" w:type="dxa"/>
            </w:tcMar>
          </w:tcPr>
          <w:p w14:paraId="47B91AA8" w14:textId="0E034BB1" w:rsidR="00AD3606" w:rsidRPr="009D024E" w:rsidRDefault="00E46268" w:rsidP="009D024E">
            <w:pPr>
              <w:pStyle w:val="Subtitle"/>
              <w:framePr w:hSpace="0" w:wrap="auto" w:xAlign="left" w:yAlign="inline"/>
            </w:pPr>
            <w:bookmarkStart w:id="9" w:name="dtitle1" w:colFirst="0" w:colLast="0"/>
            <w:bookmarkStart w:id="10" w:name="_Hlk156469602"/>
            <w:bookmarkEnd w:id="8"/>
            <w:r>
              <w:t>OVERALL U.S. VIEWS ON THE CURRENT REVIEW OF THE ITRS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DCE345C" w14:textId="77777777" w:rsidR="00E72A65" w:rsidRDefault="004D648B" w:rsidP="00E72A65">
            <w:pPr>
              <w:spacing w:before="160"/>
              <w:rPr>
                <w:b/>
                <w:bCs/>
                <w:sz w:val="26"/>
                <w:szCs w:val="26"/>
              </w:rPr>
            </w:pPr>
            <w:r w:rsidRPr="004D648B">
              <w:rPr>
                <w:b/>
                <w:bCs/>
                <w:sz w:val="26"/>
                <w:szCs w:val="26"/>
              </w:rPr>
              <w:t>Purpose</w:t>
            </w:r>
          </w:p>
          <w:p w14:paraId="222769AB" w14:textId="76E333C9" w:rsidR="00E72A65" w:rsidRPr="00E72A65" w:rsidRDefault="00E72A65" w:rsidP="00E72A65">
            <w:pPr>
              <w:spacing w:before="160"/>
              <w:rPr>
                <w:b/>
                <w:bCs/>
                <w:sz w:val="26"/>
                <w:szCs w:val="26"/>
              </w:rPr>
            </w:pPr>
            <w:r>
              <w:rPr>
                <w:lang w:val="en-US"/>
              </w:rPr>
              <w:t>This contribution reaffirms longstanding U.S. views on the ITRs, organized</w:t>
            </w:r>
            <w:r w:rsidRPr="003A410B">
              <w:rPr>
                <w:lang w:val="en-US"/>
              </w:rPr>
              <w:t xml:space="preserve"> along the elements</w:t>
            </w:r>
            <w:r>
              <w:rPr>
                <w:lang w:val="en-US"/>
              </w:rPr>
              <w:t xml:space="preserve"> of the current review as set out in the Terms of Reference and “taking into consideration the work of the previous two Expert Groups.” </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25270594" w:rsidR="004D648B" w:rsidRPr="004D648B" w:rsidRDefault="009D024E" w:rsidP="004D648B">
            <w:pPr>
              <w:spacing w:before="160"/>
              <w:rPr>
                <w:b/>
                <w:bCs/>
                <w:szCs w:val="24"/>
              </w:rPr>
            </w:pPr>
            <w:r w:rsidRPr="002702E9">
              <w:t xml:space="preserve">The Expert Group on the International Telecommunication Regulations is invited </w:t>
            </w:r>
            <w:r w:rsidRPr="00E46268">
              <w:rPr>
                <w:b/>
                <w:bCs/>
              </w:rPr>
              <w:t xml:space="preserve">to </w:t>
            </w:r>
            <w:r w:rsidR="00F047CE" w:rsidRPr="00E46268">
              <w:rPr>
                <w:b/>
                <w:bCs/>
              </w:rPr>
              <w:t>discuss</w:t>
            </w:r>
            <w:r w:rsidRPr="002702E9">
              <w:t xml:space="preserve"> this document</w:t>
            </w:r>
            <w:r w:rsidR="00F047CE">
              <w:t xml:space="preserve"> and reflect it in the progress report to </w:t>
            </w:r>
            <w:r w:rsidR="00C949EE">
              <w:t xml:space="preserve">Council 2024. </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00DEE14C" w14:textId="3D4A82BE" w:rsidR="00AD3606" w:rsidRDefault="004D648B" w:rsidP="004D648B">
            <w:pPr>
              <w:spacing w:before="160"/>
              <w:rPr>
                <w:b/>
                <w:bCs/>
                <w:sz w:val="26"/>
                <w:szCs w:val="26"/>
              </w:rPr>
            </w:pPr>
            <w:r w:rsidRPr="004D648B">
              <w:rPr>
                <w:b/>
                <w:bCs/>
                <w:sz w:val="26"/>
                <w:szCs w:val="26"/>
              </w:rPr>
              <w:t>References</w:t>
            </w:r>
            <w:r w:rsidR="00E543AC">
              <w:rPr>
                <w:b/>
                <w:bCs/>
                <w:sz w:val="26"/>
                <w:szCs w:val="26"/>
              </w:rPr>
              <w:t xml:space="preserve"> </w:t>
            </w:r>
          </w:p>
          <w:p w14:paraId="0175CD6C" w14:textId="26E01425" w:rsidR="00E72A65" w:rsidRPr="00E46268" w:rsidRDefault="00E46268" w:rsidP="00E46268">
            <w:pPr>
              <w:spacing w:before="60" w:after="240"/>
              <w:rPr>
                <w:i/>
                <w:iCs/>
                <w:szCs w:val="24"/>
                <w:lang w:val="es-ES"/>
              </w:rPr>
            </w:pPr>
            <w:hyperlink r:id="rId11" w:history="1">
              <w:r w:rsidR="00E72A65" w:rsidRPr="00E46268">
                <w:rPr>
                  <w:rStyle w:val="Hyperlink"/>
                  <w:bCs/>
                  <w:i/>
                  <w:iCs/>
                </w:rPr>
                <w:t>EG-ITRs-2/5</w:t>
              </w:r>
            </w:hyperlink>
            <w:r w:rsidRPr="00E46268">
              <w:rPr>
                <w:rStyle w:val="Hyperlink"/>
                <w:bCs/>
                <w:i/>
                <w:iCs/>
                <w:color w:val="auto"/>
                <w:u w:val="none"/>
              </w:rPr>
              <w:t xml:space="preserve">; </w:t>
            </w:r>
            <w:hyperlink r:id="rId12" w:history="1">
              <w:r w:rsidR="00E72A65" w:rsidRPr="00E46268">
                <w:rPr>
                  <w:rStyle w:val="Hyperlink"/>
                  <w:rFonts w:asciiTheme="minorHAnsi" w:hAnsiTheme="minorHAnsi" w:cstheme="minorHAnsi"/>
                  <w:i/>
                  <w:iCs/>
                  <w:lang w:val="de-CH"/>
                </w:rPr>
                <w:t>EG-ITRs-4/7</w:t>
              </w:r>
            </w:hyperlink>
            <w:r w:rsidRPr="00E46268">
              <w:rPr>
                <w:rStyle w:val="Hyperlink"/>
                <w:rFonts w:asciiTheme="minorHAnsi" w:hAnsiTheme="minorHAnsi" w:cstheme="minorHAnsi"/>
                <w:i/>
                <w:iCs/>
                <w:color w:val="auto"/>
                <w:u w:val="none"/>
                <w:lang w:val="de-CH"/>
              </w:rPr>
              <w:t xml:space="preserve">; </w:t>
            </w:r>
            <w:hyperlink r:id="rId13" w:history="1">
              <w:r w:rsidR="00E72A65" w:rsidRPr="00E46268">
                <w:rPr>
                  <w:rStyle w:val="Hyperlink"/>
                  <w:i/>
                  <w:iCs/>
                  <w:szCs w:val="24"/>
                  <w:lang w:val="es-ES"/>
                </w:rPr>
                <w:t>EG-ITRs-3/5</w:t>
              </w:r>
            </w:hyperlink>
            <w:r w:rsidRPr="00E46268">
              <w:rPr>
                <w:rStyle w:val="Hyperlink"/>
                <w:i/>
                <w:iCs/>
                <w:color w:val="auto"/>
                <w:szCs w:val="24"/>
                <w:u w:val="none"/>
                <w:lang w:val="es-ES"/>
              </w:rPr>
              <w:t>.</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43C47733" w14:textId="0535E436" w:rsidR="003A410B" w:rsidRPr="003A410B" w:rsidRDefault="007F4C8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lastRenderedPageBreak/>
        <w:t>The United States part</w:t>
      </w:r>
      <w:r w:rsidR="000B1429">
        <w:rPr>
          <w:lang w:val="en-US"/>
        </w:rPr>
        <w:t xml:space="preserve">icipated actively in the two previous </w:t>
      </w:r>
      <w:r w:rsidR="00D26B59">
        <w:rPr>
          <w:lang w:val="en-US"/>
        </w:rPr>
        <w:t xml:space="preserve">iterations of the Expert Group on the ITRs.  </w:t>
      </w:r>
      <w:r w:rsidR="00EF1873">
        <w:rPr>
          <w:lang w:val="en-US"/>
        </w:rPr>
        <w:t>With th</w:t>
      </w:r>
      <w:r w:rsidR="003139F7">
        <w:rPr>
          <w:lang w:val="en-US"/>
        </w:rPr>
        <w:t>e benefit of this experience</w:t>
      </w:r>
      <w:r w:rsidR="00EF1873">
        <w:rPr>
          <w:lang w:val="en-US"/>
        </w:rPr>
        <w:t>, we reiterate our longstanding position on the ITRs,</w:t>
      </w:r>
      <w:r w:rsidR="00E96F8A">
        <w:rPr>
          <w:lang w:val="en-US"/>
        </w:rPr>
        <w:t xml:space="preserve"> organized</w:t>
      </w:r>
      <w:r w:rsidR="003A410B" w:rsidRPr="003A410B">
        <w:rPr>
          <w:lang w:val="en-US"/>
        </w:rPr>
        <w:t xml:space="preserve"> along the elements</w:t>
      </w:r>
      <w:r w:rsidR="00E96F8A">
        <w:rPr>
          <w:lang w:val="en-US"/>
        </w:rPr>
        <w:t xml:space="preserve"> of the current review as set out in the Terms of Reference</w:t>
      </w:r>
      <w:r w:rsidR="006F61C2">
        <w:rPr>
          <w:lang w:val="en-US"/>
        </w:rPr>
        <w:t xml:space="preserve">, </w:t>
      </w:r>
      <w:r w:rsidR="00B11DCC">
        <w:rPr>
          <w:lang w:val="en-US"/>
        </w:rPr>
        <w:t>“taking into consideration the work of the previous two Expert Groups</w:t>
      </w:r>
      <w:r w:rsidR="00D26B59">
        <w:rPr>
          <w:lang w:val="en-US"/>
        </w:rPr>
        <w:t>.</w:t>
      </w:r>
      <w:r w:rsidR="00B11DCC">
        <w:rPr>
          <w:lang w:val="en-US"/>
        </w:rPr>
        <w:t>”</w:t>
      </w:r>
      <w:r w:rsidR="00553CB5">
        <w:rPr>
          <w:lang w:val="en-US"/>
        </w:rPr>
        <w:t xml:space="preserve"> </w:t>
      </w:r>
    </w:p>
    <w:p w14:paraId="3CBE8FD8" w14:textId="77777777" w:rsidR="003A410B" w:rsidRPr="003A410B" w:rsidRDefault="003A410B">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3A758DC9" w14:textId="6E1D8E77" w:rsidR="00B316FC" w:rsidRDefault="00C009A1" w:rsidP="00BD5F5F">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60"/>
        <w:textAlignment w:val="auto"/>
        <w:rPr>
          <w:i/>
          <w:iCs/>
          <w:lang w:val="en-US"/>
        </w:rPr>
      </w:pPr>
      <w:r w:rsidRPr="00813B26">
        <w:rPr>
          <w:i/>
          <w:iCs/>
          <w:lang w:val="en-US"/>
        </w:rPr>
        <w:t xml:space="preserve">New </w:t>
      </w:r>
      <w:r w:rsidR="00813B26">
        <w:rPr>
          <w:i/>
          <w:iCs/>
          <w:lang w:val="en-US"/>
        </w:rPr>
        <w:t>trends and emerging issues:</w:t>
      </w:r>
      <w:r w:rsidR="00F0146C">
        <w:rPr>
          <w:i/>
          <w:iCs/>
          <w:lang w:val="en-US"/>
        </w:rPr>
        <w:t xml:space="preserve"> </w:t>
      </w:r>
      <w:r w:rsidR="008F49F5">
        <w:rPr>
          <w:lang w:val="en-US"/>
        </w:rPr>
        <w:t xml:space="preserve">As the United States </w:t>
      </w:r>
      <w:r w:rsidR="005B546A">
        <w:rPr>
          <w:lang w:val="en-US"/>
        </w:rPr>
        <w:t xml:space="preserve">has </w:t>
      </w:r>
      <w:r w:rsidR="00C60812">
        <w:rPr>
          <w:lang w:val="en-US"/>
        </w:rPr>
        <w:t>long noted</w:t>
      </w:r>
      <w:r w:rsidR="005B546A">
        <w:rPr>
          <w:lang w:val="en-US"/>
        </w:rPr>
        <w:t xml:space="preserve">, there is a fundamental </w:t>
      </w:r>
      <w:r w:rsidR="000A0AB4">
        <w:rPr>
          <w:lang w:val="en-US"/>
        </w:rPr>
        <w:t>incompatibility with</w:t>
      </w:r>
      <w:r w:rsidR="005B546A">
        <w:rPr>
          <w:lang w:val="en-US"/>
        </w:rPr>
        <w:t xml:space="preserve"> </w:t>
      </w:r>
      <w:r w:rsidR="00EC08BD">
        <w:rPr>
          <w:lang w:val="en-US"/>
        </w:rPr>
        <w:t xml:space="preserve">the use of an inflexible treaty instrument to attempt to regulate </w:t>
      </w:r>
      <w:r w:rsidR="00E51CC1">
        <w:rPr>
          <w:lang w:val="en-US"/>
        </w:rPr>
        <w:t xml:space="preserve">a dynamic, competitive international telecommunications/ICT marketplace. </w:t>
      </w:r>
      <w:r w:rsidR="006F14BC">
        <w:rPr>
          <w:lang w:val="en-US"/>
        </w:rPr>
        <w:t xml:space="preserve"> </w:t>
      </w:r>
      <w:r w:rsidR="00E4671A">
        <w:rPr>
          <w:szCs w:val="24"/>
        </w:rPr>
        <w:t>T</w:t>
      </w:r>
      <w:r w:rsidR="006F14BC" w:rsidRPr="00A244B9">
        <w:rPr>
          <w:szCs w:val="24"/>
        </w:rPr>
        <w:t>reaty provisions relating to telecommunications must be flexible enough to</w:t>
      </w:r>
      <w:r w:rsidR="004107BF">
        <w:rPr>
          <w:szCs w:val="24"/>
        </w:rPr>
        <w:t xml:space="preserve"> keep up with</w:t>
      </w:r>
      <w:r w:rsidR="006F14BC" w:rsidRPr="00A244B9">
        <w:rPr>
          <w:szCs w:val="24"/>
        </w:rPr>
        <w:t xml:space="preserve"> constant changes in</w:t>
      </w:r>
      <w:r w:rsidR="00A0513B">
        <w:rPr>
          <w:szCs w:val="24"/>
        </w:rPr>
        <w:t xml:space="preserve"> technology and</w:t>
      </w:r>
      <w:r w:rsidR="006F14BC" w:rsidRPr="00A244B9">
        <w:rPr>
          <w:szCs w:val="24"/>
        </w:rPr>
        <w:t xml:space="preserve"> the market. </w:t>
      </w:r>
      <w:r w:rsidR="008463CA">
        <w:rPr>
          <w:szCs w:val="24"/>
        </w:rPr>
        <w:t xml:space="preserve"> </w:t>
      </w:r>
      <w:r w:rsidR="003C24C3">
        <w:rPr>
          <w:szCs w:val="24"/>
        </w:rPr>
        <w:t>I</w:t>
      </w:r>
      <w:r w:rsidR="008463CA" w:rsidRPr="00A244B9">
        <w:rPr>
          <w:szCs w:val="24"/>
        </w:rPr>
        <w:t xml:space="preserve">t remains unclear </w:t>
      </w:r>
      <w:r w:rsidR="008463CA" w:rsidRPr="00A244B9">
        <w:rPr>
          <w:rFonts w:cstheme="minorHAnsi"/>
          <w:szCs w:val="24"/>
        </w:rPr>
        <w:t xml:space="preserve">how a static, sector-specific treaty with limited real-world applicability could </w:t>
      </w:r>
      <w:r w:rsidR="008463CA">
        <w:rPr>
          <w:rFonts w:cstheme="minorHAnsi"/>
          <w:szCs w:val="24"/>
        </w:rPr>
        <w:t>ever</w:t>
      </w:r>
      <w:r w:rsidR="008463CA" w:rsidRPr="00A244B9">
        <w:rPr>
          <w:rFonts w:cstheme="minorHAnsi"/>
          <w:szCs w:val="24"/>
        </w:rPr>
        <w:t xml:space="preserve"> prove flexible enough to accommodate new trends and emerging issues in the international telecommunications/ICT environment</w:t>
      </w:r>
      <w:r w:rsidR="009941E6">
        <w:rPr>
          <w:rFonts w:cstheme="minorHAnsi"/>
          <w:szCs w:val="24"/>
        </w:rPr>
        <w:t xml:space="preserve"> </w:t>
      </w:r>
      <w:r w:rsidR="006F14BC" w:rsidRPr="00A244B9">
        <w:rPr>
          <w:szCs w:val="24"/>
        </w:rPr>
        <w:t xml:space="preserve">– </w:t>
      </w:r>
      <w:r w:rsidR="000D7A46">
        <w:rPr>
          <w:szCs w:val="24"/>
        </w:rPr>
        <w:t xml:space="preserve">given the rapid evolution of market and regulatory conditions, any attempts at new or revised </w:t>
      </w:r>
      <w:r w:rsidR="006F14BC" w:rsidRPr="00A244B9">
        <w:rPr>
          <w:szCs w:val="24"/>
        </w:rPr>
        <w:t xml:space="preserve">treaty provisions </w:t>
      </w:r>
      <w:r w:rsidR="000D7A46">
        <w:rPr>
          <w:szCs w:val="24"/>
        </w:rPr>
        <w:t xml:space="preserve">would immediately become </w:t>
      </w:r>
      <w:r w:rsidR="00D50343">
        <w:rPr>
          <w:szCs w:val="24"/>
        </w:rPr>
        <w:t>outdated.</w:t>
      </w:r>
    </w:p>
    <w:p w14:paraId="39699FD9" w14:textId="77777777" w:rsidR="00B316FC" w:rsidRPr="00F0146C" w:rsidRDefault="00B316FC"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lang w:val="en-US"/>
        </w:rPr>
      </w:pPr>
    </w:p>
    <w:p w14:paraId="0B55E20F" w14:textId="1D0AB7DC" w:rsidR="00E72A61" w:rsidRPr="001E4654" w:rsidRDefault="007A1CAD"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lang w:val="en-US"/>
        </w:rPr>
      </w:pPr>
      <w:r>
        <w:rPr>
          <w:lang w:val="en-US"/>
        </w:rPr>
        <w:t xml:space="preserve">ITU Members already undertake work on new trends and emerging issues without any </w:t>
      </w:r>
      <w:r w:rsidR="006E7B39">
        <w:rPr>
          <w:lang w:val="en-US"/>
        </w:rPr>
        <w:t>impact on</w:t>
      </w:r>
      <w:r>
        <w:rPr>
          <w:lang w:val="en-US"/>
        </w:rPr>
        <w:t xml:space="preserve"> the ITRs.</w:t>
      </w:r>
      <w:r w:rsidR="00B24978">
        <w:rPr>
          <w:lang w:val="en-US"/>
        </w:rPr>
        <w:t xml:space="preserve">  For example, </w:t>
      </w:r>
      <w:r w:rsidR="00E72A65">
        <w:rPr>
          <w:lang w:val="en-US"/>
        </w:rPr>
        <w:t xml:space="preserve">contribution </w:t>
      </w:r>
      <w:hyperlink r:id="rId14" w:history="1">
        <w:r w:rsidR="00E72A65" w:rsidRPr="00E46268">
          <w:rPr>
            <w:rStyle w:val="Hyperlink"/>
            <w:bCs/>
          </w:rPr>
          <w:t>EG-ITRs-2/5</w:t>
        </w:r>
      </w:hyperlink>
      <w:r w:rsidR="00E72A65" w:rsidRPr="00E46268">
        <w:rPr>
          <w:bCs/>
        </w:rPr>
        <w:t xml:space="preserve"> </w:t>
      </w:r>
      <w:r w:rsidR="00746455">
        <w:rPr>
          <w:lang w:val="en-US"/>
        </w:rPr>
        <w:t xml:space="preserve">details </w:t>
      </w:r>
      <w:r w:rsidR="00727036">
        <w:rPr>
          <w:lang w:val="en-US"/>
        </w:rPr>
        <w:t>some of the ITU’s efforts related to AI</w:t>
      </w:r>
      <w:r w:rsidR="00746455">
        <w:rPr>
          <w:lang w:val="en-US"/>
        </w:rPr>
        <w:t xml:space="preserve">.  </w:t>
      </w:r>
      <w:r w:rsidR="00693657" w:rsidRPr="00F0146C">
        <w:rPr>
          <w:lang w:val="en-US"/>
        </w:rPr>
        <w:t>Contrary to</w:t>
      </w:r>
      <w:r w:rsidR="00746455">
        <w:rPr>
          <w:lang w:val="en-US"/>
        </w:rPr>
        <w:t xml:space="preserve"> its conclusion, however, </w:t>
      </w:r>
      <w:r w:rsidR="006E7B39">
        <w:rPr>
          <w:lang w:val="en-US"/>
        </w:rPr>
        <w:t xml:space="preserve">we believe this </w:t>
      </w:r>
      <w:r w:rsidR="00F615D8">
        <w:rPr>
          <w:lang w:val="en-US"/>
        </w:rPr>
        <w:t>contribution</w:t>
      </w:r>
      <w:r w:rsidR="00746455">
        <w:rPr>
          <w:lang w:val="en-US"/>
        </w:rPr>
        <w:t xml:space="preserve"> </w:t>
      </w:r>
      <w:r w:rsidR="00E72A65">
        <w:rPr>
          <w:lang w:val="en-US"/>
        </w:rPr>
        <w:t>highlights how</w:t>
      </w:r>
      <w:r w:rsidR="00CE0A2D">
        <w:rPr>
          <w:lang w:val="en-US"/>
        </w:rPr>
        <w:t xml:space="preserve"> the international community is already successfully addressing AI </w:t>
      </w:r>
      <w:r w:rsidR="00880C78">
        <w:rPr>
          <w:lang w:val="en-US"/>
        </w:rPr>
        <w:t xml:space="preserve">without any </w:t>
      </w:r>
      <w:r w:rsidR="001E4654">
        <w:rPr>
          <w:lang w:val="en-US"/>
        </w:rPr>
        <w:t xml:space="preserve">need or role for the ITRs.  </w:t>
      </w:r>
      <w:r w:rsidR="006E7B39">
        <w:rPr>
          <w:lang w:val="en-US"/>
        </w:rPr>
        <w:t>This contribution</w:t>
      </w:r>
      <w:r w:rsidR="00826ACD" w:rsidRPr="001E4654">
        <w:rPr>
          <w:lang w:val="en-US"/>
        </w:rPr>
        <w:t xml:space="preserve"> </w:t>
      </w:r>
      <w:r w:rsidR="001E4654">
        <w:rPr>
          <w:lang w:val="en-US"/>
        </w:rPr>
        <w:t xml:space="preserve">also </w:t>
      </w:r>
      <w:r w:rsidR="00204BA2" w:rsidRPr="001E4654">
        <w:rPr>
          <w:lang w:val="en-US"/>
        </w:rPr>
        <w:t xml:space="preserve">neglects to </w:t>
      </w:r>
      <w:r w:rsidR="00DE3376" w:rsidRPr="001E4654">
        <w:rPr>
          <w:lang w:val="en-US"/>
        </w:rPr>
        <w:t>mention</w:t>
      </w:r>
      <w:r w:rsidR="00204BA2" w:rsidRPr="001E4654">
        <w:rPr>
          <w:lang w:val="en-US"/>
        </w:rPr>
        <w:t xml:space="preserve"> P</w:t>
      </w:r>
      <w:r w:rsidR="009775FB" w:rsidRPr="001E4654">
        <w:rPr>
          <w:lang w:val="en-US"/>
        </w:rPr>
        <w:t xml:space="preserve">P </w:t>
      </w:r>
      <w:r w:rsidR="00204BA2" w:rsidRPr="001E4654">
        <w:rPr>
          <w:lang w:val="en-US"/>
        </w:rPr>
        <w:t xml:space="preserve">Resolution </w:t>
      </w:r>
      <w:r w:rsidR="00B3208A" w:rsidRPr="001E4654">
        <w:rPr>
          <w:lang w:val="en-US"/>
        </w:rPr>
        <w:t>214 (Bucharest, 2022) on</w:t>
      </w:r>
      <w:r w:rsidR="000D4B84">
        <w:rPr>
          <w:lang w:val="en-US"/>
        </w:rPr>
        <w:t xml:space="preserve"> AI, which s</w:t>
      </w:r>
      <w:r w:rsidR="00A64116" w:rsidRPr="001E4654">
        <w:rPr>
          <w:lang w:val="en-US"/>
        </w:rPr>
        <w:t xml:space="preserve">erves as a successful recent example of how ITU Members </w:t>
      </w:r>
      <w:r w:rsidR="0026686B">
        <w:rPr>
          <w:lang w:val="en-US"/>
        </w:rPr>
        <w:t>are already addressing</w:t>
      </w:r>
      <w:r w:rsidR="00A64116" w:rsidRPr="001E4654">
        <w:rPr>
          <w:lang w:val="en-US"/>
        </w:rPr>
        <w:t xml:space="preserve"> </w:t>
      </w:r>
      <w:r w:rsidR="007220E0" w:rsidRPr="001E4654">
        <w:rPr>
          <w:lang w:val="en-US"/>
        </w:rPr>
        <w:t xml:space="preserve">new trends and emerging issues </w:t>
      </w:r>
      <w:r w:rsidR="00356291">
        <w:rPr>
          <w:lang w:val="en-US"/>
        </w:rPr>
        <w:t>through more flexible mechanisms</w:t>
      </w:r>
      <w:r w:rsidR="002E568F">
        <w:rPr>
          <w:lang w:val="en-US"/>
        </w:rPr>
        <w:t xml:space="preserve">, again without need to </w:t>
      </w:r>
      <w:r w:rsidR="00A0513B">
        <w:rPr>
          <w:lang w:val="en-US"/>
        </w:rPr>
        <w:t xml:space="preserve">modify </w:t>
      </w:r>
      <w:r w:rsidR="002E568F">
        <w:rPr>
          <w:lang w:val="en-US"/>
        </w:rPr>
        <w:t>the ITRs.</w:t>
      </w:r>
    </w:p>
    <w:p w14:paraId="6D2AD84A" w14:textId="77777777" w:rsidR="00204BA2" w:rsidRDefault="00204BA2"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i/>
          <w:iCs/>
          <w:lang w:val="en-US"/>
        </w:rPr>
      </w:pPr>
    </w:p>
    <w:p w14:paraId="5AB1D693" w14:textId="2001DFB9" w:rsidR="00BB7C11" w:rsidRPr="00BB7C11" w:rsidRDefault="001C488C" w:rsidP="00BD5F5F">
      <w:pPr>
        <w:pStyle w:val="ListParagraph"/>
        <w:numPr>
          <w:ilvl w:val="0"/>
          <w:numId w:val="3"/>
        </w:numPr>
        <w:tabs>
          <w:tab w:val="clear" w:pos="567"/>
          <w:tab w:val="clear" w:pos="1134"/>
          <w:tab w:val="clear" w:pos="1701"/>
          <w:tab w:val="clear" w:pos="2268"/>
          <w:tab w:val="clear" w:pos="2835"/>
        </w:tabs>
        <w:overflowPunct/>
        <w:autoSpaceDE/>
        <w:autoSpaceDN/>
        <w:adjustRightInd/>
        <w:spacing w:before="0"/>
        <w:ind w:left="360"/>
        <w:textAlignment w:val="auto"/>
        <w:rPr>
          <w:i/>
          <w:iCs/>
          <w:lang w:val="en-US"/>
        </w:rPr>
      </w:pPr>
      <w:r w:rsidRPr="001941FF">
        <w:rPr>
          <w:i/>
          <w:iCs/>
          <w:lang w:val="en-US"/>
        </w:rPr>
        <w:t xml:space="preserve">Empirical </w:t>
      </w:r>
      <w:r w:rsidR="00813B26" w:rsidRPr="001941FF">
        <w:rPr>
          <w:i/>
          <w:iCs/>
          <w:lang w:val="en-US"/>
        </w:rPr>
        <w:t>data:</w:t>
      </w:r>
      <w:r w:rsidR="004622ED" w:rsidRPr="001941FF">
        <w:rPr>
          <w:i/>
          <w:iCs/>
          <w:lang w:val="en-US"/>
        </w:rPr>
        <w:t xml:space="preserve"> </w:t>
      </w:r>
      <w:r w:rsidR="002158DB">
        <w:rPr>
          <w:lang w:val="en-US"/>
        </w:rPr>
        <w:t>I</w:t>
      </w:r>
      <w:r w:rsidR="00677516">
        <w:rPr>
          <w:lang w:val="en-US"/>
        </w:rPr>
        <w:t xml:space="preserve">n earlier contributions to previous Expert Groups, U.S. Sector Members </w:t>
      </w:r>
      <w:r w:rsidR="006E7B39">
        <w:rPr>
          <w:lang w:val="en-US"/>
        </w:rPr>
        <w:t>and</w:t>
      </w:r>
      <w:r w:rsidR="00134D3C">
        <w:rPr>
          <w:lang w:val="en-US"/>
        </w:rPr>
        <w:t xml:space="preserve"> other</w:t>
      </w:r>
      <w:r w:rsidR="00CB1844">
        <w:rPr>
          <w:lang w:val="en-US"/>
        </w:rPr>
        <w:t xml:space="preserve"> leading global</w:t>
      </w:r>
      <w:r w:rsidR="006E7B39">
        <w:rPr>
          <w:lang w:val="en-US"/>
        </w:rPr>
        <w:t xml:space="preserve"> network</w:t>
      </w:r>
      <w:r w:rsidR="00CB1844">
        <w:rPr>
          <w:lang w:val="en-US"/>
        </w:rPr>
        <w:t xml:space="preserve"> operators </w:t>
      </w:r>
      <w:r w:rsidR="00677516">
        <w:rPr>
          <w:lang w:val="en-US"/>
        </w:rPr>
        <w:t xml:space="preserve">have repeatedly </w:t>
      </w:r>
      <w:r w:rsidR="00F9650A">
        <w:rPr>
          <w:lang w:val="en-US"/>
        </w:rPr>
        <w:t>established</w:t>
      </w:r>
      <w:r w:rsidR="00BB7C11">
        <w:rPr>
          <w:lang w:val="en-US"/>
        </w:rPr>
        <w:t xml:space="preserve"> that </w:t>
      </w:r>
      <w:proofErr w:type="gramStart"/>
      <w:r w:rsidR="00BB7C11">
        <w:rPr>
          <w:lang w:val="en-US"/>
        </w:rPr>
        <w:t>the vast majority of</w:t>
      </w:r>
      <w:proofErr w:type="gramEnd"/>
      <w:r w:rsidR="00BB7C11">
        <w:rPr>
          <w:lang w:val="en-US"/>
        </w:rPr>
        <w:t xml:space="preserve"> operators worldwide no longer use the ITRs and instead rely on commercial arrangements. </w:t>
      </w:r>
    </w:p>
    <w:p w14:paraId="4EB87FD7" w14:textId="77777777" w:rsidR="00BB7C11" w:rsidRPr="00BB7C11" w:rsidRDefault="00BB7C11" w:rsidP="00BD5F5F">
      <w:pPr>
        <w:tabs>
          <w:tab w:val="clear" w:pos="567"/>
          <w:tab w:val="clear" w:pos="1134"/>
          <w:tab w:val="clear" w:pos="1701"/>
          <w:tab w:val="clear" w:pos="2268"/>
          <w:tab w:val="clear" w:pos="2835"/>
        </w:tabs>
        <w:overflowPunct/>
        <w:autoSpaceDE/>
        <w:autoSpaceDN/>
        <w:adjustRightInd/>
        <w:spacing w:before="0"/>
        <w:ind w:left="360"/>
        <w:textAlignment w:val="auto"/>
        <w:rPr>
          <w:i/>
          <w:iCs/>
          <w:lang w:val="en-US"/>
        </w:rPr>
      </w:pPr>
    </w:p>
    <w:p w14:paraId="4A7D3F52" w14:textId="541FCC36" w:rsidR="00E021A3" w:rsidRDefault="00BF6DCA"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asciiTheme="minorHAnsi" w:hAnsiTheme="minorHAnsi" w:cstheme="minorHAnsi"/>
          <w:color w:val="000000" w:themeColor="text1"/>
          <w:szCs w:val="24"/>
        </w:rPr>
      </w:pPr>
      <w:r w:rsidRPr="00BB7C11">
        <w:rPr>
          <w:lang w:val="en-US"/>
        </w:rPr>
        <w:t xml:space="preserve">During the first Expert Group, for example, </w:t>
      </w:r>
      <w:r w:rsidR="004107BF" w:rsidRPr="00104DE0">
        <w:rPr>
          <w:rFonts w:asciiTheme="minorHAnsi" w:hAnsiTheme="minorHAnsi" w:cstheme="minorHAnsi"/>
          <w:color w:val="000000" w:themeColor="text1"/>
          <w:lang w:val="en-US"/>
        </w:rPr>
        <w:t xml:space="preserve">contribution </w:t>
      </w:r>
      <w:hyperlink r:id="rId15" w:history="1">
        <w:r w:rsidR="004107BF" w:rsidRPr="004107BF">
          <w:rPr>
            <w:rStyle w:val="Hyperlink"/>
            <w:rFonts w:asciiTheme="minorHAnsi" w:hAnsiTheme="minorHAnsi" w:cstheme="minorHAnsi"/>
            <w:lang w:val="de-CH"/>
          </w:rPr>
          <w:t>EG-ITRs-4/7</w:t>
        </w:r>
      </w:hyperlink>
      <w:r w:rsidR="004107BF" w:rsidRPr="00104DE0">
        <w:rPr>
          <w:rFonts w:asciiTheme="minorHAnsi" w:hAnsiTheme="minorHAnsi" w:cstheme="minorHAnsi"/>
          <w:color w:val="000000" w:themeColor="text1"/>
          <w:lang w:val="de-CH"/>
        </w:rPr>
        <w:t xml:space="preserve"> </w:t>
      </w:r>
      <w:r w:rsidR="004107BF">
        <w:rPr>
          <w:rFonts w:asciiTheme="minorHAnsi" w:hAnsiTheme="minorHAnsi" w:cstheme="minorHAnsi"/>
          <w:color w:val="000000" w:themeColor="text1"/>
          <w:lang w:val="de-CH"/>
        </w:rPr>
        <w:t xml:space="preserve">stated: </w:t>
      </w:r>
      <w:r w:rsidR="00BB7C11" w:rsidRPr="00BB7C11">
        <w:rPr>
          <w:rFonts w:asciiTheme="minorHAnsi" w:hAnsiTheme="minorHAnsi" w:cstheme="minorHAnsi"/>
          <w:color w:val="000000" w:themeColor="text1"/>
          <w:szCs w:val="24"/>
        </w:rPr>
        <w:t xml:space="preserve">“Based on our collective operational experience, the ITRs are no longer applicable to or relevant in today’s highly competitive international telecommunications market.  Rather, our companies exchange virtually all international traffic globally through </w:t>
      </w:r>
      <w:proofErr w:type="gramStart"/>
      <w:r w:rsidR="00BB7C11" w:rsidRPr="00BB7C11">
        <w:rPr>
          <w:rFonts w:asciiTheme="minorHAnsi" w:hAnsiTheme="minorHAnsi" w:cstheme="minorHAnsi"/>
          <w:color w:val="000000" w:themeColor="text1"/>
          <w:szCs w:val="24"/>
        </w:rPr>
        <w:t>commercially-negotiated</w:t>
      </w:r>
      <w:proofErr w:type="gramEnd"/>
      <w:r w:rsidR="00BB7C11" w:rsidRPr="00BB7C11">
        <w:rPr>
          <w:rFonts w:asciiTheme="minorHAnsi" w:hAnsiTheme="minorHAnsi" w:cstheme="minorHAnsi"/>
          <w:color w:val="000000" w:themeColor="text1"/>
          <w:szCs w:val="24"/>
        </w:rPr>
        <w:t xml:space="preserve"> agreements; any traffic settled under the ITRs is negligible.”  </w:t>
      </w:r>
    </w:p>
    <w:p w14:paraId="23971D0F" w14:textId="77777777" w:rsidR="00E021A3" w:rsidRDefault="00E021A3"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asciiTheme="minorHAnsi" w:hAnsiTheme="minorHAnsi" w:cstheme="minorHAnsi"/>
          <w:color w:val="000000" w:themeColor="text1"/>
          <w:szCs w:val="24"/>
        </w:rPr>
      </w:pPr>
    </w:p>
    <w:p w14:paraId="1BC92542" w14:textId="4B23CFDF" w:rsidR="00E021A3" w:rsidRPr="00E021A3" w:rsidRDefault="00BF6DCA" w:rsidP="00BD5F5F">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i/>
          <w:iCs/>
          <w:lang w:val="en-US"/>
        </w:rPr>
      </w:pPr>
      <w:r>
        <w:rPr>
          <w:lang w:val="en-US"/>
        </w:rPr>
        <w:t xml:space="preserve">Similarly, during the second Expert Group, </w:t>
      </w:r>
      <w:r w:rsidR="00E021A3">
        <w:rPr>
          <w:lang w:val="en-US"/>
        </w:rPr>
        <w:t xml:space="preserve">contribution </w:t>
      </w:r>
      <w:hyperlink r:id="rId16" w:history="1">
        <w:r w:rsidR="00E021A3" w:rsidRPr="00E021A3">
          <w:rPr>
            <w:rStyle w:val="Hyperlink"/>
            <w:szCs w:val="24"/>
            <w:lang w:val="es-ES"/>
          </w:rPr>
          <w:t>EG-ITRs-3</w:t>
        </w:r>
        <w:r w:rsidR="00E72A65">
          <w:rPr>
            <w:rStyle w:val="Hyperlink"/>
            <w:szCs w:val="24"/>
            <w:lang w:val="es-ES"/>
          </w:rPr>
          <w:t>/</w:t>
        </w:r>
        <w:r w:rsidR="00E021A3" w:rsidRPr="00E021A3">
          <w:rPr>
            <w:rStyle w:val="Hyperlink"/>
            <w:szCs w:val="24"/>
            <w:lang w:val="es-ES"/>
          </w:rPr>
          <w:t>5</w:t>
        </w:r>
      </w:hyperlink>
      <w:r w:rsidR="00E021A3">
        <w:rPr>
          <w:lang w:val="en-US"/>
        </w:rPr>
        <w:t xml:space="preserve"> reiterated: “</w:t>
      </w:r>
      <w:r w:rsidR="00E021A3" w:rsidRPr="00E021A3">
        <w:rPr>
          <w:rFonts w:asciiTheme="minorHAnsi" w:eastAsiaTheme="minorHAnsi" w:hAnsiTheme="minorHAnsi" w:cstheme="minorBidi"/>
          <w:kern w:val="2"/>
          <w:szCs w:val="24"/>
          <w:lang w:val="en-US"/>
          <w14:ligatures w14:val="standardContextual"/>
        </w:rPr>
        <w:t>To our knowledge, there are very few countries or carriers that continue to rely on the ITR-based accounting rate regime.</w:t>
      </w:r>
      <w:r w:rsidR="00E021A3">
        <w:rPr>
          <w:rFonts w:asciiTheme="minorHAnsi" w:eastAsiaTheme="minorHAnsi" w:hAnsiTheme="minorHAnsi" w:cstheme="minorBidi"/>
          <w:kern w:val="2"/>
          <w:szCs w:val="24"/>
          <w:lang w:val="en-US"/>
          <w14:ligatures w14:val="standardContextual"/>
        </w:rPr>
        <w:t xml:space="preserve"> […] </w:t>
      </w:r>
      <w:r w:rsidR="00E021A3" w:rsidRPr="00E021A3">
        <w:rPr>
          <w:rFonts w:asciiTheme="minorHAnsi" w:eastAsiaTheme="minorHAnsi" w:hAnsiTheme="minorHAnsi" w:cstheme="minorBidi"/>
          <w:kern w:val="2"/>
          <w:szCs w:val="24"/>
          <w:lang w:val="en-US"/>
          <w14:ligatures w14:val="standardContextual"/>
        </w:rPr>
        <w:t>Today, the emergence of multiple competing private-sector operators in each country has resulted in a competitive landscape that does not require any treaty instrument like the ITRs.</w:t>
      </w:r>
      <w:r w:rsidR="00E021A3">
        <w:rPr>
          <w:rFonts w:asciiTheme="minorHAnsi" w:eastAsiaTheme="minorHAnsi" w:hAnsiTheme="minorHAnsi" w:cstheme="minorBidi"/>
          <w:kern w:val="2"/>
          <w:szCs w:val="24"/>
          <w:lang w:val="en-US"/>
          <w14:ligatures w14:val="standardContextual"/>
        </w:rPr>
        <w:t>”</w:t>
      </w:r>
    </w:p>
    <w:p w14:paraId="2EF20AE9" w14:textId="77777777" w:rsidR="00BF6DCA" w:rsidRPr="006E7B39" w:rsidRDefault="00BF6DCA" w:rsidP="006E7B39">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334B59AF" w14:textId="3B062B1F" w:rsidR="00813B26" w:rsidRDefault="00C75993" w:rsidP="00BD5F5F">
      <w:pPr>
        <w:tabs>
          <w:tab w:val="clear" w:pos="567"/>
          <w:tab w:val="clear" w:pos="1134"/>
          <w:tab w:val="clear" w:pos="1701"/>
          <w:tab w:val="clear" w:pos="2268"/>
          <w:tab w:val="clear" w:pos="2835"/>
        </w:tabs>
        <w:overflowPunct/>
        <w:autoSpaceDE/>
        <w:autoSpaceDN/>
        <w:adjustRightInd/>
        <w:spacing w:before="0"/>
        <w:ind w:left="360"/>
        <w:textAlignment w:val="auto"/>
        <w:rPr>
          <w:lang w:val="en-US"/>
        </w:rPr>
      </w:pPr>
      <w:r w:rsidRPr="001941FF">
        <w:rPr>
          <w:lang w:val="en-US"/>
        </w:rPr>
        <w:t xml:space="preserve">The United States </w:t>
      </w:r>
      <w:r w:rsidR="005D1811">
        <w:rPr>
          <w:lang w:val="en-US"/>
        </w:rPr>
        <w:t>welcomes</w:t>
      </w:r>
      <w:r w:rsidR="00434148">
        <w:rPr>
          <w:lang w:val="en-US"/>
        </w:rPr>
        <w:t xml:space="preserve"> the </w:t>
      </w:r>
      <w:r w:rsidR="005D1811">
        <w:rPr>
          <w:lang w:val="en-US"/>
        </w:rPr>
        <w:t xml:space="preserve">continued </w:t>
      </w:r>
      <w:r w:rsidR="00434148">
        <w:rPr>
          <w:lang w:val="en-US"/>
        </w:rPr>
        <w:t xml:space="preserve">efforts of this Expert Group to base its conclusions on </w:t>
      </w:r>
      <w:r w:rsidR="009344E1">
        <w:rPr>
          <w:lang w:val="en-US"/>
        </w:rPr>
        <w:t xml:space="preserve">such </w:t>
      </w:r>
      <w:r w:rsidR="00434148">
        <w:rPr>
          <w:lang w:val="en-US"/>
        </w:rPr>
        <w:t>empirical evidence.</w:t>
      </w:r>
    </w:p>
    <w:p w14:paraId="02896C62" w14:textId="77777777" w:rsidR="00BD5F5F" w:rsidRPr="00BD5F5F" w:rsidRDefault="00BD5F5F" w:rsidP="00BD5F5F">
      <w:pPr>
        <w:tabs>
          <w:tab w:val="clear" w:pos="567"/>
          <w:tab w:val="clear" w:pos="1134"/>
          <w:tab w:val="clear" w:pos="1701"/>
          <w:tab w:val="clear" w:pos="2268"/>
          <w:tab w:val="clear" w:pos="2835"/>
        </w:tabs>
        <w:overflowPunct/>
        <w:autoSpaceDE/>
        <w:autoSpaceDN/>
        <w:adjustRightInd/>
        <w:spacing w:before="0"/>
        <w:ind w:left="360"/>
        <w:textAlignment w:val="auto"/>
        <w:rPr>
          <w:lang w:val="en-US"/>
        </w:rPr>
      </w:pPr>
    </w:p>
    <w:p w14:paraId="0608084B" w14:textId="3A853088" w:rsidR="00EF1873" w:rsidRPr="00EF1873" w:rsidRDefault="00C009A1" w:rsidP="00E46268">
      <w:pPr>
        <w:pStyle w:val="ListParagraph"/>
        <w:keepNext/>
        <w:keepLines/>
        <w:numPr>
          <w:ilvl w:val="0"/>
          <w:numId w:val="3"/>
        </w:numPr>
        <w:tabs>
          <w:tab w:val="clear" w:pos="567"/>
          <w:tab w:val="clear" w:pos="1134"/>
          <w:tab w:val="clear" w:pos="1701"/>
          <w:tab w:val="clear" w:pos="2268"/>
          <w:tab w:val="clear" w:pos="2835"/>
        </w:tabs>
        <w:overflowPunct/>
        <w:autoSpaceDE/>
        <w:autoSpaceDN/>
        <w:adjustRightInd/>
        <w:spacing w:before="0"/>
        <w:ind w:left="357" w:hanging="357"/>
        <w:textAlignment w:val="auto"/>
        <w:rPr>
          <w:i/>
          <w:iCs/>
          <w:lang w:val="en-US"/>
        </w:rPr>
      </w:pPr>
      <w:r w:rsidRPr="00813B26">
        <w:rPr>
          <w:i/>
          <w:iCs/>
          <w:lang w:val="en-US"/>
        </w:rPr>
        <w:t xml:space="preserve">Relevance of </w:t>
      </w:r>
      <w:r w:rsidR="00E24D67" w:rsidRPr="00813B26">
        <w:rPr>
          <w:i/>
          <w:iCs/>
          <w:lang w:val="en-US"/>
        </w:rPr>
        <w:t>the ITRs</w:t>
      </w:r>
      <w:r w:rsidR="00813B26">
        <w:rPr>
          <w:i/>
          <w:iCs/>
          <w:lang w:val="en-US"/>
        </w:rPr>
        <w:t xml:space="preserve">: </w:t>
      </w:r>
      <w:r w:rsidR="001F26E4" w:rsidRPr="00676942">
        <w:rPr>
          <w:lang w:val="en-US"/>
        </w:rPr>
        <w:t xml:space="preserve">In </w:t>
      </w:r>
      <w:r w:rsidR="00676942">
        <w:rPr>
          <w:lang w:val="en-US"/>
        </w:rPr>
        <w:t>U.S. contributions to the previous Expert Group,</w:t>
      </w:r>
      <w:r w:rsidR="001F26E4" w:rsidRPr="00676942">
        <w:rPr>
          <w:lang w:val="en-US"/>
        </w:rPr>
        <w:t xml:space="preserve"> we conducted a</w:t>
      </w:r>
      <w:r w:rsidR="00676942">
        <w:rPr>
          <w:lang w:val="en-US"/>
        </w:rPr>
        <w:t xml:space="preserve"> </w:t>
      </w:r>
      <w:r w:rsidR="00E36B31">
        <w:rPr>
          <w:lang w:val="en-US"/>
        </w:rPr>
        <w:t>comprehensive</w:t>
      </w:r>
      <w:r w:rsidR="001F26E4" w:rsidRPr="00676942">
        <w:rPr>
          <w:lang w:val="en-US"/>
        </w:rPr>
        <w:t xml:space="preserve"> provision-by-provision examination of the</w:t>
      </w:r>
      <w:r w:rsidR="00676942">
        <w:rPr>
          <w:lang w:val="en-US"/>
        </w:rPr>
        <w:t xml:space="preserve"> 2012</w:t>
      </w:r>
      <w:r w:rsidR="001F26E4" w:rsidRPr="00676942">
        <w:rPr>
          <w:lang w:val="en-US"/>
        </w:rPr>
        <w:t xml:space="preserve"> ITRs and </w:t>
      </w:r>
      <w:r w:rsidR="00676942">
        <w:rPr>
          <w:lang w:val="en-US"/>
        </w:rPr>
        <w:t xml:space="preserve">provided </w:t>
      </w:r>
      <w:r w:rsidR="00676942">
        <w:rPr>
          <w:lang w:val="en-US"/>
        </w:rPr>
        <w:lastRenderedPageBreak/>
        <w:t>detailed analyses demonstrating the limited relevance of the ITRs in today’s international telecommunications/ICT environment.</w:t>
      </w:r>
      <w:r w:rsidR="00DC5A79">
        <w:rPr>
          <w:lang w:val="en-US"/>
        </w:rPr>
        <w:t xml:space="preserve">  W</w:t>
      </w:r>
      <w:r w:rsidR="00E36B31">
        <w:rPr>
          <w:lang w:val="en-US"/>
        </w:rPr>
        <w:t xml:space="preserve">e </w:t>
      </w:r>
      <w:r w:rsidR="00DC5A79">
        <w:rPr>
          <w:lang w:val="en-US"/>
        </w:rPr>
        <w:t>reaffirm</w:t>
      </w:r>
      <w:r w:rsidR="00E36B31">
        <w:rPr>
          <w:lang w:val="en-US"/>
        </w:rPr>
        <w:t xml:space="preserve"> this conclusion.</w:t>
      </w:r>
    </w:p>
    <w:p w14:paraId="3BBB1E22" w14:textId="77777777" w:rsidR="00EF1873" w:rsidRDefault="00EF1873" w:rsidP="00EF1873">
      <w:pPr>
        <w:tabs>
          <w:tab w:val="clear" w:pos="567"/>
          <w:tab w:val="clear" w:pos="1134"/>
          <w:tab w:val="clear" w:pos="1701"/>
          <w:tab w:val="clear" w:pos="2268"/>
          <w:tab w:val="clear" w:pos="2835"/>
        </w:tabs>
        <w:overflowPunct/>
        <w:autoSpaceDE/>
        <w:autoSpaceDN/>
        <w:adjustRightInd/>
        <w:spacing w:before="0"/>
        <w:textAlignment w:val="auto"/>
        <w:rPr>
          <w:i/>
          <w:iCs/>
          <w:lang w:val="en-US"/>
        </w:rPr>
      </w:pPr>
    </w:p>
    <w:p w14:paraId="75A9633C" w14:textId="62782FF2" w:rsidR="00EF1873" w:rsidRPr="00EF1873" w:rsidRDefault="00E36B31" w:rsidP="00EF1873">
      <w:pPr>
        <w:tabs>
          <w:tab w:val="clear" w:pos="567"/>
          <w:tab w:val="clear" w:pos="1134"/>
          <w:tab w:val="clear" w:pos="1701"/>
          <w:tab w:val="clear" w:pos="2268"/>
          <w:tab w:val="clear" w:pos="2835"/>
        </w:tabs>
        <w:overflowPunct/>
        <w:autoSpaceDE/>
        <w:autoSpaceDN/>
        <w:adjustRightInd/>
        <w:spacing w:before="0"/>
        <w:ind w:left="360"/>
        <w:textAlignment w:val="auto"/>
        <w:rPr>
          <w:lang w:val="en-US"/>
        </w:rPr>
      </w:pPr>
      <w:r>
        <w:rPr>
          <w:lang w:val="en-US"/>
        </w:rPr>
        <w:t xml:space="preserve">We </w:t>
      </w:r>
      <w:r w:rsidR="00DC5A79">
        <w:rPr>
          <w:lang w:val="en-US"/>
        </w:rPr>
        <w:t xml:space="preserve">also </w:t>
      </w:r>
      <w:r>
        <w:rPr>
          <w:lang w:val="en-US"/>
        </w:rPr>
        <w:t xml:space="preserve">emphasize that this view does not mean we therefore support proposed efforts to </w:t>
      </w:r>
      <w:r w:rsidR="00DC5A79">
        <w:rPr>
          <w:lang w:val="en-US"/>
        </w:rPr>
        <w:t>try</w:t>
      </w:r>
      <w:r>
        <w:rPr>
          <w:lang w:val="en-US"/>
        </w:rPr>
        <w:t xml:space="preserve"> to enhance the relevance of the ITRs.</w:t>
      </w:r>
      <w:r w:rsidR="00DC5A79">
        <w:rPr>
          <w:lang w:val="en-US"/>
        </w:rPr>
        <w:t xml:space="preserve">  </w:t>
      </w:r>
      <w:r w:rsidR="00140CD8">
        <w:rPr>
          <w:lang w:val="en-US"/>
        </w:rPr>
        <w:t>Given that t</w:t>
      </w:r>
      <w:r w:rsidR="00DC5A79">
        <w:rPr>
          <w:lang w:val="en-US"/>
        </w:rPr>
        <w:t xml:space="preserve">he previous two Expert Groups did not find any evidence of “real-world” </w:t>
      </w:r>
      <w:r w:rsidR="006F61C2">
        <w:rPr>
          <w:lang w:val="en-US"/>
        </w:rPr>
        <w:t>problems</w:t>
      </w:r>
      <w:r w:rsidR="00DC5A79">
        <w:rPr>
          <w:lang w:val="en-US"/>
        </w:rPr>
        <w:t xml:space="preserve"> that have arisen from the status quo</w:t>
      </w:r>
      <w:r w:rsidR="00140CD8">
        <w:rPr>
          <w:lang w:val="en-US"/>
        </w:rPr>
        <w:t>, we believe that any such efforts would not</w:t>
      </w:r>
      <w:r w:rsidR="00A1737B">
        <w:rPr>
          <w:lang w:val="en-US"/>
        </w:rPr>
        <w:t xml:space="preserve"> represent the best use of limited ITU resources.  </w:t>
      </w:r>
      <w:r w:rsidR="00DC5A79">
        <w:rPr>
          <w:lang w:val="en-US"/>
        </w:rPr>
        <w:t xml:space="preserve">Additionally, operators have </w:t>
      </w:r>
      <w:r w:rsidR="00A1737B">
        <w:rPr>
          <w:lang w:val="en-US"/>
        </w:rPr>
        <w:t xml:space="preserve">long </w:t>
      </w:r>
      <w:r w:rsidR="00DC5A79">
        <w:rPr>
          <w:lang w:val="en-US"/>
        </w:rPr>
        <w:t xml:space="preserve">cautioned the previous two Expert Groups that </w:t>
      </w:r>
      <w:r w:rsidR="00DC5A79">
        <w:rPr>
          <w:szCs w:val="24"/>
        </w:rPr>
        <w:t xml:space="preserve">attempts to </w:t>
      </w:r>
      <w:r w:rsidR="006364BB">
        <w:rPr>
          <w:szCs w:val="24"/>
        </w:rPr>
        <w:t>revisit complex issues in a treaty instrument</w:t>
      </w:r>
      <w:r w:rsidR="00DC5A79" w:rsidRPr="00697898">
        <w:rPr>
          <w:szCs w:val="24"/>
        </w:rPr>
        <w:t xml:space="preserve"> </w:t>
      </w:r>
      <w:r w:rsidR="00DC5A79">
        <w:rPr>
          <w:szCs w:val="24"/>
        </w:rPr>
        <w:t xml:space="preserve">may have </w:t>
      </w:r>
      <w:r w:rsidR="00A1737B">
        <w:rPr>
          <w:szCs w:val="24"/>
        </w:rPr>
        <w:t>unintended negative consequences, such as</w:t>
      </w:r>
      <w:r w:rsidR="00DC5A79">
        <w:rPr>
          <w:szCs w:val="24"/>
        </w:rPr>
        <w:t xml:space="preserve"> impeding operators’ ability to quickly respond to changing network environments. </w:t>
      </w:r>
    </w:p>
    <w:p w14:paraId="3D884013" w14:textId="77777777" w:rsidR="00890222" w:rsidRDefault="00890222" w:rsidP="00890222">
      <w:pPr>
        <w:tabs>
          <w:tab w:val="clear" w:pos="567"/>
          <w:tab w:val="clear" w:pos="1134"/>
          <w:tab w:val="clear" w:pos="1701"/>
          <w:tab w:val="clear" w:pos="2268"/>
          <w:tab w:val="clear" w:pos="2835"/>
        </w:tabs>
        <w:overflowPunct/>
        <w:autoSpaceDE/>
        <w:autoSpaceDN/>
        <w:adjustRightInd/>
        <w:spacing w:before="0"/>
        <w:textAlignment w:val="auto"/>
        <w:rPr>
          <w:i/>
          <w:iCs/>
          <w:lang w:val="en-US"/>
        </w:rPr>
      </w:pPr>
    </w:p>
    <w:p w14:paraId="2CCE6F24" w14:textId="386255EC" w:rsidR="00890222" w:rsidRPr="00890222" w:rsidRDefault="00E36B31" w:rsidP="00890222">
      <w:pPr>
        <w:tabs>
          <w:tab w:val="clear" w:pos="567"/>
          <w:tab w:val="clear" w:pos="1134"/>
          <w:tab w:val="clear" w:pos="1701"/>
          <w:tab w:val="clear" w:pos="2268"/>
          <w:tab w:val="clear" w:pos="2835"/>
        </w:tabs>
        <w:overflowPunct/>
        <w:autoSpaceDE/>
        <w:autoSpaceDN/>
        <w:adjustRightInd/>
        <w:spacing w:before="0"/>
        <w:ind w:left="360"/>
        <w:textAlignment w:val="auto"/>
        <w:rPr>
          <w:lang w:val="en-US"/>
        </w:rPr>
      </w:pPr>
      <w:r>
        <w:rPr>
          <w:lang w:val="en-US"/>
        </w:rPr>
        <w:t>W</w:t>
      </w:r>
      <w:r w:rsidRPr="00890222">
        <w:rPr>
          <w:lang w:val="en-US"/>
        </w:rPr>
        <w:t>e recognize that ITU Members hold divergent views on this topic</w:t>
      </w:r>
      <w:r>
        <w:rPr>
          <w:lang w:val="en-US"/>
        </w:rPr>
        <w:t>, a</w:t>
      </w:r>
      <w:r w:rsidR="00890222" w:rsidRPr="00890222">
        <w:rPr>
          <w:lang w:val="en-US"/>
        </w:rPr>
        <w:t xml:space="preserve">s </w:t>
      </w:r>
      <w:r w:rsidR="00D26B59">
        <w:rPr>
          <w:lang w:val="en-US"/>
        </w:rPr>
        <w:t>aptly summarized</w:t>
      </w:r>
      <w:r w:rsidR="00890222" w:rsidRPr="00890222">
        <w:rPr>
          <w:lang w:val="en-US"/>
        </w:rPr>
        <w:t xml:space="preserve"> by the final reports of the previous two Expert Groups.  </w:t>
      </w:r>
      <w:r w:rsidR="006E7B39">
        <w:rPr>
          <w:lang w:val="en-US"/>
        </w:rPr>
        <w:t>Therefore, a</w:t>
      </w:r>
      <w:r w:rsidR="00890222" w:rsidRPr="00890222">
        <w:rPr>
          <w:lang w:val="en-US"/>
        </w:rPr>
        <w:t>s this Expert Group continues “taking into consideration the work of the previous two Expert Groups,” we believe</w:t>
      </w:r>
      <w:r w:rsidR="00A0513B">
        <w:rPr>
          <w:lang w:val="en-US"/>
        </w:rPr>
        <w:t xml:space="preserve"> an</w:t>
      </w:r>
      <w:r w:rsidR="00890222" w:rsidRPr="00890222">
        <w:rPr>
          <w:lang w:val="en-US"/>
        </w:rPr>
        <w:t xml:space="preserve"> important</w:t>
      </w:r>
      <w:r w:rsidR="00A0513B">
        <w:rPr>
          <w:lang w:val="en-US"/>
        </w:rPr>
        <w:t xml:space="preserve"> </w:t>
      </w:r>
      <w:r w:rsidR="00890222" w:rsidRPr="00890222">
        <w:rPr>
          <w:lang w:val="en-US"/>
        </w:rPr>
        <w:t xml:space="preserve">conclusion to </w:t>
      </w:r>
      <w:r w:rsidR="00DC5A79">
        <w:rPr>
          <w:lang w:val="en-US"/>
        </w:rPr>
        <w:t xml:space="preserve">keep in mind </w:t>
      </w:r>
      <w:r w:rsidR="00A0513B">
        <w:rPr>
          <w:lang w:val="en-US"/>
        </w:rPr>
        <w:t xml:space="preserve">is </w:t>
      </w:r>
      <w:r w:rsidR="00890222" w:rsidRPr="00890222">
        <w:rPr>
          <w:lang w:val="en-US"/>
        </w:rPr>
        <w:t>th</w:t>
      </w:r>
      <w:r w:rsidR="00A0513B">
        <w:rPr>
          <w:lang w:val="en-US"/>
        </w:rPr>
        <w:t>is</w:t>
      </w:r>
      <w:r w:rsidR="00890222" w:rsidRPr="00890222">
        <w:rPr>
          <w:lang w:val="en-US"/>
        </w:rPr>
        <w:t xml:space="preserve"> </w:t>
      </w:r>
      <w:r w:rsidR="00A0513B">
        <w:rPr>
          <w:lang w:val="en-US"/>
        </w:rPr>
        <w:t>persisting l</w:t>
      </w:r>
      <w:r w:rsidR="00890222" w:rsidRPr="00890222">
        <w:rPr>
          <w:lang w:val="en-US"/>
        </w:rPr>
        <w:t>ack of consensus.</w:t>
      </w:r>
    </w:p>
    <w:p w14:paraId="528ED09F" w14:textId="77777777" w:rsidR="000B1429" w:rsidRDefault="000B1429">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5D76B05A" w14:textId="2E1E0B7C" w:rsidR="000B1429" w:rsidRDefault="00D5034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t xml:space="preserve">As the United States has consistently maintained, it remains unclear what role, if any, an inflexible, sector-specific legal instrument like the ITRs can play in today’s dynamic, competitive telecommunications/ICT environment.  New or revised treaty provisions designed to address specific trends or issues in the market (even if they “consist of high-level guiding principles”) will continually become obsolete. </w:t>
      </w:r>
    </w:p>
    <w:p w14:paraId="675699C7" w14:textId="54E308CF" w:rsidR="00E46268" w:rsidRPr="003A410B" w:rsidRDefault="00E46268" w:rsidP="00E46268">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____________________</w:t>
      </w:r>
    </w:p>
    <w:sectPr w:rsidR="00E46268" w:rsidRPr="003A410B" w:rsidSect="002C0B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35EF" w14:textId="77777777" w:rsidR="002C0B06" w:rsidRDefault="002C0B06">
      <w:r>
        <w:separator/>
      </w:r>
    </w:p>
  </w:endnote>
  <w:endnote w:type="continuationSeparator" w:id="0">
    <w:p w14:paraId="44D2DC34" w14:textId="77777777" w:rsidR="002C0B06" w:rsidRDefault="002C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23D34401" w:rsidR="00EE49E8" w:rsidRDefault="00EE49E8" w:rsidP="00EE49E8">
          <w:pPr>
            <w:pStyle w:val="Header"/>
            <w:jc w:val="left"/>
            <w:rPr>
              <w:noProof/>
            </w:rPr>
          </w:pPr>
        </w:p>
      </w:tc>
      <w:tc>
        <w:tcPr>
          <w:tcW w:w="8261" w:type="dxa"/>
        </w:tcPr>
        <w:p w14:paraId="2D49E76E" w14:textId="57EFC130"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E46268">
            <w:rPr>
              <w:bCs/>
            </w:rPr>
            <w:t>19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72D7E9A"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E46268">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8CD8" w14:textId="77777777" w:rsidR="002C0B06" w:rsidRDefault="002C0B06">
      <w:r>
        <w:t>____________________</w:t>
      </w:r>
    </w:p>
  </w:footnote>
  <w:footnote w:type="continuationSeparator" w:id="0">
    <w:p w14:paraId="658C2B7B" w14:textId="77777777" w:rsidR="002C0B06" w:rsidRDefault="002C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F2697"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3B6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173A68"/>
    <w:multiLevelType w:val="hybridMultilevel"/>
    <w:tmpl w:val="B6CAEDE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8F75CD"/>
    <w:multiLevelType w:val="hybridMultilevel"/>
    <w:tmpl w:val="2F4A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06E51"/>
    <w:multiLevelType w:val="hybridMultilevel"/>
    <w:tmpl w:val="F4C6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59499226">
    <w:abstractNumId w:val="3"/>
  </w:num>
  <w:num w:numId="3" w16cid:durableId="2078624953">
    <w:abstractNumId w:val="2"/>
  </w:num>
  <w:num w:numId="4" w16cid:durableId="169465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A0AB4"/>
    <w:rsid w:val="000B1429"/>
    <w:rsid w:val="000B1705"/>
    <w:rsid w:val="000C5B03"/>
    <w:rsid w:val="000D4B84"/>
    <w:rsid w:val="000D75B2"/>
    <w:rsid w:val="000D7A46"/>
    <w:rsid w:val="001121F5"/>
    <w:rsid w:val="0011374E"/>
    <w:rsid w:val="00130599"/>
    <w:rsid w:val="00134D3C"/>
    <w:rsid w:val="001400DC"/>
    <w:rsid w:val="00140CD8"/>
    <w:rsid w:val="00140CE1"/>
    <w:rsid w:val="0017539C"/>
    <w:rsid w:val="00175AC2"/>
    <w:rsid w:val="0017609F"/>
    <w:rsid w:val="001845F9"/>
    <w:rsid w:val="001941FF"/>
    <w:rsid w:val="001A2470"/>
    <w:rsid w:val="001A7D1D"/>
    <w:rsid w:val="001B51DD"/>
    <w:rsid w:val="001B6544"/>
    <w:rsid w:val="001C488C"/>
    <w:rsid w:val="001C628E"/>
    <w:rsid w:val="001D18EE"/>
    <w:rsid w:val="001E0F7B"/>
    <w:rsid w:val="001E4654"/>
    <w:rsid w:val="001F26E4"/>
    <w:rsid w:val="00203C21"/>
    <w:rsid w:val="00204BA2"/>
    <w:rsid w:val="0020555B"/>
    <w:rsid w:val="002119FD"/>
    <w:rsid w:val="002130E0"/>
    <w:rsid w:val="002158DB"/>
    <w:rsid w:val="00240A65"/>
    <w:rsid w:val="00244F7F"/>
    <w:rsid w:val="00264425"/>
    <w:rsid w:val="00265875"/>
    <w:rsid w:val="0026686B"/>
    <w:rsid w:val="00267AE1"/>
    <w:rsid w:val="002702E9"/>
    <w:rsid w:val="0027303B"/>
    <w:rsid w:val="0028109B"/>
    <w:rsid w:val="00293B38"/>
    <w:rsid w:val="002A2188"/>
    <w:rsid w:val="002B1F58"/>
    <w:rsid w:val="002C0B06"/>
    <w:rsid w:val="002C1C7A"/>
    <w:rsid w:val="002C35F5"/>
    <w:rsid w:val="002C54E2"/>
    <w:rsid w:val="002C70D3"/>
    <w:rsid w:val="002E568F"/>
    <w:rsid w:val="002E6546"/>
    <w:rsid w:val="0030160F"/>
    <w:rsid w:val="003139F7"/>
    <w:rsid w:val="00320223"/>
    <w:rsid w:val="00322D0D"/>
    <w:rsid w:val="00342912"/>
    <w:rsid w:val="00356291"/>
    <w:rsid w:val="00361465"/>
    <w:rsid w:val="0036415F"/>
    <w:rsid w:val="00373764"/>
    <w:rsid w:val="003877F5"/>
    <w:rsid w:val="003942D4"/>
    <w:rsid w:val="003958A8"/>
    <w:rsid w:val="003A410B"/>
    <w:rsid w:val="003C24C3"/>
    <w:rsid w:val="003C2533"/>
    <w:rsid w:val="003C582A"/>
    <w:rsid w:val="003D5A7F"/>
    <w:rsid w:val="003E249F"/>
    <w:rsid w:val="004016E2"/>
    <w:rsid w:val="0040435A"/>
    <w:rsid w:val="004107BF"/>
    <w:rsid w:val="00416A24"/>
    <w:rsid w:val="00431D9E"/>
    <w:rsid w:val="00433CE8"/>
    <w:rsid w:val="00434148"/>
    <w:rsid w:val="00434A5C"/>
    <w:rsid w:val="00452D29"/>
    <w:rsid w:val="004544D9"/>
    <w:rsid w:val="004622ED"/>
    <w:rsid w:val="00472BAD"/>
    <w:rsid w:val="00484009"/>
    <w:rsid w:val="00490E72"/>
    <w:rsid w:val="00491157"/>
    <w:rsid w:val="004921C8"/>
    <w:rsid w:val="00495B0B"/>
    <w:rsid w:val="004A1B8B"/>
    <w:rsid w:val="004D1851"/>
    <w:rsid w:val="004D599D"/>
    <w:rsid w:val="004D648B"/>
    <w:rsid w:val="004E2EA5"/>
    <w:rsid w:val="004E3AEB"/>
    <w:rsid w:val="0050108D"/>
    <w:rsid w:val="0050223C"/>
    <w:rsid w:val="005243FF"/>
    <w:rsid w:val="00553CB5"/>
    <w:rsid w:val="00564FBC"/>
    <w:rsid w:val="005800BC"/>
    <w:rsid w:val="00582442"/>
    <w:rsid w:val="005970E5"/>
    <w:rsid w:val="005A335D"/>
    <w:rsid w:val="005B546A"/>
    <w:rsid w:val="005D1811"/>
    <w:rsid w:val="005E2BD5"/>
    <w:rsid w:val="005F3269"/>
    <w:rsid w:val="0061171D"/>
    <w:rsid w:val="00623AE3"/>
    <w:rsid w:val="0063417F"/>
    <w:rsid w:val="006364BB"/>
    <w:rsid w:val="00636853"/>
    <w:rsid w:val="0064737F"/>
    <w:rsid w:val="006535F1"/>
    <w:rsid w:val="0065557D"/>
    <w:rsid w:val="00660D50"/>
    <w:rsid w:val="00662984"/>
    <w:rsid w:val="006716BB"/>
    <w:rsid w:val="00676942"/>
    <w:rsid w:val="00677516"/>
    <w:rsid w:val="00693657"/>
    <w:rsid w:val="00693C9D"/>
    <w:rsid w:val="006B1859"/>
    <w:rsid w:val="006B6680"/>
    <w:rsid w:val="006B68CC"/>
    <w:rsid w:val="006B6DCC"/>
    <w:rsid w:val="006C11BB"/>
    <w:rsid w:val="006E7B39"/>
    <w:rsid w:val="006F14BC"/>
    <w:rsid w:val="006F61C2"/>
    <w:rsid w:val="00702DEF"/>
    <w:rsid w:val="00706861"/>
    <w:rsid w:val="007220E0"/>
    <w:rsid w:val="00727036"/>
    <w:rsid w:val="0073160C"/>
    <w:rsid w:val="00745D44"/>
    <w:rsid w:val="00746455"/>
    <w:rsid w:val="0075051B"/>
    <w:rsid w:val="00775655"/>
    <w:rsid w:val="00785EDB"/>
    <w:rsid w:val="00793188"/>
    <w:rsid w:val="00794D34"/>
    <w:rsid w:val="00794DFC"/>
    <w:rsid w:val="007A1CAD"/>
    <w:rsid w:val="007B2CD8"/>
    <w:rsid w:val="007F4C8E"/>
    <w:rsid w:val="007F6D45"/>
    <w:rsid w:val="00813B26"/>
    <w:rsid w:val="00813E5E"/>
    <w:rsid w:val="00826ACD"/>
    <w:rsid w:val="0083408D"/>
    <w:rsid w:val="0083581B"/>
    <w:rsid w:val="00842B11"/>
    <w:rsid w:val="008463CA"/>
    <w:rsid w:val="00863874"/>
    <w:rsid w:val="00864AFF"/>
    <w:rsid w:val="00865925"/>
    <w:rsid w:val="0086704D"/>
    <w:rsid w:val="00880C78"/>
    <w:rsid w:val="008862BE"/>
    <w:rsid w:val="00890222"/>
    <w:rsid w:val="008B4A6A"/>
    <w:rsid w:val="008C7E27"/>
    <w:rsid w:val="008D1F10"/>
    <w:rsid w:val="008E5B88"/>
    <w:rsid w:val="008F49F5"/>
    <w:rsid w:val="008F7448"/>
    <w:rsid w:val="0090147A"/>
    <w:rsid w:val="00916A54"/>
    <w:rsid w:val="009173EF"/>
    <w:rsid w:val="00932906"/>
    <w:rsid w:val="009344E1"/>
    <w:rsid w:val="00961B0B"/>
    <w:rsid w:val="00962D33"/>
    <w:rsid w:val="009775FB"/>
    <w:rsid w:val="0098601A"/>
    <w:rsid w:val="009941E6"/>
    <w:rsid w:val="009B38C3"/>
    <w:rsid w:val="009D024E"/>
    <w:rsid w:val="009E17BD"/>
    <w:rsid w:val="009E485A"/>
    <w:rsid w:val="009F7AE6"/>
    <w:rsid w:val="00A028B5"/>
    <w:rsid w:val="00A04CEC"/>
    <w:rsid w:val="00A0513B"/>
    <w:rsid w:val="00A1737B"/>
    <w:rsid w:val="00A27A6B"/>
    <w:rsid w:val="00A27C7D"/>
    <w:rsid w:val="00A27F92"/>
    <w:rsid w:val="00A32257"/>
    <w:rsid w:val="00A36D20"/>
    <w:rsid w:val="00A514A4"/>
    <w:rsid w:val="00A52C84"/>
    <w:rsid w:val="00A55622"/>
    <w:rsid w:val="00A64116"/>
    <w:rsid w:val="00A83502"/>
    <w:rsid w:val="00AD06B2"/>
    <w:rsid w:val="00AD15B3"/>
    <w:rsid w:val="00AD3606"/>
    <w:rsid w:val="00AD4A3D"/>
    <w:rsid w:val="00AF6E49"/>
    <w:rsid w:val="00B04A67"/>
    <w:rsid w:val="00B0583C"/>
    <w:rsid w:val="00B11DCC"/>
    <w:rsid w:val="00B24978"/>
    <w:rsid w:val="00B316FC"/>
    <w:rsid w:val="00B3208A"/>
    <w:rsid w:val="00B40A81"/>
    <w:rsid w:val="00B4436B"/>
    <w:rsid w:val="00B44910"/>
    <w:rsid w:val="00B4574D"/>
    <w:rsid w:val="00B72267"/>
    <w:rsid w:val="00B76EB6"/>
    <w:rsid w:val="00B7737B"/>
    <w:rsid w:val="00B824C8"/>
    <w:rsid w:val="00B84B9D"/>
    <w:rsid w:val="00B86F91"/>
    <w:rsid w:val="00BA4AEF"/>
    <w:rsid w:val="00BB7C11"/>
    <w:rsid w:val="00BC251A"/>
    <w:rsid w:val="00BC4DC7"/>
    <w:rsid w:val="00BD032B"/>
    <w:rsid w:val="00BD5F5F"/>
    <w:rsid w:val="00BE2640"/>
    <w:rsid w:val="00BF0749"/>
    <w:rsid w:val="00BF6DCA"/>
    <w:rsid w:val="00C009A1"/>
    <w:rsid w:val="00C01189"/>
    <w:rsid w:val="00C374DE"/>
    <w:rsid w:val="00C47AD4"/>
    <w:rsid w:val="00C52D81"/>
    <w:rsid w:val="00C55198"/>
    <w:rsid w:val="00C60812"/>
    <w:rsid w:val="00C75993"/>
    <w:rsid w:val="00C77349"/>
    <w:rsid w:val="00C949EE"/>
    <w:rsid w:val="00CA6393"/>
    <w:rsid w:val="00CB1844"/>
    <w:rsid w:val="00CB18FF"/>
    <w:rsid w:val="00CD0C08"/>
    <w:rsid w:val="00CE03FB"/>
    <w:rsid w:val="00CE0A2D"/>
    <w:rsid w:val="00CE433C"/>
    <w:rsid w:val="00CF0161"/>
    <w:rsid w:val="00CF33F3"/>
    <w:rsid w:val="00D00577"/>
    <w:rsid w:val="00D06183"/>
    <w:rsid w:val="00D22C42"/>
    <w:rsid w:val="00D26B59"/>
    <w:rsid w:val="00D464CC"/>
    <w:rsid w:val="00D50343"/>
    <w:rsid w:val="00D65041"/>
    <w:rsid w:val="00D670A7"/>
    <w:rsid w:val="00D752B7"/>
    <w:rsid w:val="00DB00D5"/>
    <w:rsid w:val="00DB1936"/>
    <w:rsid w:val="00DB384B"/>
    <w:rsid w:val="00DC5A79"/>
    <w:rsid w:val="00DE3376"/>
    <w:rsid w:val="00DF0189"/>
    <w:rsid w:val="00E021A3"/>
    <w:rsid w:val="00E06FD5"/>
    <w:rsid w:val="00E10E80"/>
    <w:rsid w:val="00E11207"/>
    <w:rsid w:val="00E124F0"/>
    <w:rsid w:val="00E227F3"/>
    <w:rsid w:val="00E24D67"/>
    <w:rsid w:val="00E36B31"/>
    <w:rsid w:val="00E46268"/>
    <w:rsid w:val="00E4671A"/>
    <w:rsid w:val="00E51CC1"/>
    <w:rsid w:val="00E543AC"/>
    <w:rsid w:val="00E545C6"/>
    <w:rsid w:val="00E60F04"/>
    <w:rsid w:val="00E65B24"/>
    <w:rsid w:val="00E72A61"/>
    <w:rsid w:val="00E72A65"/>
    <w:rsid w:val="00E854E4"/>
    <w:rsid w:val="00E86DBF"/>
    <w:rsid w:val="00E96F8A"/>
    <w:rsid w:val="00EB0D6F"/>
    <w:rsid w:val="00EB2232"/>
    <w:rsid w:val="00EC08BD"/>
    <w:rsid w:val="00EC5337"/>
    <w:rsid w:val="00EE49E8"/>
    <w:rsid w:val="00EF1873"/>
    <w:rsid w:val="00F0146C"/>
    <w:rsid w:val="00F047CE"/>
    <w:rsid w:val="00F16BAB"/>
    <w:rsid w:val="00F2150A"/>
    <w:rsid w:val="00F231D8"/>
    <w:rsid w:val="00F44C00"/>
    <w:rsid w:val="00F45D2C"/>
    <w:rsid w:val="00F46C5F"/>
    <w:rsid w:val="00F57683"/>
    <w:rsid w:val="00F615D8"/>
    <w:rsid w:val="00F632C0"/>
    <w:rsid w:val="00F64441"/>
    <w:rsid w:val="00F74694"/>
    <w:rsid w:val="00F81899"/>
    <w:rsid w:val="00F94A63"/>
    <w:rsid w:val="00F94AF1"/>
    <w:rsid w:val="00F9650A"/>
    <w:rsid w:val="00FA1C28"/>
    <w:rsid w:val="00FB1279"/>
    <w:rsid w:val="00FB1C6E"/>
    <w:rsid w:val="00FB6B76"/>
    <w:rsid w:val="00FB7596"/>
    <w:rsid w:val="00FE4077"/>
    <w:rsid w:val="00FE500D"/>
    <w:rsid w:val="00FE77D2"/>
    <w:rsid w:val="00FF4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37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s/md/20/egitr3/c/S20-EGITR3-C-0005!!MSW-E.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dms_pub/itu-s/md/18/clegitr4/c/S18-CLEGITR4-C-0007!!MSW-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dms_pub/itu-s/md/20/egitr3/c/S20-EGITR3-C-0005!!MSW-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s/md/24/egitrs2/c/S24-EGITRS2-C-0005!!MSW-E.docx" TargetMode="External"/><Relationship Id="rId5" Type="http://schemas.openxmlformats.org/officeDocument/2006/relationships/numbering" Target="numbering.xml"/><Relationship Id="rId15" Type="http://schemas.openxmlformats.org/officeDocument/2006/relationships/hyperlink" Target="https://www.itu.int/dms_pub/itu-s/md/18/clegitr4/c/S18-CLEGITR4-C-0007!!MSW-E.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s/md/24/egitrs2/c/S24-EGITRS2-C-0005!!MSW-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3905B11-E95D-4986-AB54-CDCF87F05464}">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aaea1ea-72e4-4374-b05e-72e2f16fb7ae"/>
    <ds:schemaRef ds:uri="http://schemas.microsoft.com/sharepoint/v3"/>
  </ds:schemaRefs>
</ds:datastoreItem>
</file>

<file path=customXml/itemProps4.xml><?xml version="1.0" encoding="utf-8"?>
<ds:datastoreItem xmlns:ds="http://schemas.openxmlformats.org/officeDocument/2006/customXml" ds:itemID="{673E2921-D301-494F-A7B7-C9DE636D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5191</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United States of America - Overall U.S. views on the current review of the ITRs</dc:title>
  <dc:subject>Expert Group on the International Telecommunication Regulations</dc:subject>
  <dc:creator/>
  <cp:keywords>EG-ITRs, C24</cp:keywords>
  <dc:description/>
  <cp:lastModifiedBy/>
  <cp:revision>1</cp:revision>
  <dcterms:created xsi:type="dcterms:W3CDTF">2024-01-18T10:30:00Z</dcterms:created>
  <dcterms:modified xsi:type="dcterms:W3CDTF">2024-01-18T10:30:00Z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MSIP_Label_1665d9ee-429a-4d5f-97cc-cfb56e044a6e_Enabled">
    <vt:lpwstr>true</vt:lpwstr>
  </property>
  <property fmtid="{D5CDD505-2E9C-101B-9397-08002B2CF9AE}" pid="4" name="MSIP_Label_1665d9ee-429a-4d5f-97cc-cfb56e044a6e_SetDate">
    <vt:lpwstr>2024-01-17T19:22:57Z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470298eb-f8d5-4635-8491-fd6b783165fa</vt:lpwstr>
  </property>
  <property fmtid="{D5CDD505-2E9C-101B-9397-08002B2CF9AE}" pid="9" name="MSIP_Label_1665d9ee-429a-4d5f-97cc-cfb56e044a6e_ContentBits">
    <vt:lpwstr>0</vt:lpwstr>
  </property>
</Properties>
</file>