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5C18CBFF" w14:textId="77777777" w:rsidTr="00AD3606">
        <w:trPr>
          <w:cantSplit/>
          <w:trHeight w:val="23"/>
        </w:trPr>
        <w:tc>
          <w:tcPr>
            <w:tcW w:w="3969" w:type="dxa"/>
            <w:vMerge w:val="restart"/>
            <w:tcMar>
              <w:left w:w="0" w:type="dxa"/>
            </w:tcMar>
          </w:tcPr>
          <w:p w14:paraId="587B30A8"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90691EC" w14:textId="77777777" w:rsidR="00AD3606" w:rsidRPr="00A52C84" w:rsidRDefault="00AD3606" w:rsidP="00EE430F">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F63765">
              <w:rPr>
                <w:b/>
                <w:lang w:val="fr-CH"/>
              </w:rPr>
              <w:t>3</w:t>
            </w:r>
            <w:r w:rsidRPr="00A52C84">
              <w:rPr>
                <w:b/>
                <w:lang w:val="fr-CH"/>
              </w:rPr>
              <w:t>/</w:t>
            </w:r>
            <w:r w:rsidR="00EE430F">
              <w:rPr>
                <w:b/>
                <w:lang w:val="fr-CH"/>
              </w:rPr>
              <w:t>5</w:t>
            </w:r>
          </w:p>
        </w:tc>
      </w:tr>
      <w:tr w:rsidR="00AD3606" w:rsidRPr="00813E5E" w14:paraId="249EC7F7" w14:textId="77777777" w:rsidTr="00AD3606">
        <w:trPr>
          <w:cantSplit/>
        </w:trPr>
        <w:tc>
          <w:tcPr>
            <w:tcW w:w="3969" w:type="dxa"/>
            <w:vMerge/>
          </w:tcPr>
          <w:p w14:paraId="3E56D77E"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495DF28" w14:textId="77777777" w:rsidR="00AD3606" w:rsidRPr="00E85629" w:rsidRDefault="002F5DCF" w:rsidP="002F5DCF">
            <w:pPr>
              <w:tabs>
                <w:tab w:val="left" w:pos="851"/>
              </w:tabs>
              <w:spacing w:before="0"/>
              <w:jc w:val="right"/>
              <w:rPr>
                <w:b/>
              </w:rPr>
            </w:pPr>
            <w:r>
              <w:rPr>
                <w:b/>
              </w:rPr>
              <w:t>10 July</w:t>
            </w:r>
            <w:r w:rsidR="00AD3606">
              <w:rPr>
                <w:b/>
              </w:rPr>
              <w:t xml:space="preserve"> 202</w:t>
            </w:r>
            <w:r w:rsidR="00F63765">
              <w:rPr>
                <w:b/>
              </w:rPr>
              <w:t>4</w:t>
            </w:r>
          </w:p>
        </w:tc>
      </w:tr>
      <w:tr w:rsidR="00AD3606" w:rsidRPr="00813E5E" w14:paraId="15C19818" w14:textId="77777777" w:rsidTr="00AD3606">
        <w:trPr>
          <w:cantSplit/>
          <w:trHeight w:val="23"/>
        </w:trPr>
        <w:tc>
          <w:tcPr>
            <w:tcW w:w="3969" w:type="dxa"/>
            <w:vMerge/>
          </w:tcPr>
          <w:p w14:paraId="7A6A1EAD"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427CBC8"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7E88DCEC" w14:textId="77777777" w:rsidTr="00AD3606">
        <w:trPr>
          <w:cantSplit/>
          <w:trHeight w:val="23"/>
        </w:trPr>
        <w:tc>
          <w:tcPr>
            <w:tcW w:w="3969" w:type="dxa"/>
          </w:tcPr>
          <w:p w14:paraId="3EF47B6E" w14:textId="77777777" w:rsidR="00472BAD" w:rsidRPr="00813E5E" w:rsidRDefault="00472BAD" w:rsidP="00AD3606">
            <w:pPr>
              <w:tabs>
                <w:tab w:val="left" w:pos="851"/>
              </w:tabs>
              <w:spacing w:line="240" w:lineRule="atLeast"/>
              <w:rPr>
                <w:b/>
              </w:rPr>
            </w:pPr>
          </w:p>
        </w:tc>
        <w:tc>
          <w:tcPr>
            <w:tcW w:w="5245" w:type="dxa"/>
          </w:tcPr>
          <w:p w14:paraId="442FF2F8" w14:textId="77777777" w:rsidR="00472BAD" w:rsidRDefault="00472BAD" w:rsidP="00AD3606">
            <w:pPr>
              <w:tabs>
                <w:tab w:val="left" w:pos="851"/>
              </w:tabs>
              <w:spacing w:before="0" w:line="240" w:lineRule="atLeast"/>
              <w:jc w:val="right"/>
              <w:rPr>
                <w:b/>
              </w:rPr>
            </w:pPr>
          </w:p>
        </w:tc>
      </w:tr>
      <w:tr w:rsidR="00AD3606" w:rsidRPr="00813E5E" w14:paraId="2EE1EB6C" w14:textId="77777777" w:rsidTr="00AD3606">
        <w:trPr>
          <w:cantSplit/>
        </w:trPr>
        <w:tc>
          <w:tcPr>
            <w:tcW w:w="9214" w:type="dxa"/>
            <w:gridSpan w:val="2"/>
            <w:tcMar>
              <w:left w:w="0" w:type="dxa"/>
            </w:tcMar>
          </w:tcPr>
          <w:p w14:paraId="639038DA" w14:textId="77777777" w:rsidR="00AD3606" w:rsidRPr="00813E5E" w:rsidRDefault="00244F7F" w:rsidP="00370EE6">
            <w:pPr>
              <w:pStyle w:val="Source"/>
              <w:framePr w:hSpace="0" w:wrap="auto" w:vAnchor="margin" w:hAnchor="text" w:yAlign="inline"/>
            </w:pPr>
            <w:bookmarkStart w:id="8" w:name="dsource" w:colFirst="0" w:colLast="0"/>
            <w:bookmarkEnd w:id="7"/>
            <w:r>
              <w:t>Contribution</w:t>
            </w:r>
            <w:r w:rsidR="00AD3606" w:rsidRPr="002C54E2">
              <w:t xml:space="preserve"> </w:t>
            </w:r>
            <w:r w:rsidR="00864283">
              <w:t>from</w:t>
            </w:r>
            <w:r w:rsidR="00370EE6">
              <w:t xml:space="preserve"> HILL</w:t>
            </w:r>
          </w:p>
        </w:tc>
      </w:tr>
      <w:tr w:rsidR="00AD3606" w:rsidRPr="00813E5E" w14:paraId="30E128F3" w14:textId="77777777" w:rsidTr="00AD3606">
        <w:trPr>
          <w:cantSplit/>
        </w:trPr>
        <w:tc>
          <w:tcPr>
            <w:tcW w:w="9214" w:type="dxa"/>
            <w:gridSpan w:val="2"/>
            <w:tcMar>
              <w:left w:w="0" w:type="dxa"/>
            </w:tcMar>
          </w:tcPr>
          <w:p w14:paraId="2C115B1D" w14:textId="65CF95B0" w:rsidR="00AD3606" w:rsidRPr="00813E5E" w:rsidRDefault="00882188" w:rsidP="00A36935">
            <w:pPr>
              <w:pStyle w:val="Subtitle"/>
              <w:framePr w:hSpace="0" w:wrap="auto" w:hAnchor="text" w:xAlign="left" w:yAlign="inline"/>
            </w:pPr>
            <w:bookmarkStart w:id="9" w:name="dtitle1" w:colFirst="0" w:colLast="0"/>
            <w:bookmarkEnd w:id="8"/>
            <w:r>
              <w:t>UPDATING CERTAIN DOCUMENTS</w:t>
            </w:r>
          </w:p>
        </w:tc>
      </w:tr>
      <w:tr w:rsidR="00AD3606" w:rsidRPr="00813E5E" w14:paraId="123D8FEA" w14:textId="77777777" w:rsidTr="00AD3606">
        <w:trPr>
          <w:cantSplit/>
        </w:trPr>
        <w:tc>
          <w:tcPr>
            <w:tcW w:w="9214" w:type="dxa"/>
            <w:gridSpan w:val="2"/>
            <w:tcBorders>
              <w:top w:val="single" w:sz="4" w:space="0" w:color="auto"/>
              <w:bottom w:val="single" w:sz="4" w:space="0" w:color="auto"/>
            </w:tcBorders>
            <w:tcMar>
              <w:left w:w="0" w:type="dxa"/>
            </w:tcMar>
          </w:tcPr>
          <w:p w14:paraId="48ECBBB5" w14:textId="77777777" w:rsidR="004D648B" w:rsidRPr="004D648B" w:rsidRDefault="004D648B" w:rsidP="004D648B">
            <w:pPr>
              <w:spacing w:before="160"/>
              <w:rPr>
                <w:b/>
                <w:bCs/>
                <w:sz w:val="26"/>
                <w:szCs w:val="26"/>
              </w:rPr>
            </w:pPr>
            <w:r w:rsidRPr="004D648B">
              <w:rPr>
                <w:b/>
                <w:bCs/>
                <w:sz w:val="26"/>
                <w:szCs w:val="26"/>
              </w:rPr>
              <w:t>Purpose</w:t>
            </w:r>
          </w:p>
          <w:p w14:paraId="3CE9E8E5" w14:textId="77777777" w:rsidR="004D648B" w:rsidRPr="004D648B" w:rsidRDefault="0000683F" w:rsidP="004D648B">
            <w:pPr>
              <w:spacing w:before="160"/>
              <w:rPr>
                <w:b/>
                <w:bCs/>
                <w:szCs w:val="24"/>
              </w:rPr>
            </w:pPr>
            <w:r w:rsidRPr="007F4147">
              <w:rPr>
                <w:szCs w:val="24"/>
              </w:rPr>
              <w:t xml:space="preserve">This contribution </w:t>
            </w:r>
            <w:r w:rsidR="00EE430F">
              <w:rPr>
                <w:szCs w:val="24"/>
              </w:rPr>
              <w:t>discusse</w:t>
            </w:r>
            <w:r w:rsidR="00842242">
              <w:rPr>
                <w:szCs w:val="24"/>
              </w:rPr>
              <w:t>s</w:t>
            </w:r>
            <w:r w:rsidR="00EE430F">
              <w:rPr>
                <w:szCs w:val="24"/>
              </w:rPr>
              <w:t xml:space="preserve"> updating </w:t>
            </w:r>
            <w:r w:rsidR="00A36935">
              <w:rPr>
                <w:szCs w:val="24"/>
              </w:rPr>
              <w:t xml:space="preserve">certain </w:t>
            </w:r>
            <w:r w:rsidR="00EE430F">
              <w:rPr>
                <w:szCs w:val="24"/>
              </w:rPr>
              <w:t>documents</w:t>
            </w:r>
            <w:r w:rsidR="00A36935">
              <w:rPr>
                <w:szCs w:val="24"/>
              </w:rPr>
              <w:t xml:space="preserve"> </w:t>
            </w:r>
            <w:r w:rsidR="00A36935" w:rsidRPr="002A4D72">
              <w:rPr>
                <w:rFonts w:cs="Calibri"/>
                <w:szCs w:val="24"/>
                <w:lang w:val="en-US"/>
              </w:rPr>
              <w:t xml:space="preserve">prepared by </w:t>
            </w:r>
            <w:r w:rsidR="00A36935">
              <w:rPr>
                <w:rFonts w:cs="Calibri"/>
                <w:szCs w:val="24"/>
                <w:lang w:val="en-US"/>
              </w:rPr>
              <w:t xml:space="preserve">the ITU Secretariat </w:t>
            </w:r>
            <w:r w:rsidR="00A36935" w:rsidRPr="002A4D72">
              <w:rPr>
                <w:rFonts w:cs="Calibri"/>
                <w:szCs w:val="24"/>
                <w:lang w:val="en-US"/>
              </w:rPr>
              <w:t>between 1998 and 2012</w:t>
            </w:r>
            <w:r w:rsidR="00C03FCD">
              <w:rPr>
                <w:szCs w:val="24"/>
              </w:rPr>
              <w:t>.</w:t>
            </w:r>
          </w:p>
          <w:p w14:paraId="7498605F" w14:textId="77777777" w:rsidR="004D648B" w:rsidRPr="004D648B" w:rsidRDefault="004D648B" w:rsidP="004D648B">
            <w:pPr>
              <w:spacing w:before="160"/>
              <w:rPr>
                <w:b/>
                <w:bCs/>
                <w:sz w:val="26"/>
                <w:szCs w:val="26"/>
              </w:rPr>
            </w:pPr>
            <w:r w:rsidRPr="004D648B">
              <w:rPr>
                <w:b/>
                <w:bCs/>
                <w:sz w:val="26"/>
                <w:szCs w:val="26"/>
              </w:rPr>
              <w:t>Action required</w:t>
            </w:r>
          </w:p>
          <w:p w14:paraId="14B60BC9" w14:textId="77777777" w:rsidR="002F5DCF" w:rsidRDefault="002F5DCF" w:rsidP="002F5DCF">
            <w:pPr>
              <w:spacing w:before="160"/>
              <w:rPr>
                <w:b/>
                <w:bCs/>
                <w:szCs w:val="24"/>
              </w:rPr>
            </w:pPr>
            <w:r w:rsidRPr="007F4147">
              <w:t>Th</w:t>
            </w:r>
            <w:r>
              <w:t xml:space="preserve">e Expert Group on the International Telecommunication Regulations is invited to </w:t>
            </w:r>
            <w:r w:rsidRPr="004C5070">
              <w:rPr>
                <w:b/>
              </w:rPr>
              <w:t>consider</w:t>
            </w:r>
            <w:r w:rsidRPr="007F4147">
              <w:t xml:space="preserve"> </w:t>
            </w:r>
            <w:r>
              <w:t>this document.</w:t>
            </w:r>
          </w:p>
          <w:p w14:paraId="26EEC775" w14:textId="4BE5CB73" w:rsidR="002F5DCF" w:rsidRDefault="002F5DCF" w:rsidP="002F5DCF">
            <w:pPr>
              <w:spacing w:before="160"/>
              <w:rPr>
                <w:i/>
                <w:iCs/>
                <w:sz w:val="26"/>
                <w:szCs w:val="26"/>
              </w:rPr>
            </w:pPr>
            <w:r w:rsidRPr="004D648B">
              <w:rPr>
                <w:b/>
                <w:bCs/>
                <w:sz w:val="26"/>
                <w:szCs w:val="26"/>
              </w:rPr>
              <w:t>References</w:t>
            </w:r>
          </w:p>
          <w:p w14:paraId="31669824" w14:textId="77777777" w:rsidR="000C0D27" w:rsidRDefault="000C0D27" w:rsidP="000C0D27">
            <w:pPr>
              <w:spacing w:after="160"/>
              <w:rPr>
                <w:rFonts w:asciiTheme="minorHAnsi" w:hAnsiTheme="minorHAnsi" w:cstheme="minorHAnsi"/>
                <w:szCs w:val="22"/>
              </w:rPr>
            </w:pPr>
            <w:r>
              <w:rPr>
                <w:rFonts w:asciiTheme="minorHAnsi" w:hAnsiTheme="minorHAnsi" w:cstheme="minorHAnsi"/>
                <w:szCs w:val="22"/>
              </w:rPr>
              <w:t xml:space="preserve">Council </w:t>
            </w:r>
            <w:hyperlink r:id="rId8" w:history="1">
              <w:r w:rsidRPr="0082723D">
                <w:rPr>
                  <w:rStyle w:val="Hyperlink"/>
                  <w:rFonts w:asciiTheme="minorHAnsi" w:hAnsiTheme="minorHAnsi" w:cstheme="minorHAnsi"/>
                  <w:szCs w:val="22"/>
                </w:rPr>
                <w:t>Resolution 1379</w:t>
              </w:r>
            </w:hyperlink>
            <w:r>
              <w:rPr>
                <w:rFonts w:asciiTheme="minorHAnsi" w:hAnsiTheme="minorHAnsi" w:cstheme="minorHAnsi"/>
                <w:szCs w:val="22"/>
              </w:rPr>
              <w:t xml:space="preserve"> (Terms of Reference) </w:t>
            </w:r>
          </w:p>
          <w:p w14:paraId="47E75F3D" w14:textId="77777777" w:rsidR="00AD3606" w:rsidRPr="005440C7" w:rsidRDefault="00A36935" w:rsidP="00375503">
            <w:pPr>
              <w:spacing w:after="160"/>
              <w:rPr>
                <w:lang w:val="en-US"/>
              </w:rPr>
            </w:pPr>
            <w:r>
              <w:t xml:space="preserve"> </w:t>
            </w:r>
            <w:hyperlink r:id="rId9" w:history="1">
              <w:r w:rsidR="00EE430F" w:rsidRPr="00EE430F">
                <w:rPr>
                  <w:rStyle w:val="Hyperlink"/>
                </w:rPr>
                <w:t>EG-ITRs-2/13</w:t>
              </w:r>
            </w:hyperlink>
            <w:r w:rsidR="00842242">
              <w:t xml:space="preserve">; </w:t>
            </w:r>
            <w:hyperlink r:id="rId10" w:history="1">
              <w:r w:rsidR="00842242" w:rsidRPr="00A36935">
                <w:rPr>
                  <w:rStyle w:val="Hyperlink"/>
                </w:rPr>
                <w:t>EG-ITRs-1/2</w:t>
              </w:r>
            </w:hyperlink>
          </w:p>
        </w:tc>
      </w:tr>
    </w:tbl>
    <w:p w14:paraId="5EC6B4EF"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0818261F"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217B18F4" w14:textId="0EDCA5CD" w:rsidR="002F5DCF" w:rsidRPr="004D648B" w:rsidRDefault="002F5DCF" w:rsidP="002F5DCF">
      <w:pPr>
        <w:spacing w:before="160"/>
        <w:rPr>
          <w:b/>
          <w:bCs/>
          <w:sz w:val="26"/>
          <w:szCs w:val="26"/>
        </w:rPr>
      </w:pPr>
      <w:r>
        <w:rPr>
          <w:b/>
          <w:bCs/>
          <w:sz w:val="26"/>
          <w:szCs w:val="26"/>
        </w:rPr>
        <w:lastRenderedPageBreak/>
        <w:t>Summary</w:t>
      </w:r>
    </w:p>
    <w:p w14:paraId="0A790A22" w14:textId="77777777" w:rsidR="002F5DCF" w:rsidRPr="00204E80" w:rsidRDefault="002F5DCF" w:rsidP="002F5DCF">
      <w:pPr>
        <w:spacing w:before="160"/>
        <w:rPr>
          <w:bCs/>
          <w:szCs w:val="24"/>
          <w:lang w:val="en-US"/>
        </w:rPr>
      </w:pPr>
      <w:r>
        <w:t xml:space="preserve">In response to a request made in document </w:t>
      </w:r>
      <w:hyperlink r:id="rId11" w:history="1">
        <w:r w:rsidRPr="00EE430F">
          <w:rPr>
            <w:rStyle w:val="Hyperlink"/>
          </w:rPr>
          <w:t>EG-ITRs-2/13</w:t>
        </w:r>
      </w:hyperlink>
      <w:r>
        <w:t xml:space="preserve">, this contribution presents some considerations regarding the need, or not, to update certain documents </w:t>
      </w:r>
      <w:r w:rsidRPr="002A4D72">
        <w:rPr>
          <w:rFonts w:cs="Calibri"/>
          <w:szCs w:val="24"/>
          <w:lang w:val="en-US"/>
        </w:rPr>
        <w:t xml:space="preserve">prepared by </w:t>
      </w:r>
      <w:r>
        <w:rPr>
          <w:rFonts w:cs="Calibri"/>
          <w:szCs w:val="24"/>
          <w:lang w:val="en-US"/>
        </w:rPr>
        <w:t xml:space="preserve">the ITU Secretariat </w:t>
      </w:r>
      <w:r w:rsidRPr="002A4D72">
        <w:rPr>
          <w:rFonts w:cs="Calibri"/>
          <w:szCs w:val="24"/>
          <w:lang w:val="en-US"/>
        </w:rPr>
        <w:t>between 1998 and 2012 that address legal and other aspects of the ITRs</w:t>
      </w:r>
      <w:r>
        <w:t>.</w:t>
      </w:r>
    </w:p>
    <w:p w14:paraId="60866462" w14:textId="77777777" w:rsidR="002F5DCF" w:rsidRDefault="002F5DCF" w:rsidP="002F5DCF">
      <w:pPr>
        <w:spacing w:before="240" w:after="120"/>
        <w:rPr>
          <w:b/>
          <w:sz w:val="26"/>
          <w:szCs w:val="26"/>
        </w:rPr>
      </w:pPr>
      <w:r w:rsidRPr="00CE562D">
        <w:rPr>
          <w:b/>
          <w:sz w:val="26"/>
          <w:szCs w:val="26"/>
        </w:rPr>
        <w:t>Proposal</w:t>
      </w:r>
    </w:p>
    <w:p w14:paraId="1EC5FFFC" w14:textId="77777777" w:rsidR="00EE430F" w:rsidRPr="00FE69A8" w:rsidRDefault="00942438" w:rsidP="00EE430F">
      <w:pPr>
        <w:tabs>
          <w:tab w:val="clear" w:pos="567"/>
          <w:tab w:val="clear" w:pos="1134"/>
          <w:tab w:val="clear" w:pos="1701"/>
          <w:tab w:val="clear" w:pos="2268"/>
          <w:tab w:val="clear" w:pos="2835"/>
        </w:tabs>
        <w:overflowPunct/>
        <w:autoSpaceDE/>
        <w:autoSpaceDN/>
        <w:adjustRightInd/>
        <w:spacing w:before="0" w:after="120"/>
        <w:textAlignment w:val="auto"/>
        <w:rPr>
          <w:lang w:val="en-US"/>
        </w:rPr>
      </w:pPr>
      <w:r>
        <w:rPr>
          <w:rFonts w:eastAsiaTheme="minorHAnsi" w:cs="Calibri"/>
          <w:szCs w:val="24"/>
          <w:lang w:val="en-US"/>
        </w:rPr>
        <w:t xml:space="preserve">1. </w:t>
      </w:r>
      <w:r w:rsidR="00EE430F">
        <w:rPr>
          <w:rFonts w:eastAsiaTheme="minorHAnsi" w:cs="Calibri"/>
          <w:szCs w:val="24"/>
          <w:lang w:val="en-US"/>
        </w:rPr>
        <w:t xml:space="preserve">Document </w:t>
      </w:r>
      <w:hyperlink r:id="rId12" w:history="1">
        <w:r w:rsidR="00EE430F" w:rsidRPr="00EE430F">
          <w:rPr>
            <w:rStyle w:val="Hyperlink"/>
          </w:rPr>
          <w:t>EG-ITRs-2/13</w:t>
        </w:r>
      </w:hyperlink>
      <w:r w:rsidR="00EE430F">
        <w:t xml:space="preserve"> requested an analysis and possible updating of certain documents </w:t>
      </w:r>
      <w:r w:rsidR="00A36935" w:rsidRPr="002A4D72">
        <w:rPr>
          <w:rFonts w:cs="Calibri"/>
          <w:szCs w:val="24"/>
          <w:lang w:val="en-US"/>
        </w:rPr>
        <w:t xml:space="preserve">prepared by </w:t>
      </w:r>
      <w:r w:rsidR="00A36935">
        <w:rPr>
          <w:rFonts w:cs="Calibri"/>
          <w:szCs w:val="24"/>
          <w:lang w:val="en-US"/>
        </w:rPr>
        <w:t xml:space="preserve">the ITU Secretariat </w:t>
      </w:r>
      <w:r w:rsidR="00A36935" w:rsidRPr="002A4D72">
        <w:rPr>
          <w:rFonts w:cs="Calibri"/>
          <w:szCs w:val="24"/>
          <w:lang w:val="en-US"/>
        </w:rPr>
        <w:t>between 1998 and 2012 that address legal and other aspects of the ITRs</w:t>
      </w:r>
      <w:r w:rsidR="00EE430F">
        <w:t>:</w:t>
      </w:r>
    </w:p>
    <w:p w14:paraId="2CFA2E1B"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a)</w:t>
      </w:r>
      <w:r w:rsidRPr="006C2B43">
        <w:rPr>
          <w:rFonts w:asciiTheme="minorHAnsi" w:hAnsiTheme="minorHAnsi"/>
          <w:lang w:val="en-US"/>
        </w:rPr>
        <w:tab/>
      </w:r>
      <w:hyperlink r:id="rId13" w:tgtFrame="_blank" w:history="1">
        <w:r w:rsidRPr="006C2B43">
          <w:rPr>
            <w:rStyle w:val="Hyperlink"/>
            <w:rFonts w:asciiTheme="minorHAnsi" w:eastAsiaTheme="majorEastAsia" w:hAnsiTheme="minorHAnsi" w:cstheme="majorBidi"/>
            <w:bCs/>
            <w:szCs w:val="24"/>
            <w:lang w:val="en-US"/>
          </w:rPr>
          <w:t>CWG-WCIT12/TD-4</w:t>
        </w:r>
      </w:hyperlink>
      <w:r w:rsidRPr="006C2B43">
        <w:rPr>
          <w:rFonts w:asciiTheme="minorHAnsi" w:hAnsiTheme="minorHAnsi"/>
          <w:bCs/>
          <w:lang w:val="en-US"/>
        </w:rPr>
        <w:t xml:space="preserve"> – </w:t>
      </w:r>
      <w:r w:rsidRPr="006C2B43">
        <w:rPr>
          <w:rFonts w:asciiTheme="minorHAnsi" w:hAnsiTheme="minorHAnsi"/>
          <w:lang w:val="en-US"/>
        </w:rPr>
        <w:t>Vienna Convention on the Law of Treaties</w:t>
      </w:r>
      <w:r w:rsidRPr="006C2B43">
        <w:rPr>
          <w:rFonts w:asciiTheme="minorHAnsi" w:hAnsiTheme="minorHAnsi"/>
          <w:bCs/>
          <w:lang w:val="en-US"/>
        </w:rPr>
        <w:t xml:space="preserve"> 1969. The document reproduced for information </w:t>
      </w:r>
      <w:r w:rsidRPr="006C2B43">
        <w:rPr>
          <w:rFonts w:asciiTheme="minorHAnsi" w:hAnsiTheme="minorHAnsi"/>
        </w:rPr>
        <w:t xml:space="preserve">the text of the Vienna Convention on the Law of Treaties. Articles 26 ff. concern </w:t>
      </w:r>
      <w:r w:rsidRPr="006C2B43">
        <w:rPr>
          <w:rFonts w:asciiTheme="minorHAnsi" w:hAnsiTheme="minorHAnsi"/>
          <w:lang w:val="en-US"/>
        </w:rPr>
        <w:t xml:space="preserve">observance, application and interpretation of treaties. </w:t>
      </w:r>
    </w:p>
    <w:p w14:paraId="14C78732"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b)</w:t>
      </w:r>
      <w:r w:rsidRPr="006C2B43">
        <w:rPr>
          <w:rFonts w:asciiTheme="minorHAnsi" w:hAnsiTheme="minorHAnsi"/>
          <w:lang w:val="en-US"/>
        </w:rPr>
        <w:tab/>
      </w:r>
      <w:hyperlink r:id="rId14" w:tgtFrame="_blank" w:history="1">
        <w:r w:rsidRPr="006C2B43">
          <w:rPr>
            <w:rStyle w:val="Hyperlink"/>
            <w:rFonts w:asciiTheme="minorHAnsi" w:eastAsiaTheme="majorEastAsia" w:hAnsiTheme="minorHAnsi" w:cstheme="majorBidi"/>
            <w:bCs/>
            <w:szCs w:val="24"/>
            <w:lang w:val="en-US"/>
          </w:rPr>
          <w:t>CWG-WCIT12/TD-5</w:t>
        </w:r>
      </w:hyperlink>
      <w:r w:rsidRPr="006C2B43">
        <w:rPr>
          <w:rFonts w:asciiTheme="minorHAnsi" w:hAnsiTheme="minorHAnsi"/>
          <w:bCs/>
          <w:lang w:val="en-US"/>
        </w:rPr>
        <w:t xml:space="preserve"> – Background information of a legal nature. </w:t>
      </w:r>
      <w:r w:rsidRPr="006C2B43">
        <w:rPr>
          <w:rFonts w:asciiTheme="minorHAnsi" w:hAnsiTheme="minorHAnsi"/>
        </w:rPr>
        <w:t xml:space="preserve">During discussions in past meetings of the </w:t>
      </w:r>
      <w:r>
        <w:rPr>
          <w:rFonts w:asciiTheme="minorHAnsi" w:hAnsiTheme="minorHAnsi"/>
        </w:rPr>
        <w:t>EG-</w:t>
      </w:r>
      <w:r w:rsidRPr="006C2B43">
        <w:rPr>
          <w:rFonts w:asciiTheme="minorHAnsi" w:hAnsiTheme="minorHAnsi"/>
        </w:rPr>
        <w:t>ITR</w:t>
      </w:r>
      <w:r>
        <w:rPr>
          <w:rFonts w:asciiTheme="minorHAnsi" w:hAnsiTheme="minorHAnsi"/>
        </w:rPr>
        <w:t>s</w:t>
      </w:r>
      <w:r w:rsidRPr="006C2B43">
        <w:rPr>
          <w:rFonts w:asciiTheme="minorHAnsi" w:hAnsiTheme="minorHAnsi"/>
        </w:rPr>
        <w:t>, a recurring question has been "what are the legal implications of this or that language in the treaty?" The purpose of this paper is to set forth some considerations to be taken into account when answering such questions.</w:t>
      </w:r>
    </w:p>
    <w:p w14:paraId="459A4448" w14:textId="77777777" w:rsidR="00EE430F" w:rsidRPr="001F0884"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c)</w:t>
      </w:r>
      <w:r w:rsidRPr="006C2B43">
        <w:rPr>
          <w:rFonts w:asciiTheme="minorHAnsi" w:hAnsiTheme="minorHAnsi"/>
          <w:lang w:val="en-US"/>
        </w:rPr>
        <w:tab/>
      </w:r>
      <w:hyperlink r:id="rId15" w:tgtFrame="_blank" w:history="1">
        <w:r w:rsidRPr="006C2B43">
          <w:rPr>
            <w:rStyle w:val="Hyperlink"/>
            <w:rFonts w:asciiTheme="minorHAnsi" w:eastAsiaTheme="majorEastAsia" w:hAnsiTheme="minorHAnsi" w:cstheme="majorBidi"/>
            <w:bCs/>
            <w:szCs w:val="24"/>
            <w:lang w:val="en-US"/>
          </w:rPr>
          <w:t>CWG-WCIT12/TD-16</w:t>
        </w:r>
      </w:hyperlink>
      <w:r w:rsidRPr="006C2B43">
        <w:rPr>
          <w:rFonts w:asciiTheme="minorHAnsi" w:hAnsiTheme="minorHAnsi"/>
          <w:lang w:val="en-US"/>
        </w:rPr>
        <w:t xml:space="preserve"> </w:t>
      </w:r>
      <w:r w:rsidRPr="006C2B43">
        <w:rPr>
          <w:rFonts w:asciiTheme="minorHAnsi" w:hAnsiTheme="minorHAnsi"/>
          <w:bCs/>
          <w:lang w:val="en-US"/>
        </w:rPr>
        <w:t>– </w:t>
      </w:r>
      <w:r w:rsidRPr="006C2B43">
        <w:rPr>
          <w:rFonts w:asciiTheme="minorHAnsi" w:hAnsiTheme="minorHAnsi"/>
          <w:lang w:val="en-US"/>
        </w:rPr>
        <w:t>Unilateral acts of international organizations</w:t>
      </w:r>
      <w:r>
        <w:rPr>
          <w:rFonts w:asciiTheme="minorHAnsi" w:hAnsiTheme="minorHAnsi"/>
          <w:lang w:val="en-US"/>
        </w:rPr>
        <w:t xml:space="preserve"> </w:t>
      </w:r>
      <w:r w:rsidRPr="006C2B43">
        <w:rPr>
          <w:rFonts w:asciiTheme="minorHAnsi" w:hAnsiTheme="minorHAnsi"/>
          <w:lang w:val="en-US"/>
        </w:rPr>
        <w:t>as an expression of their normative authority</w:t>
      </w:r>
      <w:r w:rsidRPr="006C2B43">
        <w:rPr>
          <w:rFonts w:asciiTheme="minorHAnsi" w:hAnsiTheme="minorHAnsi"/>
          <w:bCs/>
          <w:lang w:val="en-US"/>
        </w:rPr>
        <w:t xml:space="preserve">. Explanations regarding the </w:t>
      </w:r>
      <w:r w:rsidRPr="006C2B43">
        <w:rPr>
          <w:rFonts w:asciiTheme="minorHAnsi" w:hAnsiTheme="minorHAnsi"/>
          <w:lang w:val="en-US"/>
        </w:rPr>
        <w:t>"normative" authority</w:t>
      </w:r>
      <w:r w:rsidRPr="006C2B43">
        <w:rPr>
          <w:rFonts w:asciiTheme="minorHAnsi" w:hAnsiTheme="minorHAnsi"/>
          <w:bCs/>
          <w:lang w:val="en-US"/>
        </w:rPr>
        <w:t xml:space="preserve"> of international organizations, in this particular case </w:t>
      </w:r>
      <w:r>
        <w:rPr>
          <w:rFonts w:asciiTheme="minorHAnsi" w:hAnsiTheme="minorHAnsi"/>
          <w:bCs/>
          <w:lang w:val="en-US"/>
        </w:rPr>
        <w:t>–</w:t>
      </w:r>
      <w:r w:rsidRPr="00910B2D">
        <w:rPr>
          <w:rFonts w:asciiTheme="minorHAnsi" w:hAnsiTheme="minorHAnsi"/>
          <w:bCs/>
          <w:lang w:val="en-US"/>
        </w:rPr>
        <w:t xml:space="preserve"> </w:t>
      </w:r>
      <w:r w:rsidRPr="006C2B43">
        <w:rPr>
          <w:rFonts w:asciiTheme="minorHAnsi" w:hAnsiTheme="minorHAnsi"/>
          <w:bCs/>
          <w:lang w:val="en-US"/>
        </w:rPr>
        <w:t>ITU, and the consequences of decisions adopted by them in cases where international organizations directly establish provisions of international law that are binding on Member States.</w:t>
      </w:r>
    </w:p>
    <w:p w14:paraId="4A3A640F"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d)</w:t>
      </w:r>
      <w:r w:rsidRPr="006C2B43">
        <w:rPr>
          <w:rFonts w:asciiTheme="minorHAnsi" w:hAnsiTheme="minorHAnsi"/>
          <w:lang w:val="en-US"/>
        </w:rPr>
        <w:tab/>
      </w:r>
      <w:hyperlink r:id="rId16" w:tgtFrame="_blank" w:history="1">
        <w:r w:rsidRPr="006C2B43">
          <w:rPr>
            <w:rStyle w:val="Hyperlink"/>
            <w:rFonts w:asciiTheme="minorHAnsi" w:eastAsiaTheme="majorEastAsia" w:hAnsiTheme="minorHAnsi" w:cstheme="majorBidi"/>
            <w:bCs/>
            <w:szCs w:val="24"/>
          </w:rPr>
          <w:t>TD</w:t>
        </w:r>
        <w:r w:rsidRPr="006C2B43">
          <w:rPr>
            <w:rStyle w:val="Hyperlink"/>
            <w:rFonts w:asciiTheme="minorHAnsi" w:eastAsiaTheme="majorEastAsia" w:hAnsiTheme="minorHAnsi" w:cstheme="majorBidi"/>
            <w:bCs/>
            <w:szCs w:val="24"/>
            <w:lang w:val="en-US"/>
          </w:rPr>
          <w:t xml:space="preserve"> 30 (</w:t>
        </w:r>
        <w:r w:rsidRPr="006C2B43">
          <w:rPr>
            <w:rStyle w:val="Hyperlink"/>
            <w:rFonts w:asciiTheme="minorHAnsi" w:eastAsiaTheme="majorEastAsia" w:hAnsiTheme="minorHAnsi" w:cstheme="majorBidi"/>
            <w:bCs/>
            <w:szCs w:val="24"/>
          </w:rPr>
          <w:t>PLEN</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ITR</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EG</w:t>
        </w:r>
        <w:r w:rsidRPr="006C2B43">
          <w:rPr>
            <w:rStyle w:val="Hyperlink"/>
            <w:rFonts w:asciiTheme="minorHAnsi" w:eastAsiaTheme="majorEastAsia" w:hAnsiTheme="minorHAnsi" w:cstheme="majorBidi"/>
            <w:bCs/>
            <w:szCs w:val="24"/>
            <w:lang w:val="en-US"/>
          </w:rPr>
          <w:t>)</w:t>
        </w:r>
      </w:hyperlink>
      <w:r w:rsidRPr="006C2B43">
        <w:rPr>
          <w:rFonts w:asciiTheme="minorHAnsi" w:hAnsiTheme="minorHAnsi"/>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Food for thought concerning consent to be bound by the ITRs</w:t>
      </w:r>
      <w:r w:rsidRPr="006C2B43">
        <w:rPr>
          <w:rFonts w:asciiTheme="minorHAnsi" w:hAnsiTheme="minorHAnsi"/>
          <w:bCs/>
          <w:lang w:val="en-US"/>
        </w:rPr>
        <w:t>. Examines the question of the acceptance by a Member State of the obligations to apply the ITRs in accordance with the ITU Constitution and Convention.</w:t>
      </w:r>
    </w:p>
    <w:p w14:paraId="3D1D6E7D"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e)</w:t>
      </w:r>
      <w:r w:rsidRPr="006C2B43">
        <w:rPr>
          <w:rFonts w:asciiTheme="minorHAnsi" w:hAnsiTheme="minorHAnsi"/>
          <w:lang w:val="en-US"/>
        </w:rPr>
        <w:tab/>
      </w:r>
      <w:hyperlink r:id="rId17" w:history="1">
        <w:r w:rsidRPr="006C2B43">
          <w:rPr>
            <w:rStyle w:val="Hyperlink"/>
            <w:rFonts w:asciiTheme="minorHAnsi" w:hAnsiTheme="minorHAnsi" w:cstheme="majorBidi"/>
            <w:bCs/>
            <w:szCs w:val="24"/>
            <w:lang w:val="en-US"/>
          </w:rPr>
          <w:t>CWG-WCIT12/INF-1</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Predecessor of the current (1988) ITRs</w:t>
      </w:r>
      <w:r w:rsidRPr="006C2B43">
        <w:rPr>
          <w:rFonts w:asciiTheme="minorHAnsi" w:hAnsiTheme="minorHAnsi"/>
          <w:bCs/>
          <w:lang w:val="en-US"/>
        </w:rPr>
        <w:t>.</w:t>
      </w:r>
    </w:p>
    <w:p w14:paraId="2D247F7D"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f)</w:t>
      </w:r>
      <w:r w:rsidRPr="006C2B43">
        <w:rPr>
          <w:rFonts w:asciiTheme="minorHAnsi" w:hAnsiTheme="minorHAnsi"/>
          <w:lang w:val="en-US"/>
        </w:rPr>
        <w:tab/>
      </w:r>
      <w:hyperlink r:id="rId18" w:history="1">
        <w:r w:rsidRPr="006C2B43">
          <w:rPr>
            <w:rStyle w:val="Hyperlink"/>
            <w:rFonts w:asciiTheme="minorHAnsi" w:hAnsiTheme="minorHAnsi" w:cstheme="majorBidi"/>
            <w:bCs/>
            <w:szCs w:val="24"/>
            <w:lang w:val="en-US"/>
          </w:rPr>
          <w:t>CWG-WCIT12/INF-2</w:t>
        </w:r>
      </w:hyperlink>
      <w:r w:rsidRPr="006C2B43">
        <w:rPr>
          <w:rFonts w:asciiTheme="minorHAnsi" w:hAnsiTheme="minorHAnsi"/>
          <w:bCs/>
          <w:lang w:val="en-US"/>
        </w:rPr>
        <w:t> – </w:t>
      </w:r>
      <w:r w:rsidRPr="006C2B43">
        <w:rPr>
          <w:rFonts w:asciiTheme="minorHAnsi" w:hAnsiTheme="minorHAnsi"/>
          <w:lang w:val="en-US"/>
        </w:rPr>
        <w:t>Status of Instructions</w:t>
      </w:r>
      <w:r w:rsidRPr="006C2B43">
        <w:rPr>
          <w:rFonts w:asciiTheme="minorHAnsi" w:hAnsiTheme="minorHAnsi"/>
          <w:bCs/>
          <w:lang w:val="en-US"/>
        </w:rPr>
        <w:t xml:space="preserve"> in the 1988 ITRs.</w:t>
      </w:r>
    </w:p>
    <w:p w14:paraId="6C3B9C39"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g)</w:t>
      </w:r>
      <w:r w:rsidRPr="006C2B43">
        <w:rPr>
          <w:rFonts w:asciiTheme="minorHAnsi" w:hAnsiTheme="minorHAnsi"/>
          <w:lang w:val="en-US"/>
        </w:rPr>
        <w:tab/>
      </w:r>
      <w:hyperlink r:id="rId19" w:history="1">
        <w:r w:rsidRPr="006C2B43">
          <w:rPr>
            <w:rStyle w:val="Hyperlink"/>
            <w:rFonts w:asciiTheme="minorHAnsi" w:hAnsiTheme="minorHAnsi" w:cstheme="majorBidi"/>
            <w:szCs w:val="24"/>
            <w:lang w:val="en-US"/>
          </w:rPr>
          <w:t>CWG-WCIT12/INF-3</w:t>
        </w:r>
      </w:hyperlink>
      <w:r w:rsidRPr="006C2B43">
        <w:rPr>
          <w:rFonts w:asciiTheme="minorHAnsi" w:hAnsiTheme="minorHAnsi"/>
          <w:bCs/>
          <w:lang w:val="en-US"/>
        </w:rPr>
        <w:t> – </w:t>
      </w:r>
      <w:r w:rsidRPr="006C2B43">
        <w:rPr>
          <w:rFonts w:asciiTheme="minorHAnsi" w:hAnsiTheme="minorHAnsi"/>
          <w:lang w:val="en-US"/>
        </w:rPr>
        <w:t xml:space="preserve">Summary of </w:t>
      </w:r>
      <w:r w:rsidRPr="006C2B43">
        <w:rPr>
          <w:rFonts w:asciiTheme="minorHAnsi" w:hAnsiTheme="minorHAnsi"/>
          <w:iCs/>
          <w:lang w:val="en-US"/>
        </w:rPr>
        <w:t>ITU Workshop on taxation of telecommunication services and related products</w:t>
      </w:r>
      <w:r w:rsidRPr="006C2B43">
        <w:rPr>
          <w:rFonts w:asciiTheme="minorHAnsi" w:hAnsiTheme="minorHAnsi"/>
          <w:lang w:val="en-US"/>
        </w:rPr>
        <w:t>.</w:t>
      </w:r>
    </w:p>
    <w:p w14:paraId="45E5314A"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h)</w:t>
      </w:r>
      <w:r w:rsidRPr="006C2B43">
        <w:rPr>
          <w:rFonts w:asciiTheme="minorHAnsi" w:hAnsiTheme="minorHAnsi"/>
          <w:lang w:val="en-US"/>
        </w:rPr>
        <w:tab/>
      </w:r>
      <w:hyperlink r:id="rId20" w:history="1">
        <w:r w:rsidRPr="006C2B43">
          <w:rPr>
            <w:rStyle w:val="Hyperlink"/>
            <w:rFonts w:asciiTheme="minorHAnsi" w:eastAsiaTheme="minorEastAsia" w:hAnsiTheme="minorHAnsi" w:cstheme="majorBidi"/>
            <w:szCs w:val="24"/>
            <w:lang w:val="en-US"/>
          </w:rPr>
          <w:t>CWG-WCIT12/INF-4 Rev.1</w:t>
        </w:r>
      </w:hyperlink>
      <w:r w:rsidRPr="006C2B43">
        <w:rPr>
          <w:rFonts w:asciiTheme="minorHAnsi" w:hAnsiTheme="minorHAnsi"/>
          <w:bCs/>
          <w:lang w:val="en-US"/>
        </w:rPr>
        <w:t> – </w:t>
      </w:r>
      <w:r w:rsidRPr="006C2B43">
        <w:rPr>
          <w:rFonts w:asciiTheme="minorHAnsi" w:hAnsiTheme="minorHAnsi"/>
          <w:lang w:val="en-US"/>
        </w:rPr>
        <w:t>Supplement 2 to Recommendation ITU-T E.156</w:t>
      </w:r>
      <w:r w:rsidRPr="006C2B43">
        <w:rPr>
          <w:rFonts w:asciiTheme="minorHAnsi" w:hAnsiTheme="minorHAnsi"/>
          <w:bCs/>
          <w:lang w:val="en-US"/>
        </w:rPr>
        <w:t>. Questions relating to misuse of numbering resources.</w:t>
      </w:r>
    </w:p>
    <w:p w14:paraId="04A0C405"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i)</w:t>
      </w:r>
      <w:r w:rsidRPr="006C2B43">
        <w:rPr>
          <w:rFonts w:asciiTheme="minorHAnsi" w:hAnsiTheme="minorHAnsi"/>
          <w:lang w:val="en-US"/>
        </w:rPr>
        <w:tab/>
      </w:r>
      <w:hyperlink r:id="rId21" w:history="1">
        <w:r w:rsidRPr="006C2B43">
          <w:rPr>
            <w:rStyle w:val="Hyperlink"/>
            <w:rFonts w:asciiTheme="minorHAnsi" w:hAnsiTheme="minorHAnsi" w:cstheme="majorBidi"/>
            <w:szCs w:val="24"/>
            <w:lang w:val="en-US"/>
          </w:rPr>
          <w:t>CWG-WCIT12/INF-5</w:t>
        </w:r>
      </w:hyperlink>
      <w:r w:rsidRPr="006C2B43">
        <w:rPr>
          <w:rFonts w:asciiTheme="minorHAnsi" w:hAnsiTheme="minorHAnsi"/>
          <w:lang w:val="en-US"/>
        </w:rPr>
        <w:t> – Overview of Quality of Service.</w:t>
      </w:r>
    </w:p>
    <w:p w14:paraId="268CA904"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j)</w:t>
      </w:r>
      <w:r w:rsidRPr="006C2B43">
        <w:rPr>
          <w:rFonts w:asciiTheme="minorHAnsi" w:hAnsiTheme="minorHAnsi"/>
          <w:lang w:val="en-US"/>
        </w:rPr>
        <w:tab/>
      </w:r>
      <w:hyperlink r:id="rId22" w:history="1">
        <w:r w:rsidRPr="006C2B43">
          <w:rPr>
            <w:rStyle w:val="Hyperlink"/>
            <w:rFonts w:asciiTheme="minorHAnsi" w:hAnsiTheme="minorHAnsi" w:cstheme="majorBidi"/>
            <w:szCs w:val="24"/>
            <w:lang w:val="en-US"/>
          </w:rPr>
          <w:t>CWG-WCIT12/INF-6</w:t>
        </w:r>
      </w:hyperlink>
      <w:r w:rsidRPr="006C2B43">
        <w:rPr>
          <w:rFonts w:asciiTheme="minorHAnsi" w:hAnsiTheme="minorHAnsi"/>
          <w:bCs/>
          <w:lang w:val="en-US"/>
        </w:rPr>
        <w:t> – Overview of Convergence.</w:t>
      </w:r>
    </w:p>
    <w:p w14:paraId="7D3CD6F1"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k)</w:t>
      </w:r>
      <w:r w:rsidRPr="006C2B43">
        <w:rPr>
          <w:rFonts w:asciiTheme="minorHAnsi" w:hAnsiTheme="minorHAnsi"/>
          <w:lang w:val="en-US"/>
        </w:rPr>
        <w:tab/>
      </w:r>
      <w:hyperlink r:id="rId23" w:history="1">
        <w:r w:rsidRPr="006C2B43">
          <w:rPr>
            <w:rStyle w:val="Hyperlink"/>
            <w:rFonts w:asciiTheme="minorHAnsi" w:hAnsiTheme="minorHAnsi" w:cstheme="majorBidi"/>
            <w:szCs w:val="24"/>
          </w:rPr>
          <w:t>CWG</w:t>
        </w:r>
        <w:r w:rsidRPr="006C2B43">
          <w:rPr>
            <w:rStyle w:val="Hyperlink"/>
            <w:rFonts w:asciiTheme="minorHAnsi" w:hAnsiTheme="minorHAnsi" w:cstheme="majorBidi"/>
            <w:szCs w:val="24"/>
            <w:lang w:val="en-US"/>
          </w:rPr>
          <w:t>-</w:t>
        </w:r>
        <w:r w:rsidRPr="006C2B43">
          <w:rPr>
            <w:rStyle w:val="Hyperlink"/>
            <w:rFonts w:asciiTheme="minorHAnsi" w:hAnsiTheme="minorHAnsi" w:cstheme="majorBidi"/>
            <w:szCs w:val="24"/>
          </w:rPr>
          <w:t>WCIT</w:t>
        </w:r>
        <w:r w:rsidRPr="006C2B43">
          <w:rPr>
            <w:rStyle w:val="Hyperlink"/>
            <w:rFonts w:asciiTheme="minorHAnsi" w:hAnsiTheme="minorHAnsi" w:cstheme="majorBidi"/>
            <w:szCs w:val="24"/>
            <w:lang w:val="en-US"/>
          </w:rPr>
          <w:t>12/</w:t>
        </w:r>
        <w:r w:rsidRPr="006C2B43">
          <w:rPr>
            <w:rStyle w:val="Hyperlink"/>
            <w:rFonts w:asciiTheme="minorHAnsi" w:hAnsiTheme="minorHAnsi" w:cstheme="majorBidi"/>
            <w:szCs w:val="24"/>
          </w:rPr>
          <w:t>INF</w:t>
        </w:r>
        <w:r w:rsidRPr="006C2B43">
          <w:rPr>
            <w:rStyle w:val="Hyperlink"/>
            <w:rFonts w:asciiTheme="minorHAnsi" w:hAnsiTheme="minorHAnsi" w:cstheme="majorBidi"/>
            <w:szCs w:val="24"/>
            <w:lang w:val="en-US"/>
          </w:rPr>
          <w:t>-7</w:t>
        </w:r>
      </w:hyperlink>
      <w:r w:rsidRPr="006C2B43">
        <w:rPr>
          <w:rFonts w:asciiTheme="minorHAnsi" w:hAnsiTheme="minorHAnsi"/>
        </w:rPr>
        <w:t> </w:t>
      </w:r>
      <w:r w:rsidRPr="006C2B43">
        <w:rPr>
          <w:rFonts w:asciiTheme="minorHAnsi" w:hAnsiTheme="minorHAnsi"/>
          <w:lang w:val="en-US"/>
        </w:rPr>
        <w:t>–</w:t>
      </w:r>
      <w:r w:rsidRPr="006C2B43">
        <w:rPr>
          <w:rFonts w:asciiTheme="minorHAnsi" w:hAnsiTheme="minorHAnsi"/>
        </w:rPr>
        <w:t> </w:t>
      </w:r>
      <w:r w:rsidRPr="006C2B43">
        <w:rPr>
          <w:rFonts w:asciiTheme="minorHAnsi" w:hAnsiTheme="minorHAnsi"/>
          <w:lang w:val="en-US"/>
        </w:rPr>
        <w:t>Security in the use of ICTs.</w:t>
      </w:r>
    </w:p>
    <w:p w14:paraId="220EC93F"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l)</w:t>
      </w:r>
      <w:r w:rsidRPr="006C2B43">
        <w:rPr>
          <w:rFonts w:asciiTheme="minorHAnsi" w:hAnsiTheme="minorHAnsi"/>
          <w:lang w:val="en-US"/>
        </w:rPr>
        <w:tab/>
      </w:r>
      <w:hyperlink r:id="rId24" w:history="1">
        <w:r w:rsidRPr="006C2B43">
          <w:rPr>
            <w:rStyle w:val="Hyperlink"/>
            <w:rFonts w:asciiTheme="minorHAnsi" w:hAnsiTheme="minorHAnsi" w:cstheme="majorBidi"/>
            <w:szCs w:val="24"/>
            <w:lang w:val="en-US"/>
          </w:rPr>
          <w:t>CWG-WCIT12/INF-8</w:t>
        </w:r>
      </w:hyperlink>
      <w:r w:rsidRPr="006C2B43">
        <w:rPr>
          <w:rFonts w:asciiTheme="minorHAnsi" w:hAnsiTheme="minorHAnsi"/>
          <w:bCs/>
          <w:lang w:val="en-US"/>
        </w:rPr>
        <w:t> – Overview of enforcement issues, including status of ITU-T Recommendations</w:t>
      </w:r>
      <w:r w:rsidRPr="006C2B43">
        <w:rPr>
          <w:rFonts w:asciiTheme="minorHAnsi" w:hAnsiTheme="minorHAnsi"/>
          <w:lang w:val="en-US"/>
        </w:rPr>
        <w:t>.</w:t>
      </w:r>
    </w:p>
    <w:p w14:paraId="2C4B4CBB"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m)</w:t>
      </w:r>
      <w:r w:rsidRPr="006C2B43">
        <w:rPr>
          <w:rFonts w:asciiTheme="minorHAnsi" w:hAnsiTheme="minorHAnsi"/>
          <w:lang w:val="en-US"/>
        </w:rPr>
        <w:tab/>
      </w:r>
      <w:hyperlink r:id="rId25" w:history="1">
        <w:r w:rsidRPr="006C2B43">
          <w:rPr>
            <w:rStyle w:val="Hyperlink"/>
            <w:rFonts w:asciiTheme="minorHAnsi" w:hAnsiTheme="minorHAnsi" w:cstheme="majorBidi"/>
            <w:szCs w:val="24"/>
            <w:lang w:val="en-US"/>
          </w:rPr>
          <w:t>CWG-WCIT12/INF-9</w:t>
        </w:r>
      </w:hyperlink>
      <w:r w:rsidRPr="006C2B43">
        <w:rPr>
          <w:rFonts w:asciiTheme="minorHAnsi" w:hAnsiTheme="minorHAnsi"/>
          <w:lang w:val="en-US"/>
        </w:rPr>
        <w:t> – International Frameworks. Information document on the ITRs and other international frameworks.</w:t>
      </w:r>
    </w:p>
    <w:p w14:paraId="5FCB696A"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n)</w:t>
      </w:r>
      <w:r w:rsidRPr="006C2B43">
        <w:rPr>
          <w:rFonts w:asciiTheme="minorHAnsi" w:hAnsiTheme="minorHAnsi"/>
          <w:lang w:val="en-US"/>
        </w:rPr>
        <w:tab/>
      </w:r>
      <w:hyperlink r:id="rId26" w:history="1">
        <w:r w:rsidRPr="006C2B43">
          <w:rPr>
            <w:rStyle w:val="Hyperlink"/>
            <w:rFonts w:asciiTheme="minorHAnsi" w:hAnsiTheme="minorHAnsi" w:cstheme="majorBidi"/>
            <w:szCs w:val="24"/>
            <w:lang w:val="en-US"/>
          </w:rPr>
          <w:t>CWG-WCIT12/INF-10</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bCs/>
          <w:lang w:val="en-US"/>
        </w:rPr>
        <w:t>The human right to access communications.</w:t>
      </w:r>
    </w:p>
    <w:p w14:paraId="1997EC4A"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o)</w:t>
      </w:r>
      <w:r w:rsidRPr="006C2B43">
        <w:rPr>
          <w:rFonts w:asciiTheme="minorHAnsi" w:hAnsiTheme="minorHAnsi"/>
          <w:lang w:val="en-US"/>
        </w:rPr>
        <w:tab/>
      </w:r>
      <w:hyperlink r:id="rId27" w:history="1">
        <w:r w:rsidRPr="006C2B43">
          <w:rPr>
            <w:rStyle w:val="Hyperlink"/>
            <w:rFonts w:asciiTheme="minorHAnsi" w:hAnsiTheme="minorHAnsi" w:cstheme="majorBidi"/>
            <w:szCs w:val="24"/>
            <w:lang w:val="en-US"/>
          </w:rPr>
          <w:t>CWG-WCIT12/INF-11 Rev.1</w:t>
        </w:r>
      </w:hyperlink>
      <w:r w:rsidRPr="006C2B43">
        <w:rPr>
          <w:rFonts w:asciiTheme="minorHAnsi" w:hAnsiTheme="minorHAnsi"/>
          <w:bCs/>
          <w:lang w:val="en-US"/>
        </w:rPr>
        <w:t> – Protection of Critical National Infrastructure.</w:t>
      </w:r>
    </w:p>
    <w:p w14:paraId="7450921F"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lastRenderedPageBreak/>
        <w:t>p)</w:t>
      </w:r>
      <w:r w:rsidRPr="006C2B43">
        <w:rPr>
          <w:rFonts w:asciiTheme="minorHAnsi" w:hAnsiTheme="minorHAnsi"/>
          <w:lang w:val="en-US"/>
        </w:rPr>
        <w:tab/>
      </w:r>
      <w:hyperlink r:id="rId28" w:history="1">
        <w:r w:rsidRPr="006C2B43">
          <w:rPr>
            <w:rStyle w:val="Hyperlink"/>
            <w:rFonts w:asciiTheme="minorHAnsi" w:hAnsiTheme="minorHAnsi" w:cstheme="majorBidi"/>
            <w:szCs w:val="24"/>
            <w:lang w:val="en-US"/>
          </w:rPr>
          <w:t>CWG-WCIT12/INF-12</w:t>
        </w:r>
      </w:hyperlink>
      <w:r w:rsidRPr="006C2B43">
        <w:rPr>
          <w:rFonts w:asciiTheme="minorHAnsi" w:hAnsiTheme="minorHAnsi"/>
          <w:bCs/>
          <w:lang w:val="en-US"/>
        </w:rPr>
        <w:t xml:space="preserve"> – </w:t>
      </w:r>
      <w:r w:rsidRPr="006C2B43">
        <w:rPr>
          <w:rFonts w:asciiTheme="minorHAnsi" w:hAnsiTheme="minorHAnsi"/>
          <w:lang w:val="en-US"/>
        </w:rPr>
        <w:t xml:space="preserve">Overview of </w:t>
      </w:r>
      <w:r w:rsidRPr="006C2B43">
        <w:rPr>
          <w:rFonts w:asciiTheme="minorHAnsi" w:hAnsiTheme="minorHAnsi"/>
          <w:iCs/>
          <w:lang w:val="en-US"/>
        </w:rPr>
        <w:t>ITU work on tariff and accounting matters, including international mobile roaming, international Internet connectivity, and taxation issues</w:t>
      </w:r>
      <w:r w:rsidRPr="006C2B43">
        <w:rPr>
          <w:rFonts w:asciiTheme="minorHAnsi" w:hAnsiTheme="minorHAnsi"/>
          <w:lang w:val="en-US"/>
        </w:rPr>
        <w:t>.</w:t>
      </w:r>
    </w:p>
    <w:p w14:paraId="520294CA" w14:textId="77777777" w:rsidR="00EE430F" w:rsidRPr="006C2B43" w:rsidRDefault="00EE430F" w:rsidP="00EE430F">
      <w:pPr>
        <w:pStyle w:val="enumlev2"/>
        <w:tabs>
          <w:tab w:val="clear" w:pos="567"/>
        </w:tabs>
        <w:ind w:left="1287"/>
        <w:jc w:val="both"/>
        <w:rPr>
          <w:rFonts w:asciiTheme="minorHAnsi" w:hAnsiTheme="minorHAnsi"/>
          <w:lang w:val="en-US"/>
        </w:rPr>
      </w:pPr>
      <w:r w:rsidRPr="006C2B43">
        <w:rPr>
          <w:rFonts w:asciiTheme="minorHAnsi" w:hAnsiTheme="minorHAnsi"/>
          <w:lang w:val="en-US"/>
        </w:rPr>
        <w:t>q)</w:t>
      </w:r>
      <w:r w:rsidRPr="006C2B43">
        <w:rPr>
          <w:rFonts w:asciiTheme="minorHAnsi" w:hAnsiTheme="minorHAnsi"/>
          <w:lang w:val="en-US"/>
        </w:rPr>
        <w:tab/>
      </w:r>
      <w:hyperlink r:id="rId29" w:history="1">
        <w:r w:rsidRPr="006C2B43">
          <w:rPr>
            <w:rStyle w:val="Hyperlink"/>
            <w:rFonts w:asciiTheme="minorHAnsi" w:hAnsiTheme="minorHAnsi" w:cstheme="majorBidi"/>
            <w:szCs w:val="24"/>
            <w:lang w:val="en-US"/>
          </w:rPr>
          <w:t>CWG-WCIT12/INF-13</w:t>
        </w:r>
      </w:hyperlink>
      <w:r w:rsidRPr="006C2B43">
        <w:rPr>
          <w:rFonts w:asciiTheme="minorHAnsi" w:hAnsiTheme="minorHAnsi"/>
          <w:bCs/>
          <w:lang w:val="en-US"/>
        </w:rPr>
        <w:t> – Interconnection and Interoperability.</w:t>
      </w:r>
    </w:p>
    <w:p w14:paraId="4812E804" w14:textId="77777777" w:rsidR="00EE430F" w:rsidRPr="00FE69A8" w:rsidRDefault="00EE430F" w:rsidP="00EE430F">
      <w:pPr>
        <w:pStyle w:val="enumlev2"/>
        <w:tabs>
          <w:tab w:val="clear" w:pos="567"/>
        </w:tabs>
        <w:ind w:left="720" w:firstLine="0"/>
        <w:jc w:val="both"/>
        <w:rPr>
          <w:lang w:val="en-US"/>
        </w:rPr>
      </w:pPr>
      <w:r w:rsidRPr="006C2B43">
        <w:rPr>
          <w:rFonts w:asciiTheme="minorHAnsi" w:hAnsiTheme="minorHAnsi"/>
          <w:lang w:val="en-US"/>
        </w:rPr>
        <w:t>r)</w:t>
      </w:r>
      <w:r w:rsidRPr="006C2B43">
        <w:rPr>
          <w:rFonts w:asciiTheme="minorHAnsi" w:hAnsiTheme="minorHAnsi"/>
          <w:lang w:val="en-US"/>
        </w:rPr>
        <w:tab/>
      </w:r>
      <w:hyperlink r:id="rId30" w:history="1">
        <w:r w:rsidRPr="006C2B43">
          <w:rPr>
            <w:rStyle w:val="Hyperlink"/>
            <w:rFonts w:asciiTheme="minorHAnsi" w:hAnsiTheme="minorHAnsi" w:cstheme="majorBidi"/>
            <w:szCs w:val="24"/>
            <w:lang w:val="en-US"/>
          </w:rPr>
          <w:t>CWG-WCIT12/INF–15</w:t>
        </w:r>
      </w:hyperlink>
      <w:r w:rsidRPr="006C2B43">
        <w:rPr>
          <w:rFonts w:asciiTheme="minorHAnsi" w:hAnsiTheme="minorHAnsi"/>
          <w:lang w:val="en-US"/>
        </w:rPr>
        <w:t> – Summary report of the ITU workshop on origin identification and alternative calling procedures</w:t>
      </w:r>
      <w:r w:rsidRPr="00FE69A8">
        <w:rPr>
          <w:lang w:val="en-US"/>
        </w:rPr>
        <w:t>.</w:t>
      </w:r>
    </w:p>
    <w:p w14:paraId="185BCB1B" w14:textId="77777777" w:rsidR="00EE430F" w:rsidRDefault="00EE430F" w:rsidP="006B1D22">
      <w:pPr>
        <w:keepNext/>
        <w:tabs>
          <w:tab w:val="clear" w:pos="567"/>
          <w:tab w:val="clear" w:pos="1134"/>
          <w:tab w:val="clear" w:pos="1701"/>
          <w:tab w:val="clear" w:pos="2268"/>
          <w:tab w:val="clear" w:pos="2835"/>
        </w:tabs>
        <w:overflowPunct/>
        <w:autoSpaceDE/>
        <w:autoSpaceDN/>
        <w:adjustRightInd/>
        <w:spacing w:before="0" w:after="120"/>
        <w:textAlignment w:val="auto"/>
        <w:rPr>
          <w:rFonts w:cs="Calibri"/>
          <w:bCs/>
          <w:szCs w:val="24"/>
          <w:lang w:val="en-US"/>
        </w:rPr>
      </w:pPr>
      <w:r>
        <w:rPr>
          <w:rFonts w:cs="Calibri"/>
          <w:bCs/>
          <w:szCs w:val="24"/>
          <w:lang w:val="en-US"/>
        </w:rPr>
        <w:t>2. Our comments regarding those documents are</w:t>
      </w:r>
      <w:r w:rsidR="006B1D22">
        <w:rPr>
          <w:rFonts w:cs="Calibri"/>
          <w:bCs/>
          <w:szCs w:val="24"/>
          <w:lang w:val="en-US"/>
        </w:rPr>
        <w:t xml:space="preserve"> shown below. For convenience, if a document</w:t>
      </w:r>
      <w:r w:rsidR="00842242">
        <w:rPr>
          <w:rFonts w:cs="Calibri"/>
          <w:bCs/>
          <w:szCs w:val="24"/>
          <w:lang w:val="en-US"/>
        </w:rPr>
        <w:t>, in our view,</w:t>
      </w:r>
      <w:r w:rsidR="006B1D22">
        <w:rPr>
          <w:rFonts w:cs="Calibri"/>
          <w:bCs/>
          <w:szCs w:val="24"/>
          <w:lang w:val="en-US"/>
        </w:rPr>
        <w:t xml:space="preserve"> remains valid, that is indicated in </w:t>
      </w:r>
      <w:r w:rsidR="006B1D22" w:rsidRPr="006B1D22">
        <w:rPr>
          <w:rFonts w:cs="Calibri"/>
          <w:b/>
          <w:bCs/>
          <w:szCs w:val="24"/>
          <w:lang w:val="en-US"/>
        </w:rPr>
        <w:t>bold</w:t>
      </w:r>
      <w:r w:rsidR="006B1D22">
        <w:rPr>
          <w:rFonts w:cs="Calibri"/>
          <w:bCs/>
          <w:szCs w:val="24"/>
          <w:lang w:val="en-US"/>
        </w:rPr>
        <w:t>. If a document</w:t>
      </w:r>
      <w:r w:rsidR="00842242">
        <w:rPr>
          <w:rFonts w:cs="Calibri"/>
          <w:bCs/>
          <w:szCs w:val="24"/>
          <w:lang w:val="en-US"/>
        </w:rPr>
        <w:t>, in our view,</w:t>
      </w:r>
      <w:r w:rsidR="006B1D22">
        <w:rPr>
          <w:rFonts w:cs="Calibri"/>
          <w:bCs/>
          <w:szCs w:val="24"/>
          <w:lang w:val="en-US"/>
        </w:rPr>
        <w:t xml:space="preserve"> must be updated, that is indicated with </w:t>
      </w:r>
      <w:r w:rsidR="006B1D22" w:rsidRPr="006B1D22">
        <w:rPr>
          <w:rFonts w:cs="Calibri"/>
          <w:bCs/>
          <w:szCs w:val="24"/>
          <w:u w:val="single"/>
          <w:lang w:val="en-US"/>
        </w:rPr>
        <w:t>underlining</w:t>
      </w:r>
      <w:r w:rsidR="006B1D22">
        <w:rPr>
          <w:rFonts w:cs="Calibri"/>
          <w:bCs/>
          <w:szCs w:val="24"/>
          <w:lang w:val="en-US"/>
        </w:rPr>
        <w:t xml:space="preserve">. </w:t>
      </w:r>
      <w:r w:rsidR="00842242">
        <w:rPr>
          <w:rFonts w:cs="Calibri"/>
          <w:bCs/>
          <w:szCs w:val="24"/>
          <w:lang w:val="en-US"/>
        </w:rPr>
        <w:t>In our view, o</w:t>
      </w:r>
      <w:r w:rsidR="006B1D22">
        <w:rPr>
          <w:rFonts w:cs="Calibri"/>
          <w:bCs/>
          <w:szCs w:val="24"/>
          <w:lang w:val="en-US"/>
        </w:rPr>
        <w:t xml:space="preserve">ther documents may need to be updated </w:t>
      </w:r>
    </w:p>
    <w:p w14:paraId="148B82A2"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a)</w:t>
      </w:r>
      <w:r w:rsidRPr="006C2B43">
        <w:rPr>
          <w:rFonts w:asciiTheme="minorHAnsi" w:hAnsiTheme="minorHAnsi"/>
          <w:lang w:val="en-US"/>
        </w:rPr>
        <w:tab/>
      </w:r>
      <w:hyperlink r:id="rId31" w:tgtFrame="_blank" w:history="1">
        <w:r w:rsidRPr="006C2B43">
          <w:rPr>
            <w:rStyle w:val="Hyperlink"/>
            <w:rFonts w:asciiTheme="minorHAnsi" w:eastAsiaTheme="majorEastAsia" w:hAnsiTheme="minorHAnsi" w:cstheme="majorBidi"/>
            <w:bCs/>
            <w:szCs w:val="24"/>
            <w:lang w:val="en-US"/>
          </w:rPr>
          <w:t>CWG-WCIT12/TD-4</w:t>
        </w:r>
      </w:hyperlink>
      <w:r w:rsidRPr="006C2B43">
        <w:rPr>
          <w:rFonts w:asciiTheme="minorHAnsi" w:hAnsiTheme="minorHAnsi"/>
          <w:bCs/>
          <w:lang w:val="en-US"/>
        </w:rPr>
        <w:t xml:space="preserve"> – </w:t>
      </w:r>
      <w:r>
        <w:rPr>
          <w:rFonts w:asciiTheme="minorHAnsi" w:hAnsiTheme="minorHAnsi"/>
          <w:lang w:val="en-US"/>
        </w:rPr>
        <w:t xml:space="preserve">This document merely reproduces the Vienna Convention on the Law of Treaties. </w:t>
      </w:r>
      <w:r w:rsidRPr="006B1D22">
        <w:rPr>
          <w:rFonts w:asciiTheme="minorHAnsi" w:hAnsiTheme="minorHAnsi"/>
          <w:b/>
          <w:lang w:val="en-US"/>
        </w:rPr>
        <w:t>It remains valid today</w:t>
      </w:r>
      <w:r>
        <w:rPr>
          <w:rFonts w:asciiTheme="minorHAnsi" w:hAnsiTheme="minorHAnsi"/>
          <w:lang w:val="en-US"/>
        </w:rPr>
        <w:t>.</w:t>
      </w:r>
      <w:r w:rsidRPr="006C2B43">
        <w:rPr>
          <w:rFonts w:asciiTheme="minorHAnsi" w:hAnsiTheme="minorHAnsi"/>
          <w:lang w:val="en-US"/>
        </w:rPr>
        <w:t xml:space="preserve"> </w:t>
      </w:r>
    </w:p>
    <w:p w14:paraId="471F40B1"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b)</w:t>
      </w:r>
      <w:r w:rsidRPr="006C2B43">
        <w:rPr>
          <w:rFonts w:asciiTheme="minorHAnsi" w:hAnsiTheme="minorHAnsi"/>
          <w:lang w:val="en-US"/>
        </w:rPr>
        <w:tab/>
      </w:r>
      <w:hyperlink r:id="rId32" w:tgtFrame="_blank" w:history="1">
        <w:r w:rsidRPr="006C2B43">
          <w:rPr>
            <w:rStyle w:val="Hyperlink"/>
            <w:rFonts w:asciiTheme="minorHAnsi" w:eastAsiaTheme="majorEastAsia" w:hAnsiTheme="minorHAnsi" w:cstheme="majorBidi"/>
            <w:bCs/>
            <w:szCs w:val="24"/>
            <w:lang w:val="en-US"/>
          </w:rPr>
          <w:t>CWG-WCIT12/TD-5</w:t>
        </w:r>
      </w:hyperlink>
      <w:r w:rsidRPr="006C2B43">
        <w:rPr>
          <w:rFonts w:asciiTheme="minorHAnsi" w:hAnsiTheme="minorHAnsi"/>
          <w:bCs/>
          <w:lang w:val="en-US"/>
        </w:rPr>
        <w:t xml:space="preserve"> – </w:t>
      </w:r>
      <w:r>
        <w:rPr>
          <w:rFonts w:asciiTheme="minorHAnsi" w:hAnsiTheme="minorHAnsi"/>
          <w:bCs/>
          <w:lang w:val="en-US"/>
        </w:rPr>
        <w:t>This b</w:t>
      </w:r>
      <w:r w:rsidRPr="006C2B43">
        <w:rPr>
          <w:rFonts w:asciiTheme="minorHAnsi" w:hAnsiTheme="minorHAnsi"/>
          <w:bCs/>
          <w:lang w:val="en-US"/>
        </w:rPr>
        <w:t>ackground information of a legal nature</w:t>
      </w:r>
      <w:r>
        <w:rPr>
          <w:rFonts w:asciiTheme="minorHAnsi" w:hAnsiTheme="minorHAnsi"/>
          <w:bCs/>
          <w:lang w:val="en-US"/>
        </w:rPr>
        <w:t xml:space="preserve"> </w:t>
      </w:r>
      <w:r w:rsidRPr="006B1D22">
        <w:rPr>
          <w:rFonts w:asciiTheme="minorHAnsi" w:hAnsiTheme="minorHAnsi"/>
          <w:b/>
          <w:bCs/>
          <w:lang w:val="en-US"/>
        </w:rPr>
        <w:t>remains valid today</w:t>
      </w:r>
      <w:r w:rsidRPr="006C2B43">
        <w:rPr>
          <w:rFonts w:asciiTheme="minorHAnsi" w:hAnsiTheme="minorHAnsi"/>
        </w:rPr>
        <w:t>.</w:t>
      </w:r>
    </w:p>
    <w:p w14:paraId="150196DA" w14:textId="77777777" w:rsidR="00EE430F" w:rsidRPr="001F0884"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c)</w:t>
      </w:r>
      <w:r w:rsidRPr="006C2B43">
        <w:rPr>
          <w:rFonts w:asciiTheme="minorHAnsi" w:hAnsiTheme="minorHAnsi"/>
          <w:lang w:val="en-US"/>
        </w:rPr>
        <w:tab/>
      </w:r>
      <w:hyperlink r:id="rId33" w:tgtFrame="_blank" w:history="1">
        <w:r w:rsidRPr="006C2B43">
          <w:rPr>
            <w:rStyle w:val="Hyperlink"/>
            <w:rFonts w:asciiTheme="minorHAnsi" w:eastAsiaTheme="majorEastAsia" w:hAnsiTheme="minorHAnsi" w:cstheme="majorBidi"/>
            <w:bCs/>
            <w:szCs w:val="24"/>
            <w:lang w:val="en-US"/>
          </w:rPr>
          <w:t>CWG-WCIT12/TD-16</w:t>
        </w:r>
      </w:hyperlink>
      <w:r w:rsidRPr="006C2B43">
        <w:rPr>
          <w:rFonts w:asciiTheme="minorHAnsi" w:hAnsiTheme="minorHAnsi"/>
          <w:lang w:val="en-US"/>
        </w:rPr>
        <w:t xml:space="preserve"> </w:t>
      </w:r>
      <w:r w:rsidRPr="006C2B43">
        <w:rPr>
          <w:rFonts w:asciiTheme="minorHAnsi" w:hAnsiTheme="minorHAnsi"/>
          <w:bCs/>
          <w:lang w:val="en-US"/>
        </w:rPr>
        <w:t>–</w:t>
      </w:r>
      <w:r>
        <w:rPr>
          <w:rFonts w:asciiTheme="minorHAnsi" w:hAnsiTheme="minorHAnsi"/>
          <w:bCs/>
          <w:lang w:val="en-US"/>
        </w:rPr>
        <w:t>These</w:t>
      </w:r>
      <w:r w:rsidRPr="006C2B43">
        <w:rPr>
          <w:rFonts w:asciiTheme="minorHAnsi" w:hAnsiTheme="minorHAnsi"/>
          <w:bCs/>
          <w:lang w:val="en-US"/>
        </w:rPr>
        <w:t xml:space="preserve"> </w:t>
      </w:r>
      <w:r>
        <w:rPr>
          <w:rFonts w:asciiTheme="minorHAnsi" w:hAnsiTheme="minorHAnsi"/>
          <w:bCs/>
          <w:lang w:val="en-US"/>
        </w:rPr>
        <w:t>e</w:t>
      </w:r>
      <w:r w:rsidRPr="006C2B43">
        <w:rPr>
          <w:rFonts w:asciiTheme="minorHAnsi" w:hAnsiTheme="minorHAnsi"/>
          <w:bCs/>
          <w:lang w:val="en-US"/>
        </w:rPr>
        <w:t xml:space="preserve">xplanations regarding the </w:t>
      </w:r>
      <w:r w:rsidRPr="006C2B43">
        <w:rPr>
          <w:rFonts w:asciiTheme="minorHAnsi" w:hAnsiTheme="minorHAnsi"/>
          <w:lang w:val="en-US"/>
        </w:rPr>
        <w:t>"normative" authority</w:t>
      </w:r>
      <w:r w:rsidRPr="006C2B43">
        <w:rPr>
          <w:rFonts w:asciiTheme="minorHAnsi" w:hAnsiTheme="minorHAnsi"/>
          <w:bCs/>
          <w:lang w:val="en-US"/>
        </w:rPr>
        <w:t xml:space="preserve"> of international organizations</w:t>
      </w:r>
      <w:r>
        <w:rPr>
          <w:rFonts w:asciiTheme="minorHAnsi" w:hAnsiTheme="minorHAnsi"/>
          <w:bCs/>
          <w:lang w:val="en-US"/>
        </w:rPr>
        <w:t xml:space="preserve"> </w:t>
      </w:r>
      <w:r w:rsidRPr="006B1D22">
        <w:rPr>
          <w:rFonts w:asciiTheme="minorHAnsi" w:hAnsiTheme="minorHAnsi"/>
          <w:b/>
          <w:bCs/>
          <w:lang w:val="en-US"/>
        </w:rPr>
        <w:t>remain valid today</w:t>
      </w:r>
      <w:r w:rsidRPr="006C2B43">
        <w:rPr>
          <w:rFonts w:asciiTheme="minorHAnsi" w:hAnsiTheme="minorHAnsi"/>
          <w:bCs/>
          <w:lang w:val="en-US"/>
        </w:rPr>
        <w:t>.</w:t>
      </w:r>
    </w:p>
    <w:p w14:paraId="7904E6C9"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d)</w:t>
      </w:r>
      <w:r w:rsidRPr="006C2B43">
        <w:rPr>
          <w:rFonts w:asciiTheme="minorHAnsi" w:hAnsiTheme="minorHAnsi"/>
          <w:lang w:val="en-US"/>
        </w:rPr>
        <w:tab/>
      </w:r>
      <w:hyperlink r:id="rId34" w:tgtFrame="_blank" w:history="1">
        <w:r w:rsidRPr="006C2B43">
          <w:rPr>
            <w:rStyle w:val="Hyperlink"/>
            <w:rFonts w:asciiTheme="minorHAnsi" w:eastAsiaTheme="majorEastAsia" w:hAnsiTheme="minorHAnsi" w:cstheme="majorBidi"/>
            <w:bCs/>
            <w:szCs w:val="24"/>
          </w:rPr>
          <w:t>TD</w:t>
        </w:r>
        <w:r w:rsidRPr="006C2B43">
          <w:rPr>
            <w:rStyle w:val="Hyperlink"/>
            <w:rFonts w:asciiTheme="minorHAnsi" w:eastAsiaTheme="majorEastAsia" w:hAnsiTheme="minorHAnsi" w:cstheme="majorBidi"/>
            <w:bCs/>
            <w:szCs w:val="24"/>
            <w:lang w:val="en-US"/>
          </w:rPr>
          <w:t xml:space="preserve"> 30 (</w:t>
        </w:r>
        <w:r w:rsidRPr="006C2B43">
          <w:rPr>
            <w:rStyle w:val="Hyperlink"/>
            <w:rFonts w:asciiTheme="minorHAnsi" w:eastAsiaTheme="majorEastAsia" w:hAnsiTheme="minorHAnsi" w:cstheme="majorBidi"/>
            <w:bCs/>
            <w:szCs w:val="24"/>
          </w:rPr>
          <w:t>PLEN</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ITR</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EG</w:t>
        </w:r>
        <w:r w:rsidRPr="006C2B43">
          <w:rPr>
            <w:rStyle w:val="Hyperlink"/>
            <w:rFonts w:asciiTheme="minorHAnsi" w:eastAsiaTheme="majorEastAsia" w:hAnsiTheme="minorHAnsi" w:cstheme="majorBidi"/>
            <w:bCs/>
            <w:szCs w:val="24"/>
            <w:lang w:val="en-US"/>
          </w:rPr>
          <w:t>)</w:t>
        </w:r>
      </w:hyperlink>
      <w:r w:rsidRPr="006C2B43">
        <w:rPr>
          <w:rFonts w:asciiTheme="minorHAnsi" w:hAnsiTheme="minorHAnsi"/>
        </w:rPr>
        <w:t> </w:t>
      </w:r>
      <w:r w:rsidRPr="006C2B43">
        <w:rPr>
          <w:rFonts w:asciiTheme="minorHAnsi" w:hAnsiTheme="minorHAnsi"/>
          <w:bCs/>
          <w:lang w:val="en-US"/>
        </w:rPr>
        <w:t>–</w:t>
      </w:r>
      <w:r w:rsidRPr="006C2B43">
        <w:rPr>
          <w:rFonts w:asciiTheme="minorHAnsi" w:hAnsiTheme="minorHAnsi"/>
          <w:bCs/>
        </w:rPr>
        <w:t> </w:t>
      </w:r>
      <w:r w:rsidR="00FD65A9">
        <w:rPr>
          <w:rFonts w:asciiTheme="minorHAnsi" w:hAnsiTheme="minorHAnsi"/>
          <w:bCs/>
        </w:rPr>
        <w:t xml:space="preserve">These consideration regarding </w:t>
      </w:r>
      <w:r w:rsidRPr="006C2B43">
        <w:rPr>
          <w:rFonts w:asciiTheme="minorHAnsi" w:hAnsiTheme="minorHAnsi"/>
        </w:rPr>
        <w:t>consent to be bound by the ITRs</w:t>
      </w:r>
      <w:r w:rsidR="00FD65A9">
        <w:rPr>
          <w:rFonts w:asciiTheme="minorHAnsi" w:hAnsiTheme="minorHAnsi"/>
        </w:rPr>
        <w:t xml:space="preserve"> </w:t>
      </w:r>
      <w:r w:rsidR="00FD65A9" w:rsidRPr="006B1D22">
        <w:rPr>
          <w:rFonts w:asciiTheme="minorHAnsi" w:hAnsiTheme="minorHAnsi"/>
          <w:b/>
        </w:rPr>
        <w:t>remain valid today</w:t>
      </w:r>
      <w:r w:rsidRPr="006C2B43">
        <w:rPr>
          <w:rFonts w:asciiTheme="minorHAnsi" w:hAnsiTheme="minorHAnsi"/>
          <w:bCs/>
          <w:lang w:val="en-US"/>
        </w:rPr>
        <w:t>.</w:t>
      </w:r>
    </w:p>
    <w:p w14:paraId="4C1692B2" w14:textId="77777777" w:rsidR="00FD65A9" w:rsidRPr="006C2B43" w:rsidRDefault="00EE430F" w:rsidP="00FD65A9">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e)</w:t>
      </w:r>
      <w:r w:rsidRPr="006C2B43">
        <w:rPr>
          <w:rFonts w:asciiTheme="minorHAnsi" w:hAnsiTheme="minorHAnsi"/>
          <w:lang w:val="en-US"/>
        </w:rPr>
        <w:tab/>
      </w:r>
      <w:hyperlink r:id="rId35" w:history="1">
        <w:r w:rsidRPr="006C2B43">
          <w:rPr>
            <w:rStyle w:val="Hyperlink"/>
            <w:rFonts w:asciiTheme="minorHAnsi" w:hAnsiTheme="minorHAnsi" w:cstheme="majorBidi"/>
            <w:bCs/>
            <w:szCs w:val="24"/>
            <w:lang w:val="en-US"/>
          </w:rPr>
          <w:t>CWG-WCIT12/INF-1</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00FD65A9">
        <w:rPr>
          <w:rFonts w:asciiTheme="minorHAnsi" w:hAnsiTheme="minorHAnsi"/>
          <w:bCs/>
        </w:rPr>
        <w:t>This document merely reproduces the p</w:t>
      </w:r>
      <w:r w:rsidRPr="006C2B43">
        <w:rPr>
          <w:rFonts w:asciiTheme="minorHAnsi" w:hAnsiTheme="minorHAnsi"/>
        </w:rPr>
        <w:t>redecessor of the 1988 ITRs</w:t>
      </w:r>
      <w:r w:rsidRPr="006C2B43">
        <w:rPr>
          <w:rFonts w:asciiTheme="minorHAnsi" w:hAnsiTheme="minorHAnsi"/>
          <w:bCs/>
          <w:lang w:val="en-US"/>
        </w:rPr>
        <w:t>.</w:t>
      </w:r>
      <w:r w:rsidR="00FD65A9">
        <w:rPr>
          <w:rFonts w:asciiTheme="minorHAnsi" w:hAnsiTheme="minorHAnsi"/>
          <w:bCs/>
          <w:lang w:val="en-US"/>
        </w:rPr>
        <w:t xml:space="preserve"> </w:t>
      </w:r>
      <w:r w:rsidR="00FD65A9" w:rsidRPr="006B1D22">
        <w:rPr>
          <w:rFonts w:asciiTheme="minorHAnsi" w:hAnsiTheme="minorHAnsi"/>
          <w:b/>
          <w:bCs/>
          <w:lang w:val="en-US"/>
        </w:rPr>
        <w:t>It remains valid today</w:t>
      </w:r>
      <w:r w:rsidR="00FD65A9">
        <w:rPr>
          <w:rFonts w:asciiTheme="minorHAnsi" w:hAnsiTheme="minorHAnsi"/>
          <w:bCs/>
          <w:lang w:val="en-US"/>
        </w:rPr>
        <w:t>.</w:t>
      </w:r>
      <w:r w:rsidR="00FD65A9" w:rsidRPr="00FD65A9">
        <w:rPr>
          <w:rFonts w:asciiTheme="minorHAnsi" w:hAnsiTheme="minorHAnsi"/>
          <w:lang w:val="en-US"/>
        </w:rPr>
        <w:t xml:space="preserve"> </w:t>
      </w:r>
    </w:p>
    <w:p w14:paraId="1906A33D" w14:textId="77777777" w:rsidR="00FD65A9" w:rsidRPr="006C2B43" w:rsidRDefault="00EE430F" w:rsidP="00FD65A9">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f)</w:t>
      </w:r>
      <w:r w:rsidRPr="006C2B43">
        <w:rPr>
          <w:rFonts w:asciiTheme="minorHAnsi" w:hAnsiTheme="minorHAnsi"/>
          <w:lang w:val="en-US"/>
        </w:rPr>
        <w:tab/>
      </w:r>
      <w:hyperlink r:id="rId36" w:history="1">
        <w:r w:rsidRPr="006C2B43">
          <w:rPr>
            <w:rStyle w:val="Hyperlink"/>
            <w:rFonts w:asciiTheme="minorHAnsi" w:hAnsiTheme="minorHAnsi" w:cstheme="majorBidi"/>
            <w:bCs/>
            <w:szCs w:val="24"/>
            <w:lang w:val="en-US"/>
          </w:rPr>
          <w:t>CWG-WCIT12/INF-2</w:t>
        </w:r>
      </w:hyperlink>
      <w:r w:rsidRPr="006C2B43">
        <w:rPr>
          <w:rFonts w:asciiTheme="minorHAnsi" w:hAnsiTheme="minorHAnsi"/>
          <w:bCs/>
          <w:lang w:val="en-US"/>
        </w:rPr>
        <w:t> – </w:t>
      </w:r>
      <w:r w:rsidR="00FD65A9">
        <w:rPr>
          <w:rFonts w:asciiTheme="minorHAnsi" w:hAnsiTheme="minorHAnsi"/>
          <w:bCs/>
          <w:lang w:val="en-US"/>
        </w:rPr>
        <w:t>The document reviews the s</w:t>
      </w:r>
      <w:r w:rsidRPr="006C2B43">
        <w:rPr>
          <w:rFonts w:asciiTheme="minorHAnsi" w:hAnsiTheme="minorHAnsi"/>
          <w:lang w:val="en-US"/>
        </w:rPr>
        <w:t>tatus of Instructions</w:t>
      </w:r>
      <w:r w:rsidRPr="006C2B43">
        <w:rPr>
          <w:rFonts w:asciiTheme="minorHAnsi" w:hAnsiTheme="minorHAnsi"/>
          <w:bCs/>
          <w:lang w:val="en-US"/>
        </w:rPr>
        <w:t xml:space="preserve"> in the 1988 ITRs.</w:t>
      </w:r>
      <w:r w:rsidR="00FD65A9">
        <w:rPr>
          <w:rFonts w:asciiTheme="minorHAnsi" w:hAnsiTheme="minorHAnsi"/>
          <w:bCs/>
          <w:lang w:val="en-US"/>
        </w:rPr>
        <w:t xml:space="preserve"> </w:t>
      </w:r>
      <w:r w:rsidR="00FD65A9" w:rsidRPr="006B1D22">
        <w:rPr>
          <w:rFonts w:asciiTheme="minorHAnsi" w:hAnsiTheme="minorHAnsi"/>
          <w:b/>
          <w:bCs/>
          <w:lang w:val="en-US"/>
        </w:rPr>
        <w:t>It remains valid today</w:t>
      </w:r>
      <w:r w:rsidR="00FD65A9">
        <w:rPr>
          <w:rFonts w:asciiTheme="minorHAnsi" w:hAnsiTheme="minorHAnsi"/>
          <w:bCs/>
          <w:lang w:val="en-US"/>
        </w:rPr>
        <w:t>.</w:t>
      </w:r>
      <w:r w:rsidR="00FD65A9" w:rsidRPr="00FD65A9">
        <w:rPr>
          <w:rFonts w:asciiTheme="minorHAnsi" w:hAnsiTheme="minorHAnsi"/>
          <w:lang w:val="en-US"/>
        </w:rPr>
        <w:t xml:space="preserve"> </w:t>
      </w:r>
    </w:p>
    <w:p w14:paraId="2EB11634"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g)</w:t>
      </w:r>
      <w:r w:rsidRPr="006C2B43">
        <w:rPr>
          <w:rFonts w:asciiTheme="minorHAnsi" w:hAnsiTheme="minorHAnsi"/>
          <w:lang w:val="en-US"/>
        </w:rPr>
        <w:tab/>
      </w:r>
      <w:hyperlink r:id="rId37" w:history="1">
        <w:r w:rsidRPr="006C2B43">
          <w:rPr>
            <w:rStyle w:val="Hyperlink"/>
            <w:rFonts w:asciiTheme="minorHAnsi" w:hAnsiTheme="minorHAnsi" w:cstheme="majorBidi"/>
            <w:szCs w:val="24"/>
            <w:lang w:val="en-US"/>
          </w:rPr>
          <w:t>CWG-WCIT12/INF-3</w:t>
        </w:r>
      </w:hyperlink>
      <w:r w:rsidRPr="006C2B43">
        <w:rPr>
          <w:rFonts w:asciiTheme="minorHAnsi" w:hAnsiTheme="minorHAnsi"/>
          <w:bCs/>
          <w:lang w:val="en-US"/>
        </w:rPr>
        <w:t> – </w:t>
      </w:r>
      <w:r w:rsidR="00FD65A9">
        <w:rPr>
          <w:rFonts w:asciiTheme="minorHAnsi" w:hAnsiTheme="minorHAnsi"/>
          <w:bCs/>
          <w:lang w:val="en-US"/>
        </w:rPr>
        <w:t>This document presents the s</w:t>
      </w:r>
      <w:r w:rsidRPr="006C2B43">
        <w:rPr>
          <w:rFonts w:asciiTheme="minorHAnsi" w:hAnsiTheme="minorHAnsi"/>
          <w:lang w:val="en-US"/>
        </w:rPr>
        <w:t xml:space="preserve">ummary of </w:t>
      </w:r>
      <w:r w:rsidR="006B1D22">
        <w:rPr>
          <w:rFonts w:asciiTheme="minorHAnsi" w:hAnsiTheme="minorHAnsi"/>
          <w:lang w:val="en-US"/>
        </w:rPr>
        <w:t xml:space="preserve">an </w:t>
      </w:r>
      <w:r w:rsidRPr="006C2B43">
        <w:rPr>
          <w:rFonts w:asciiTheme="minorHAnsi" w:hAnsiTheme="minorHAnsi"/>
          <w:iCs/>
          <w:lang w:val="en-US"/>
        </w:rPr>
        <w:t xml:space="preserve">ITU Workshop on </w:t>
      </w:r>
      <w:r w:rsidR="00842242">
        <w:rPr>
          <w:rFonts w:asciiTheme="minorHAnsi" w:hAnsiTheme="minorHAnsi"/>
          <w:iCs/>
          <w:lang w:val="en-US"/>
        </w:rPr>
        <w:t>T</w:t>
      </w:r>
      <w:r w:rsidRPr="006C2B43">
        <w:rPr>
          <w:rFonts w:asciiTheme="minorHAnsi" w:hAnsiTheme="minorHAnsi"/>
          <w:iCs/>
          <w:lang w:val="en-US"/>
        </w:rPr>
        <w:t xml:space="preserve">axation of </w:t>
      </w:r>
      <w:r w:rsidR="00842242">
        <w:rPr>
          <w:rFonts w:asciiTheme="minorHAnsi" w:hAnsiTheme="minorHAnsi"/>
          <w:iCs/>
          <w:lang w:val="en-US"/>
        </w:rPr>
        <w:t>T</w:t>
      </w:r>
      <w:r w:rsidRPr="006C2B43">
        <w:rPr>
          <w:rFonts w:asciiTheme="minorHAnsi" w:hAnsiTheme="minorHAnsi"/>
          <w:iCs/>
          <w:lang w:val="en-US"/>
        </w:rPr>
        <w:t xml:space="preserve">elecommunication </w:t>
      </w:r>
      <w:r w:rsidR="00842242">
        <w:rPr>
          <w:rFonts w:asciiTheme="minorHAnsi" w:hAnsiTheme="minorHAnsi"/>
          <w:iCs/>
          <w:lang w:val="en-US"/>
        </w:rPr>
        <w:t>S</w:t>
      </w:r>
      <w:r w:rsidRPr="006C2B43">
        <w:rPr>
          <w:rFonts w:asciiTheme="minorHAnsi" w:hAnsiTheme="minorHAnsi"/>
          <w:iCs/>
          <w:lang w:val="en-US"/>
        </w:rPr>
        <w:t xml:space="preserve">ervices and </w:t>
      </w:r>
      <w:r w:rsidR="00842242">
        <w:rPr>
          <w:rFonts w:asciiTheme="minorHAnsi" w:hAnsiTheme="minorHAnsi"/>
          <w:iCs/>
          <w:lang w:val="en-US"/>
        </w:rPr>
        <w:t>R</w:t>
      </w:r>
      <w:r w:rsidRPr="006C2B43">
        <w:rPr>
          <w:rFonts w:asciiTheme="minorHAnsi" w:hAnsiTheme="minorHAnsi"/>
          <w:iCs/>
          <w:lang w:val="en-US"/>
        </w:rPr>
        <w:t xml:space="preserve">elated </w:t>
      </w:r>
      <w:r w:rsidR="00842242">
        <w:rPr>
          <w:rFonts w:asciiTheme="minorHAnsi" w:hAnsiTheme="minorHAnsi"/>
          <w:iCs/>
          <w:lang w:val="en-US"/>
        </w:rPr>
        <w:t>P</w:t>
      </w:r>
      <w:r w:rsidRPr="006C2B43">
        <w:rPr>
          <w:rFonts w:asciiTheme="minorHAnsi" w:hAnsiTheme="minorHAnsi"/>
          <w:iCs/>
          <w:lang w:val="en-US"/>
        </w:rPr>
        <w:t>roducts</w:t>
      </w:r>
      <w:r w:rsidRPr="006C2B43">
        <w:rPr>
          <w:rFonts w:asciiTheme="minorHAnsi" w:hAnsiTheme="minorHAnsi"/>
          <w:lang w:val="en-US"/>
        </w:rPr>
        <w:t>.</w:t>
      </w:r>
      <w:r w:rsidR="00FD65A9">
        <w:rPr>
          <w:rFonts w:asciiTheme="minorHAnsi" w:hAnsiTheme="minorHAnsi"/>
          <w:lang w:val="en-US"/>
        </w:rPr>
        <w:t xml:space="preserve"> It may need to be updated in light of subsequent work on the matter.</w:t>
      </w:r>
    </w:p>
    <w:p w14:paraId="5AADA7D3"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h)</w:t>
      </w:r>
      <w:r w:rsidRPr="006C2B43">
        <w:rPr>
          <w:rFonts w:asciiTheme="minorHAnsi" w:hAnsiTheme="minorHAnsi"/>
          <w:lang w:val="en-US"/>
        </w:rPr>
        <w:tab/>
      </w:r>
      <w:hyperlink r:id="rId38" w:history="1">
        <w:r w:rsidRPr="006C2B43">
          <w:rPr>
            <w:rStyle w:val="Hyperlink"/>
            <w:rFonts w:asciiTheme="minorHAnsi" w:eastAsiaTheme="minorEastAsia" w:hAnsiTheme="minorHAnsi" w:cstheme="majorBidi"/>
            <w:szCs w:val="24"/>
            <w:lang w:val="en-US"/>
          </w:rPr>
          <w:t>CWG-WCIT12/INF-4 Rev.1</w:t>
        </w:r>
      </w:hyperlink>
      <w:r w:rsidRPr="006C2B43">
        <w:rPr>
          <w:rFonts w:asciiTheme="minorHAnsi" w:hAnsiTheme="minorHAnsi"/>
          <w:bCs/>
          <w:lang w:val="en-US"/>
        </w:rPr>
        <w:t> – </w:t>
      </w:r>
      <w:r w:rsidR="00FD65A9">
        <w:rPr>
          <w:rFonts w:asciiTheme="minorHAnsi" w:hAnsiTheme="minorHAnsi"/>
          <w:bCs/>
          <w:lang w:val="en-US"/>
        </w:rPr>
        <w:t xml:space="preserve">This document reproduces </w:t>
      </w:r>
      <w:r w:rsidRPr="006C2B43">
        <w:rPr>
          <w:rFonts w:asciiTheme="minorHAnsi" w:hAnsiTheme="minorHAnsi"/>
          <w:lang w:val="en-US"/>
        </w:rPr>
        <w:t>Supplement 2 to Recommendation ITU-T E.156</w:t>
      </w:r>
      <w:r w:rsidRPr="006C2B43">
        <w:rPr>
          <w:rFonts w:asciiTheme="minorHAnsi" w:hAnsiTheme="minorHAnsi"/>
          <w:bCs/>
          <w:lang w:val="en-US"/>
        </w:rPr>
        <w:t xml:space="preserve">. </w:t>
      </w:r>
      <w:r w:rsidR="00FD65A9" w:rsidRPr="006B1D22">
        <w:rPr>
          <w:rFonts w:asciiTheme="minorHAnsi" w:hAnsiTheme="minorHAnsi"/>
          <w:b/>
          <w:bCs/>
          <w:lang w:val="en-US"/>
        </w:rPr>
        <w:t>It remains in force today</w:t>
      </w:r>
      <w:r w:rsidRPr="006C2B43">
        <w:rPr>
          <w:rFonts w:asciiTheme="minorHAnsi" w:hAnsiTheme="minorHAnsi"/>
          <w:bCs/>
          <w:lang w:val="en-US"/>
        </w:rPr>
        <w:t>.</w:t>
      </w:r>
    </w:p>
    <w:p w14:paraId="530C28CF" w14:textId="77777777" w:rsidR="00FD65A9" w:rsidRPr="006C2B43" w:rsidRDefault="00EE430F" w:rsidP="00FD65A9">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i)</w:t>
      </w:r>
      <w:r w:rsidRPr="006C2B43">
        <w:rPr>
          <w:rFonts w:asciiTheme="minorHAnsi" w:hAnsiTheme="minorHAnsi"/>
          <w:lang w:val="en-US"/>
        </w:rPr>
        <w:tab/>
      </w:r>
      <w:hyperlink r:id="rId39" w:history="1">
        <w:r w:rsidRPr="006C2B43">
          <w:rPr>
            <w:rStyle w:val="Hyperlink"/>
            <w:rFonts w:asciiTheme="minorHAnsi" w:hAnsiTheme="minorHAnsi" w:cstheme="majorBidi"/>
            <w:szCs w:val="24"/>
            <w:lang w:val="en-US"/>
          </w:rPr>
          <w:t>CWG-WCIT12/INF-5</w:t>
        </w:r>
      </w:hyperlink>
      <w:r w:rsidRPr="006C2B43">
        <w:rPr>
          <w:rFonts w:asciiTheme="minorHAnsi" w:hAnsiTheme="minorHAnsi"/>
          <w:lang w:val="en-US"/>
        </w:rPr>
        <w:t> – </w:t>
      </w:r>
      <w:r w:rsidR="00FD65A9">
        <w:rPr>
          <w:rFonts w:asciiTheme="minorHAnsi" w:hAnsiTheme="minorHAnsi"/>
          <w:lang w:val="en-US"/>
        </w:rPr>
        <w:t>This document presents an o</w:t>
      </w:r>
      <w:r w:rsidRPr="006C2B43">
        <w:rPr>
          <w:rFonts w:asciiTheme="minorHAnsi" w:hAnsiTheme="minorHAnsi"/>
          <w:lang w:val="en-US"/>
        </w:rPr>
        <w:t>verview of Quality of Service.</w:t>
      </w:r>
      <w:r w:rsidR="00FD65A9" w:rsidRPr="00FD65A9">
        <w:rPr>
          <w:rFonts w:asciiTheme="minorHAnsi" w:hAnsiTheme="minorHAnsi"/>
          <w:lang w:val="en-US"/>
        </w:rPr>
        <w:t xml:space="preserve"> </w:t>
      </w:r>
      <w:r w:rsidR="00FD65A9">
        <w:rPr>
          <w:rFonts w:asciiTheme="minorHAnsi" w:hAnsiTheme="minorHAnsi"/>
          <w:lang w:val="en-US"/>
        </w:rPr>
        <w:t>It may need to be updated in light of subsequent work on the matter.</w:t>
      </w:r>
      <w:r w:rsidR="00FD65A9" w:rsidRPr="00FD65A9">
        <w:rPr>
          <w:rFonts w:asciiTheme="minorHAnsi" w:hAnsiTheme="minorHAnsi"/>
          <w:lang w:val="en-US"/>
        </w:rPr>
        <w:t xml:space="preserve"> </w:t>
      </w:r>
    </w:p>
    <w:p w14:paraId="14868144" w14:textId="77777777" w:rsidR="00FD65A9" w:rsidRPr="006C2B43" w:rsidRDefault="00EE430F" w:rsidP="00FD65A9">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j)</w:t>
      </w:r>
      <w:r w:rsidRPr="006C2B43">
        <w:rPr>
          <w:rFonts w:asciiTheme="minorHAnsi" w:hAnsiTheme="minorHAnsi"/>
          <w:lang w:val="en-US"/>
        </w:rPr>
        <w:tab/>
      </w:r>
      <w:hyperlink r:id="rId40" w:history="1">
        <w:r w:rsidRPr="006C2B43">
          <w:rPr>
            <w:rStyle w:val="Hyperlink"/>
            <w:rFonts w:asciiTheme="minorHAnsi" w:hAnsiTheme="minorHAnsi" w:cstheme="majorBidi"/>
            <w:szCs w:val="24"/>
            <w:lang w:val="en-US"/>
          </w:rPr>
          <w:t>CWG-WCIT12/INF-6</w:t>
        </w:r>
      </w:hyperlink>
      <w:r w:rsidRPr="006C2B43">
        <w:rPr>
          <w:rFonts w:asciiTheme="minorHAnsi" w:hAnsiTheme="minorHAnsi"/>
          <w:bCs/>
          <w:lang w:val="en-US"/>
        </w:rPr>
        <w:t> – </w:t>
      </w:r>
      <w:r w:rsidR="00FD65A9">
        <w:rPr>
          <w:rFonts w:asciiTheme="minorHAnsi" w:hAnsiTheme="minorHAnsi"/>
          <w:bCs/>
          <w:lang w:val="en-US"/>
        </w:rPr>
        <w:t>This document presents an o</w:t>
      </w:r>
      <w:r w:rsidRPr="006C2B43">
        <w:rPr>
          <w:rFonts w:asciiTheme="minorHAnsi" w:hAnsiTheme="minorHAnsi"/>
          <w:bCs/>
          <w:lang w:val="en-US"/>
        </w:rPr>
        <w:t>verview of Convergence.</w:t>
      </w:r>
      <w:r w:rsidR="00FD65A9" w:rsidRPr="00FD65A9">
        <w:rPr>
          <w:rFonts w:asciiTheme="minorHAnsi" w:hAnsiTheme="minorHAnsi"/>
          <w:lang w:val="en-US"/>
        </w:rPr>
        <w:t xml:space="preserve"> </w:t>
      </w:r>
      <w:r w:rsidR="00FD65A9">
        <w:rPr>
          <w:rFonts w:asciiTheme="minorHAnsi" w:hAnsiTheme="minorHAnsi"/>
          <w:lang w:val="en-US"/>
        </w:rPr>
        <w:t>It may need to be updated in light of subsequent work on the matter.</w:t>
      </w:r>
      <w:r w:rsidR="00FD65A9" w:rsidRPr="00FD65A9">
        <w:rPr>
          <w:rFonts w:asciiTheme="minorHAnsi" w:hAnsiTheme="minorHAnsi"/>
          <w:lang w:val="en-US"/>
        </w:rPr>
        <w:t xml:space="preserve"> </w:t>
      </w:r>
    </w:p>
    <w:p w14:paraId="0719CF0B" w14:textId="77777777" w:rsidR="00FD65A9" w:rsidRPr="006C2B43" w:rsidRDefault="00EE430F" w:rsidP="00FD65A9">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k)</w:t>
      </w:r>
      <w:r w:rsidRPr="006C2B43">
        <w:rPr>
          <w:rFonts w:asciiTheme="minorHAnsi" w:hAnsiTheme="minorHAnsi"/>
          <w:lang w:val="en-US"/>
        </w:rPr>
        <w:tab/>
      </w:r>
      <w:hyperlink r:id="rId41" w:history="1">
        <w:r w:rsidRPr="006C2B43">
          <w:rPr>
            <w:rStyle w:val="Hyperlink"/>
            <w:rFonts w:asciiTheme="minorHAnsi" w:hAnsiTheme="minorHAnsi" w:cstheme="majorBidi"/>
            <w:szCs w:val="24"/>
          </w:rPr>
          <w:t>CWG</w:t>
        </w:r>
        <w:r w:rsidRPr="006C2B43">
          <w:rPr>
            <w:rStyle w:val="Hyperlink"/>
            <w:rFonts w:asciiTheme="minorHAnsi" w:hAnsiTheme="minorHAnsi" w:cstheme="majorBidi"/>
            <w:szCs w:val="24"/>
            <w:lang w:val="en-US"/>
          </w:rPr>
          <w:t>-</w:t>
        </w:r>
        <w:r w:rsidRPr="006C2B43">
          <w:rPr>
            <w:rStyle w:val="Hyperlink"/>
            <w:rFonts w:asciiTheme="minorHAnsi" w:hAnsiTheme="minorHAnsi" w:cstheme="majorBidi"/>
            <w:szCs w:val="24"/>
          </w:rPr>
          <w:t>WCIT</w:t>
        </w:r>
        <w:r w:rsidRPr="006C2B43">
          <w:rPr>
            <w:rStyle w:val="Hyperlink"/>
            <w:rFonts w:asciiTheme="minorHAnsi" w:hAnsiTheme="minorHAnsi" w:cstheme="majorBidi"/>
            <w:szCs w:val="24"/>
            <w:lang w:val="en-US"/>
          </w:rPr>
          <w:t>12/</w:t>
        </w:r>
        <w:r w:rsidRPr="006C2B43">
          <w:rPr>
            <w:rStyle w:val="Hyperlink"/>
            <w:rFonts w:asciiTheme="minorHAnsi" w:hAnsiTheme="minorHAnsi" w:cstheme="majorBidi"/>
            <w:szCs w:val="24"/>
          </w:rPr>
          <w:t>INF</w:t>
        </w:r>
        <w:r w:rsidRPr="006C2B43">
          <w:rPr>
            <w:rStyle w:val="Hyperlink"/>
            <w:rFonts w:asciiTheme="minorHAnsi" w:hAnsiTheme="minorHAnsi" w:cstheme="majorBidi"/>
            <w:szCs w:val="24"/>
            <w:lang w:val="en-US"/>
          </w:rPr>
          <w:t>-7</w:t>
        </w:r>
      </w:hyperlink>
      <w:r w:rsidRPr="006C2B43">
        <w:rPr>
          <w:rFonts w:asciiTheme="minorHAnsi" w:hAnsiTheme="minorHAnsi"/>
        </w:rPr>
        <w:t> </w:t>
      </w:r>
      <w:r w:rsidRPr="006C2B43">
        <w:rPr>
          <w:rFonts w:asciiTheme="minorHAnsi" w:hAnsiTheme="minorHAnsi"/>
          <w:lang w:val="en-US"/>
        </w:rPr>
        <w:t>–</w:t>
      </w:r>
      <w:r w:rsidRPr="006C2B43">
        <w:rPr>
          <w:rFonts w:asciiTheme="minorHAnsi" w:hAnsiTheme="minorHAnsi"/>
        </w:rPr>
        <w:t> </w:t>
      </w:r>
      <w:r w:rsidR="00FD65A9">
        <w:rPr>
          <w:rFonts w:asciiTheme="minorHAnsi" w:hAnsiTheme="minorHAnsi"/>
        </w:rPr>
        <w:t>This document presents an overview of S</w:t>
      </w:r>
      <w:r w:rsidRPr="006C2B43">
        <w:rPr>
          <w:rFonts w:asciiTheme="minorHAnsi" w:hAnsiTheme="minorHAnsi"/>
          <w:lang w:val="en-US"/>
        </w:rPr>
        <w:t xml:space="preserve">ecurity in the </w:t>
      </w:r>
      <w:r w:rsidR="00842242">
        <w:rPr>
          <w:rFonts w:asciiTheme="minorHAnsi" w:hAnsiTheme="minorHAnsi"/>
          <w:lang w:val="en-US"/>
        </w:rPr>
        <w:t>U</w:t>
      </w:r>
      <w:r w:rsidRPr="006C2B43">
        <w:rPr>
          <w:rFonts w:asciiTheme="minorHAnsi" w:hAnsiTheme="minorHAnsi"/>
          <w:lang w:val="en-US"/>
        </w:rPr>
        <w:t>se of ICTs.</w:t>
      </w:r>
      <w:r w:rsidR="00FD65A9" w:rsidRPr="00FD65A9">
        <w:rPr>
          <w:rFonts w:asciiTheme="minorHAnsi" w:hAnsiTheme="minorHAnsi"/>
          <w:lang w:val="en-US"/>
        </w:rPr>
        <w:t xml:space="preserve"> </w:t>
      </w:r>
      <w:r w:rsidR="00FD65A9">
        <w:rPr>
          <w:rFonts w:asciiTheme="minorHAnsi" w:hAnsiTheme="minorHAnsi"/>
          <w:lang w:val="en-US"/>
        </w:rPr>
        <w:t>It may need to be updated in light of subsequent work on the matter.</w:t>
      </w:r>
      <w:r w:rsidR="00FD65A9" w:rsidRPr="00FD65A9">
        <w:rPr>
          <w:rFonts w:asciiTheme="minorHAnsi" w:hAnsiTheme="minorHAnsi"/>
          <w:lang w:val="en-US"/>
        </w:rPr>
        <w:t xml:space="preserve"> </w:t>
      </w:r>
    </w:p>
    <w:p w14:paraId="04289B76"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l)</w:t>
      </w:r>
      <w:r w:rsidRPr="006C2B43">
        <w:rPr>
          <w:rFonts w:asciiTheme="minorHAnsi" w:hAnsiTheme="minorHAnsi"/>
          <w:lang w:val="en-US"/>
        </w:rPr>
        <w:tab/>
      </w:r>
      <w:hyperlink r:id="rId42" w:history="1">
        <w:r w:rsidRPr="006C2B43">
          <w:rPr>
            <w:rStyle w:val="Hyperlink"/>
            <w:rFonts w:asciiTheme="minorHAnsi" w:hAnsiTheme="minorHAnsi" w:cstheme="majorBidi"/>
            <w:szCs w:val="24"/>
            <w:lang w:val="en-US"/>
          </w:rPr>
          <w:t>CWG-WCIT12/INF-8</w:t>
        </w:r>
      </w:hyperlink>
      <w:r w:rsidRPr="006C2B43">
        <w:rPr>
          <w:rFonts w:asciiTheme="minorHAnsi" w:hAnsiTheme="minorHAnsi"/>
          <w:bCs/>
          <w:lang w:val="en-US"/>
        </w:rPr>
        <w:t> – </w:t>
      </w:r>
      <w:r w:rsidR="00FD65A9">
        <w:rPr>
          <w:rFonts w:asciiTheme="minorHAnsi" w:hAnsiTheme="minorHAnsi"/>
          <w:bCs/>
          <w:lang w:val="en-US"/>
        </w:rPr>
        <w:t>This document presents an o</w:t>
      </w:r>
      <w:r w:rsidRPr="006C2B43">
        <w:rPr>
          <w:rFonts w:asciiTheme="minorHAnsi" w:hAnsiTheme="minorHAnsi"/>
          <w:bCs/>
          <w:lang w:val="en-US"/>
        </w:rPr>
        <w:t xml:space="preserve">verview of </w:t>
      </w:r>
      <w:r w:rsidR="00842242">
        <w:rPr>
          <w:rFonts w:asciiTheme="minorHAnsi" w:hAnsiTheme="minorHAnsi"/>
          <w:bCs/>
          <w:lang w:val="en-US"/>
        </w:rPr>
        <w:t>E</w:t>
      </w:r>
      <w:r w:rsidRPr="006C2B43">
        <w:rPr>
          <w:rFonts w:asciiTheme="minorHAnsi" w:hAnsiTheme="minorHAnsi"/>
          <w:bCs/>
          <w:lang w:val="en-US"/>
        </w:rPr>
        <w:t xml:space="preserve">nforcement </w:t>
      </w:r>
      <w:r w:rsidR="00842242">
        <w:rPr>
          <w:rFonts w:asciiTheme="minorHAnsi" w:hAnsiTheme="minorHAnsi"/>
          <w:bCs/>
          <w:lang w:val="en-US"/>
        </w:rPr>
        <w:t>I</w:t>
      </w:r>
      <w:r w:rsidRPr="006C2B43">
        <w:rPr>
          <w:rFonts w:asciiTheme="minorHAnsi" w:hAnsiTheme="minorHAnsi"/>
          <w:bCs/>
          <w:lang w:val="en-US"/>
        </w:rPr>
        <w:t>ssues, including status of ITU-T Recommendations</w:t>
      </w:r>
      <w:r w:rsidRPr="006C2B43">
        <w:rPr>
          <w:rFonts w:asciiTheme="minorHAnsi" w:hAnsiTheme="minorHAnsi"/>
          <w:lang w:val="en-US"/>
        </w:rPr>
        <w:t>.</w:t>
      </w:r>
      <w:r w:rsidR="00FD65A9">
        <w:rPr>
          <w:rFonts w:asciiTheme="minorHAnsi" w:hAnsiTheme="minorHAnsi"/>
          <w:lang w:val="en-US"/>
        </w:rPr>
        <w:t xml:space="preserve"> </w:t>
      </w:r>
      <w:r w:rsidR="00FD65A9" w:rsidRPr="006B1D22">
        <w:rPr>
          <w:rFonts w:asciiTheme="minorHAnsi" w:hAnsiTheme="minorHAnsi"/>
          <w:b/>
          <w:lang w:val="en-US"/>
        </w:rPr>
        <w:t>It remains valid today</w:t>
      </w:r>
      <w:r w:rsidR="00FD65A9">
        <w:rPr>
          <w:rFonts w:asciiTheme="minorHAnsi" w:hAnsiTheme="minorHAnsi"/>
          <w:lang w:val="en-US"/>
        </w:rPr>
        <w:t>.</w:t>
      </w:r>
    </w:p>
    <w:p w14:paraId="24E0B5C4"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m)</w:t>
      </w:r>
      <w:r w:rsidRPr="006C2B43">
        <w:rPr>
          <w:rFonts w:asciiTheme="minorHAnsi" w:hAnsiTheme="minorHAnsi"/>
          <w:lang w:val="en-US"/>
        </w:rPr>
        <w:tab/>
      </w:r>
      <w:hyperlink r:id="rId43" w:history="1">
        <w:r w:rsidRPr="006C2B43">
          <w:rPr>
            <w:rStyle w:val="Hyperlink"/>
            <w:rFonts w:asciiTheme="minorHAnsi" w:hAnsiTheme="minorHAnsi" w:cstheme="majorBidi"/>
            <w:szCs w:val="24"/>
            <w:lang w:val="en-US"/>
          </w:rPr>
          <w:t>CWG-WCIT12/INF-9</w:t>
        </w:r>
      </w:hyperlink>
      <w:r w:rsidRPr="006C2B43">
        <w:rPr>
          <w:rFonts w:asciiTheme="minorHAnsi" w:hAnsiTheme="minorHAnsi"/>
          <w:lang w:val="en-US"/>
        </w:rPr>
        <w:t> – </w:t>
      </w:r>
      <w:r w:rsidR="00FD65A9">
        <w:rPr>
          <w:rFonts w:asciiTheme="minorHAnsi" w:hAnsiTheme="minorHAnsi"/>
          <w:lang w:val="en-US"/>
        </w:rPr>
        <w:t>This document presents information</w:t>
      </w:r>
      <w:r w:rsidRPr="006C2B43">
        <w:rPr>
          <w:rFonts w:asciiTheme="minorHAnsi" w:hAnsiTheme="minorHAnsi"/>
          <w:lang w:val="en-US"/>
        </w:rPr>
        <w:t xml:space="preserve"> on the ITRs and other international frameworks.</w:t>
      </w:r>
      <w:r w:rsidR="00FD65A9">
        <w:rPr>
          <w:rFonts w:asciiTheme="minorHAnsi" w:hAnsiTheme="minorHAnsi"/>
          <w:lang w:val="en-US"/>
        </w:rPr>
        <w:t xml:space="preserve"> </w:t>
      </w:r>
      <w:r w:rsidR="00FD65A9" w:rsidRPr="006B1D22">
        <w:rPr>
          <w:rFonts w:asciiTheme="minorHAnsi" w:hAnsiTheme="minorHAnsi"/>
          <w:u w:val="single"/>
          <w:lang w:val="en-US"/>
        </w:rPr>
        <w:t>It would have to be updated in light of subsequent developments, in particular the incorporation of telecommunications-related provisions in trade agreements</w:t>
      </w:r>
      <w:r w:rsidR="00A36935">
        <w:rPr>
          <w:rFonts w:asciiTheme="minorHAnsi" w:hAnsiTheme="minorHAnsi"/>
          <w:u w:val="single"/>
          <w:lang w:val="en-US"/>
        </w:rPr>
        <w:t xml:space="preserve"> (see 1.12-1.18, 1.23-1.27, and sections 2-11 of </w:t>
      </w:r>
      <w:hyperlink r:id="rId44" w:history="1">
        <w:r w:rsidR="00A36935" w:rsidRPr="00A36935">
          <w:rPr>
            <w:rStyle w:val="Hyperlink"/>
          </w:rPr>
          <w:t>EG-ITRs-1/2</w:t>
        </w:r>
      </w:hyperlink>
      <w:r w:rsidR="00A36935">
        <w:t>)</w:t>
      </w:r>
      <w:r w:rsidR="00FD65A9">
        <w:rPr>
          <w:rFonts w:asciiTheme="minorHAnsi" w:hAnsiTheme="minorHAnsi"/>
          <w:lang w:val="en-US"/>
        </w:rPr>
        <w:t>.</w:t>
      </w:r>
    </w:p>
    <w:p w14:paraId="5BA9E702" w14:textId="77777777" w:rsidR="006B1D22" w:rsidRPr="006C2B43" w:rsidRDefault="00EE430F" w:rsidP="006B1D22">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lastRenderedPageBreak/>
        <w:t>n)</w:t>
      </w:r>
      <w:r w:rsidRPr="006C2B43">
        <w:rPr>
          <w:rFonts w:asciiTheme="minorHAnsi" w:hAnsiTheme="minorHAnsi"/>
          <w:lang w:val="en-US"/>
        </w:rPr>
        <w:tab/>
      </w:r>
      <w:hyperlink r:id="rId45" w:history="1">
        <w:r w:rsidRPr="006C2B43">
          <w:rPr>
            <w:rStyle w:val="Hyperlink"/>
            <w:rFonts w:asciiTheme="minorHAnsi" w:hAnsiTheme="minorHAnsi" w:cstheme="majorBidi"/>
            <w:szCs w:val="24"/>
            <w:lang w:val="en-US"/>
          </w:rPr>
          <w:t>CWG-WCIT12/INF-10</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00FD65A9">
        <w:rPr>
          <w:rFonts w:asciiTheme="minorHAnsi" w:hAnsiTheme="minorHAnsi"/>
          <w:bCs/>
        </w:rPr>
        <w:t>This document presents information on t</w:t>
      </w:r>
      <w:r w:rsidRPr="006C2B43">
        <w:rPr>
          <w:rFonts w:asciiTheme="minorHAnsi" w:hAnsiTheme="minorHAnsi"/>
          <w:bCs/>
          <w:lang w:val="en-US"/>
        </w:rPr>
        <w:t xml:space="preserve">he </w:t>
      </w:r>
      <w:r w:rsidR="00842242">
        <w:rPr>
          <w:rFonts w:asciiTheme="minorHAnsi" w:hAnsiTheme="minorHAnsi"/>
          <w:bCs/>
          <w:lang w:val="en-US"/>
        </w:rPr>
        <w:t>H</w:t>
      </w:r>
      <w:r w:rsidRPr="006C2B43">
        <w:rPr>
          <w:rFonts w:asciiTheme="minorHAnsi" w:hAnsiTheme="minorHAnsi"/>
          <w:bCs/>
          <w:lang w:val="en-US"/>
        </w:rPr>
        <w:t xml:space="preserve">uman </w:t>
      </w:r>
      <w:r w:rsidR="00842242">
        <w:rPr>
          <w:rFonts w:asciiTheme="minorHAnsi" w:hAnsiTheme="minorHAnsi"/>
          <w:bCs/>
          <w:lang w:val="en-US"/>
        </w:rPr>
        <w:t>R</w:t>
      </w:r>
      <w:r w:rsidRPr="006C2B43">
        <w:rPr>
          <w:rFonts w:asciiTheme="minorHAnsi" w:hAnsiTheme="minorHAnsi"/>
          <w:bCs/>
          <w:lang w:val="en-US"/>
        </w:rPr>
        <w:t xml:space="preserve">ight to </w:t>
      </w:r>
      <w:r w:rsidR="00842242">
        <w:rPr>
          <w:rFonts w:asciiTheme="minorHAnsi" w:hAnsiTheme="minorHAnsi"/>
          <w:bCs/>
          <w:lang w:val="en-US"/>
        </w:rPr>
        <w:t>A</w:t>
      </w:r>
      <w:r w:rsidRPr="006C2B43">
        <w:rPr>
          <w:rFonts w:asciiTheme="minorHAnsi" w:hAnsiTheme="minorHAnsi"/>
          <w:bCs/>
          <w:lang w:val="en-US"/>
        </w:rPr>
        <w:t xml:space="preserve">ccess </w:t>
      </w:r>
      <w:r w:rsidR="00842242">
        <w:rPr>
          <w:rFonts w:asciiTheme="minorHAnsi" w:hAnsiTheme="minorHAnsi"/>
          <w:bCs/>
          <w:lang w:val="en-US"/>
        </w:rPr>
        <w:t>C</w:t>
      </w:r>
      <w:r w:rsidRPr="006C2B43">
        <w:rPr>
          <w:rFonts w:asciiTheme="minorHAnsi" w:hAnsiTheme="minorHAnsi"/>
          <w:bCs/>
          <w:lang w:val="en-US"/>
        </w:rPr>
        <w:t>ommunications.</w:t>
      </w:r>
      <w:r w:rsidR="006B1D22" w:rsidRPr="006B1D22">
        <w:rPr>
          <w:rFonts w:asciiTheme="minorHAnsi" w:hAnsiTheme="minorHAnsi"/>
          <w:bCs/>
          <w:lang w:val="en-US"/>
        </w:rPr>
        <w:t xml:space="preserve"> </w:t>
      </w:r>
      <w:r w:rsidR="006B1D22">
        <w:rPr>
          <w:rFonts w:asciiTheme="minorHAnsi" w:hAnsiTheme="minorHAnsi"/>
          <w:lang w:val="en-US"/>
        </w:rPr>
        <w:t>It may need to be updated in light of subsequent work on the matter.</w:t>
      </w:r>
      <w:r w:rsidR="006B1D22" w:rsidRPr="006B1D22">
        <w:rPr>
          <w:rFonts w:asciiTheme="minorHAnsi" w:hAnsiTheme="minorHAnsi"/>
          <w:lang w:val="en-US"/>
        </w:rPr>
        <w:t xml:space="preserve"> </w:t>
      </w:r>
    </w:p>
    <w:p w14:paraId="20102A85"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o)</w:t>
      </w:r>
      <w:r w:rsidRPr="006C2B43">
        <w:rPr>
          <w:rFonts w:asciiTheme="minorHAnsi" w:hAnsiTheme="minorHAnsi"/>
          <w:lang w:val="en-US"/>
        </w:rPr>
        <w:tab/>
      </w:r>
      <w:hyperlink r:id="rId46" w:history="1">
        <w:r w:rsidRPr="006C2B43">
          <w:rPr>
            <w:rStyle w:val="Hyperlink"/>
            <w:rFonts w:asciiTheme="minorHAnsi" w:hAnsiTheme="minorHAnsi" w:cstheme="majorBidi"/>
            <w:szCs w:val="24"/>
            <w:lang w:val="en-US"/>
          </w:rPr>
          <w:t>CWG-WCIT12/INF-11 Rev.1</w:t>
        </w:r>
      </w:hyperlink>
      <w:r w:rsidRPr="006C2B43">
        <w:rPr>
          <w:rFonts w:asciiTheme="minorHAnsi" w:hAnsiTheme="minorHAnsi"/>
          <w:bCs/>
          <w:lang w:val="en-US"/>
        </w:rPr>
        <w:t> – </w:t>
      </w:r>
      <w:r w:rsidR="006B1D22">
        <w:rPr>
          <w:rFonts w:asciiTheme="minorHAnsi" w:hAnsiTheme="minorHAnsi"/>
          <w:bCs/>
        </w:rPr>
        <w:t xml:space="preserve">This document presents information on the </w:t>
      </w:r>
      <w:r w:rsidRPr="006C2B43">
        <w:rPr>
          <w:rFonts w:asciiTheme="minorHAnsi" w:hAnsiTheme="minorHAnsi"/>
          <w:bCs/>
          <w:lang w:val="en-US"/>
        </w:rPr>
        <w:t>Protection of Critical National Infrastructure.</w:t>
      </w:r>
      <w:r w:rsidR="006B1D22" w:rsidRPr="006B1D22">
        <w:rPr>
          <w:rFonts w:asciiTheme="minorHAnsi" w:hAnsiTheme="minorHAnsi"/>
          <w:lang w:val="en-US"/>
        </w:rPr>
        <w:t xml:space="preserve"> </w:t>
      </w:r>
      <w:r w:rsidR="006B1D22">
        <w:rPr>
          <w:rFonts w:asciiTheme="minorHAnsi" w:hAnsiTheme="minorHAnsi"/>
          <w:lang w:val="en-US"/>
        </w:rPr>
        <w:t>It may need to be updated in light of subsequent work on the matter.</w:t>
      </w:r>
    </w:p>
    <w:p w14:paraId="273BEE49" w14:textId="77777777" w:rsidR="00EE430F" w:rsidRPr="006C2B43" w:rsidRDefault="00EE430F" w:rsidP="00EE430F">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p)</w:t>
      </w:r>
      <w:r w:rsidRPr="006C2B43">
        <w:rPr>
          <w:rFonts w:asciiTheme="minorHAnsi" w:hAnsiTheme="minorHAnsi"/>
          <w:lang w:val="en-US"/>
        </w:rPr>
        <w:tab/>
      </w:r>
      <w:hyperlink r:id="rId47" w:history="1">
        <w:r w:rsidRPr="006C2B43">
          <w:rPr>
            <w:rStyle w:val="Hyperlink"/>
            <w:rFonts w:asciiTheme="minorHAnsi" w:hAnsiTheme="minorHAnsi" w:cstheme="majorBidi"/>
            <w:szCs w:val="24"/>
            <w:lang w:val="en-US"/>
          </w:rPr>
          <w:t>CWG-WCIT12/INF-12</w:t>
        </w:r>
      </w:hyperlink>
      <w:r w:rsidRPr="006C2B43">
        <w:rPr>
          <w:rFonts w:asciiTheme="minorHAnsi" w:hAnsiTheme="minorHAnsi"/>
          <w:bCs/>
          <w:lang w:val="en-US"/>
        </w:rPr>
        <w:t xml:space="preserve"> – </w:t>
      </w:r>
      <w:r w:rsidR="006B1D22">
        <w:rPr>
          <w:rFonts w:asciiTheme="minorHAnsi" w:hAnsiTheme="minorHAnsi"/>
          <w:bCs/>
          <w:lang w:val="en-US"/>
        </w:rPr>
        <w:t>This document presents an o</w:t>
      </w:r>
      <w:r w:rsidRPr="006C2B43">
        <w:rPr>
          <w:rFonts w:asciiTheme="minorHAnsi" w:hAnsiTheme="minorHAnsi"/>
          <w:lang w:val="en-US"/>
        </w:rPr>
        <w:t xml:space="preserve">verview of </w:t>
      </w:r>
      <w:r w:rsidRPr="006C2B43">
        <w:rPr>
          <w:rFonts w:asciiTheme="minorHAnsi" w:hAnsiTheme="minorHAnsi"/>
          <w:iCs/>
          <w:lang w:val="en-US"/>
        </w:rPr>
        <w:t>ITU work on tariff and accounting matters, including international mobile roaming, international Internet connectivity, and taxation issues</w:t>
      </w:r>
      <w:r w:rsidRPr="006C2B43">
        <w:rPr>
          <w:rFonts w:asciiTheme="minorHAnsi" w:hAnsiTheme="minorHAnsi"/>
          <w:lang w:val="en-US"/>
        </w:rPr>
        <w:t>.</w:t>
      </w:r>
      <w:r w:rsidR="006B1D22" w:rsidRPr="006B1D22">
        <w:rPr>
          <w:rFonts w:asciiTheme="minorHAnsi" w:hAnsiTheme="minorHAnsi"/>
          <w:lang w:val="en-US"/>
        </w:rPr>
        <w:t xml:space="preserve"> </w:t>
      </w:r>
      <w:r w:rsidR="006B1D22" w:rsidRPr="006B1D22">
        <w:rPr>
          <w:rFonts w:asciiTheme="minorHAnsi" w:hAnsiTheme="minorHAnsi"/>
          <w:u w:val="single"/>
          <w:lang w:val="en-US"/>
        </w:rPr>
        <w:t>It would have to be updated in light of subsequent work on the matter.</w:t>
      </w:r>
    </w:p>
    <w:p w14:paraId="41312250" w14:textId="77777777" w:rsidR="006B1D22" w:rsidRPr="006C2B43" w:rsidRDefault="00EE430F" w:rsidP="006B1D22">
      <w:pPr>
        <w:pStyle w:val="enumlev2"/>
        <w:tabs>
          <w:tab w:val="clear" w:pos="567"/>
        </w:tabs>
        <w:ind w:left="720" w:firstLine="0"/>
        <w:jc w:val="both"/>
        <w:rPr>
          <w:rFonts w:asciiTheme="minorHAnsi" w:hAnsiTheme="minorHAnsi"/>
          <w:lang w:val="en-US"/>
        </w:rPr>
      </w:pPr>
      <w:r w:rsidRPr="006C2B43">
        <w:rPr>
          <w:rFonts w:asciiTheme="minorHAnsi" w:hAnsiTheme="minorHAnsi"/>
          <w:lang w:val="en-US"/>
        </w:rPr>
        <w:t>q)</w:t>
      </w:r>
      <w:r w:rsidRPr="006C2B43">
        <w:rPr>
          <w:rFonts w:asciiTheme="minorHAnsi" w:hAnsiTheme="minorHAnsi"/>
          <w:lang w:val="en-US"/>
        </w:rPr>
        <w:tab/>
      </w:r>
      <w:hyperlink r:id="rId48" w:history="1">
        <w:r w:rsidRPr="006C2B43">
          <w:rPr>
            <w:rStyle w:val="Hyperlink"/>
            <w:rFonts w:asciiTheme="minorHAnsi" w:hAnsiTheme="minorHAnsi" w:cstheme="majorBidi"/>
            <w:szCs w:val="24"/>
            <w:lang w:val="en-US"/>
          </w:rPr>
          <w:t>CWG-WCIT12/INF-13</w:t>
        </w:r>
      </w:hyperlink>
      <w:r w:rsidRPr="006C2B43">
        <w:rPr>
          <w:rFonts w:asciiTheme="minorHAnsi" w:hAnsiTheme="minorHAnsi"/>
          <w:bCs/>
          <w:lang w:val="en-US"/>
        </w:rPr>
        <w:t> – </w:t>
      </w:r>
      <w:r w:rsidR="006B1D22">
        <w:rPr>
          <w:rFonts w:asciiTheme="minorHAnsi" w:hAnsiTheme="minorHAnsi"/>
          <w:bCs/>
          <w:lang w:val="en-US"/>
        </w:rPr>
        <w:t xml:space="preserve">This document presents information on </w:t>
      </w:r>
      <w:r w:rsidRPr="006C2B43">
        <w:rPr>
          <w:rFonts w:asciiTheme="minorHAnsi" w:hAnsiTheme="minorHAnsi"/>
          <w:bCs/>
          <w:lang w:val="en-US"/>
        </w:rPr>
        <w:t>Interconnection and Interoperability.</w:t>
      </w:r>
      <w:r w:rsidR="006B1D22" w:rsidRPr="006B1D22">
        <w:rPr>
          <w:rFonts w:asciiTheme="minorHAnsi" w:hAnsiTheme="minorHAnsi"/>
          <w:lang w:val="en-US"/>
        </w:rPr>
        <w:t xml:space="preserve"> </w:t>
      </w:r>
      <w:r w:rsidR="006B1D22">
        <w:rPr>
          <w:rFonts w:asciiTheme="minorHAnsi" w:hAnsiTheme="minorHAnsi"/>
          <w:lang w:val="en-US"/>
        </w:rPr>
        <w:t>It may need to be updated in light of subsequent work on the matter.</w:t>
      </w:r>
      <w:r w:rsidR="006B1D22" w:rsidRPr="006B1D22">
        <w:rPr>
          <w:rFonts w:asciiTheme="minorHAnsi" w:hAnsiTheme="minorHAnsi"/>
          <w:lang w:val="en-US"/>
        </w:rPr>
        <w:t xml:space="preserve"> </w:t>
      </w:r>
    </w:p>
    <w:p w14:paraId="14FE2EF5" w14:textId="77777777" w:rsidR="00EE430F" w:rsidRPr="00FE69A8" w:rsidRDefault="00EE430F" w:rsidP="00EE430F">
      <w:pPr>
        <w:pStyle w:val="enumlev2"/>
        <w:tabs>
          <w:tab w:val="clear" w:pos="567"/>
        </w:tabs>
        <w:ind w:left="720" w:firstLine="0"/>
        <w:jc w:val="both"/>
        <w:rPr>
          <w:lang w:val="en-US"/>
        </w:rPr>
      </w:pPr>
      <w:r w:rsidRPr="006C2B43">
        <w:rPr>
          <w:rFonts w:asciiTheme="minorHAnsi" w:hAnsiTheme="minorHAnsi"/>
          <w:lang w:val="en-US"/>
        </w:rPr>
        <w:t>r)</w:t>
      </w:r>
      <w:r w:rsidRPr="006C2B43">
        <w:rPr>
          <w:rFonts w:asciiTheme="minorHAnsi" w:hAnsiTheme="minorHAnsi"/>
          <w:lang w:val="en-US"/>
        </w:rPr>
        <w:tab/>
      </w:r>
      <w:hyperlink r:id="rId49" w:history="1">
        <w:r w:rsidRPr="006C2B43">
          <w:rPr>
            <w:rStyle w:val="Hyperlink"/>
            <w:rFonts w:asciiTheme="minorHAnsi" w:hAnsiTheme="minorHAnsi" w:cstheme="majorBidi"/>
            <w:szCs w:val="24"/>
            <w:lang w:val="en-US"/>
          </w:rPr>
          <w:t>CWG-WCIT12/INF–15</w:t>
        </w:r>
      </w:hyperlink>
      <w:r w:rsidRPr="006C2B43">
        <w:rPr>
          <w:rFonts w:asciiTheme="minorHAnsi" w:hAnsiTheme="minorHAnsi"/>
          <w:lang w:val="en-US"/>
        </w:rPr>
        <w:t> – </w:t>
      </w:r>
      <w:r w:rsidR="006B1D22">
        <w:rPr>
          <w:rFonts w:asciiTheme="minorHAnsi" w:hAnsiTheme="minorHAnsi"/>
          <w:bCs/>
          <w:lang w:val="en-US"/>
        </w:rPr>
        <w:t>This document presents the s</w:t>
      </w:r>
      <w:r w:rsidR="006B1D22" w:rsidRPr="006C2B43">
        <w:rPr>
          <w:rFonts w:asciiTheme="minorHAnsi" w:hAnsiTheme="minorHAnsi"/>
          <w:lang w:val="en-US"/>
        </w:rPr>
        <w:t xml:space="preserve">ummary of </w:t>
      </w:r>
      <w:r w:rsidR="006B1D22">
        <w:rPr>
          <w:rFonts w:asciiTheme="minorHAnsi" w:hAnsiTheme="minorHAnsi"/>
          <w:lang w:val="en-US"/>
        </w:rPr>
        <w:t xml:space="preserve">an </w:t>
      </w:r>
      <w:r w:rsidRPr="006C2B43">
        <w:rPr>
          <w:rFonts w:asciiTheme="minorHAnsi" w:hAnsiTheme="minorHAnsi"/>
          <w:lang w:val="en-US"/>
        </w:rPr>
        <w:t xml:space="preserve">ITU </w:t>
      </w:r>
      <w:r w:rsidR="00842242">
        <w:rPr>
          <w:rFonts w:asciiTheme="minorHAnsi" w:hAnsiTheme="minorHAnsi"/>
          <w:lang w:val="en-US"/>
        </w:rPr>
        <w:t>W</w:t>
      </w:r>
      <w:r w:rsidRPr="006C2B43">
        <w:rPr>
          <w:rFonts w:asciiTheme="minorHAnsi" w:hAnsiTheme="minorHAnsi"/>
          <w:lang w:val="en-US"/>
        </w:rPr>
        <w:t xml:space="preserve">orkshop on </w:t>
      </w:r>
      <w:r w:rsidR="00842242">
        <w:rPr>
          <w:rFonts w:asciiTheme="minorHAnsi" w:hAnsiTheme="minorHAnsi"/>
          <w:lang w:val="en-US"/>
        </w:rPr>
        <w:t>O</w:t>
      </w:r>
      <w:r w:rsidRPr="006C2B43">
        <w:rPr>
          <w:rFonts w:asciiTheme="minorHAnsi" w:hAnsiTheme="minorHAnsi"/>
          <w:lang w:val="en-US"/>
        </w:rPr>
        <w:t xml:space="preserve">rigin </w:t>
      </w:r>
      <w:r w:rsidR="00842242">
        <w:rPr>
          <w:rFonts w:asciiTheme="minorHAnsi" w:hAnsiTheme="minorHAnsi"/>
          <w:lang w:val="en-US"/>
        </w:rPr>
        <w:t>I</w:t>
      </w:r>
      <w:r w:rsidRPr="006C2B43">
        <w:rPr>
          <w:rFonts w:asciiTheme="minorHAnsi" w:hAnsiTheme="minorHAnsi"/>
          <w:lang w:val="en-US"/>
        </w:rPr>
        <w:t xml:space="preserve">dentification and </w:t>
      </w:r>
      <w:r w:rsidR="00842242">
        <w:rPr>
          <w:rFonts w:asciiTheme="minorHAnsi" w:hAnsiTheme="minorHAnsi"/>
          <w:lang w:val="en-US"/>
        </w:rPr>
        <w:t>A</w:t>
      </w:r>
      <w:r w:rsidRPr="006C2B43">
        <w:rPr>
          <w:rFonts w:asciiTheme="minorHAnsi" w:hAnsiTheme="minorHAnsi"/>
          <w:lang w:val="en-US"/>
        </w:rPr>
        <w:t xml:space="preserve">lternative </w:t>
      </w:r>
      <w:r w:rsidR="00842242">
        <w:rPr>
          <w:rFonts w:asciiTheme="minorHAnsi" w:hAnsiTheme="minorHAnsi"/>
          <w:lang w:val="en-US"/>
        </w:rPr>
        <w:t>C</w:t>
      </w:r>
      <w:r w:rsidRPr="006C2B43">
        <w:rPr>
          <w:rFonts w:asciiTheme="minorHAnsi" w:hAnsiTheme="minorHAnsi"/>
          <w:lang w:val="en-US"/>
        </w:rPr>
        <w:t xml:space="preserve">alling </w:t>
      </w:r>
      <w:r w:rsidR="00842242">
        <w:rPr>
          <w:rFonts w:asciiTheme="minorHAnsi" w:hAnsiTheme="minorHAnsi"/>
          <w:lang w:val="en-US"/>
        </w:rPr>
        <w:t>P</w:t>
      </w:r>
      <w:r w:rsidRPr="006C2B43">
        <w:rPr>
          <w:rFonts w:asciiTheme="minorHAnsi" w:hAnsiTheme="minorHAnsi"/>
          <w:lang w:val="en-US"/>
        </w:rPr>
        <w:t>rocedures</w:t>
      </w:r>
      <w:r w:rsidRPr="00FE69A8">
        <w:rPr>
          <w:lang w:val="en-US"/>
        </w:rPr>
        <w:t>.</w:t>
      </w:r>
      <w:r w:rsidR="006B1D22" w:rsidRPr="006B1D22">
        <w:rPr>
          <w:rFonts w:asciiTheme="minorHAnsi" w:hAnsiTheme="minorHAnsi"/>
          <w:lang w:val="en-US"/>
        </w:rPr>
        <w:t xml:space="preserve"> </w:t>
      </w:r>
      <w:r w:rsidR="006B1D22">
        <w:rPr>
          <w:rFonts w:asciiTheme="minorHAnsi" w:hAnsiTheme="minorHAnsi"/>
          <w:lang w:val="en-US"/>
        </w:rPr>
        <w:t>It may need to be updated in light of subsequent work on the matter.</w:t>
      </w:r>
    </w:p>
    <w:p w14:paraId="765C22F3" w14:textId="77777777" w:rsidR="00B8316F" w:rsidRDefault="00B8316F" w:rsidP="00B8316F">
      <w:pPr>
        <w:tabs>
          <w:tab w:val="clear" w:pos="567"/>
          <w:tab w:val="clear" w:pos="1134"/>
          <w:tab w:val="clear" w:pos="1701"/>
          <w:tab w:val="clear" w:pos="2268"/>
          <w:tab w:val="clear" w:pos="2835"/>
          <w:tab w:val="left" w:pos="794"/>
          <w:tab w:val="left" w:pos="1191"/>
          <w:tab w:val="left" w:pos="1588"/>
          <w:tab w:val="left" w:pos="1985"/>
        </w:tabs>
        <w:snapToGrid w:val="0"/>
        <w:spacing w:before="0"/>
        <w:jc w:val="both"/>
        <w:rPr>
          <w:rFonts w:cs="Calibri"/>
          <w:bCs/>
          <w:szCs w:val="24"/>
        </w:rPr>
      </w:pPr>
    </w:p>
    <w:p w14:paraId="47B5BC16" w14:textId="77777777" w:rsidR="00B8316F" w:rsidRPr="002A4D72" w:rsidRDefault="00B8316F" w:rsidP="00B8316F">
      <w:pPr>
        <w:tabs>
          <w:tab w:val="clear" w:pos="567"/>
          <w:tab w:val="clear" w:pos="1134"/>
          <w:tab w:val="clear" w:pos="1701"/>
          <w:tab w:val="clear" w:pos="2268"/>
          <w:tab w:val="clear" w:pos="2835"/>
          <w:tab w:val="left" w:pos="794"/>
          <w:tab w:val="left" w:pos="1191"/>
          <w:tab w:val="left" w:pos="1588"/>
          <w:tab w:val="left" w:pos="1985"/>
        </w:tabs>
        <w:snapToGrid w:val="0"/>
        <w:spacing w:before="0"/>
        <w:jc w:val="center"/>
        <w:rPr>
          <w:rFonts w:cs="Calibri"/>
          <w:bCs/>
          <w:szCs w:val="24"/>
          <w:lang w:val="en-ZA"/>
        </w:rPr>
      </w:pPr>
      <w:r>
        <w:rPr>
          <w:rFonts w:cs="Calibri"/>
          <w:bCs/>
          <w:szCs w:val="24"/>
        </w:rPr>
        <w:t>__________</w:t>
      </w:r>
    </w:p>
    <w:sectPr w:rsidR="00B8316F" w:rsidRPr="002A4D72" w:rsidSect="00AD3606">
      <w:footerReference w:type="default" r:id="rId50"/>
      <w:headerReference w:type="first" r:id="rId51"/>
      <w:footerReference w:type="first" r:id="rId5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59DD" w14:textId="77777777" w:rsidR="003B5D69" w:rsidRDefault="003B5D69">
      <w:r>
        <w:separator/>
      </w:r>
    </w:p>
  </w:endnote>
  <w:endnote w:type="continuationSeparator" w:id="0">
    <w:p w14:paraId="3B514159" w14:textId="77777777" w:rsidR="003B5D69" w:rsidRDefault="003B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A2E" w:rsidRPr="00784011" w14:paraId="1AE1327A" w14:textId="77777777" w:rsidTr="003669DB">
      <w:trPr>
        <w:jc w:val="center"/>
      </w:trPr>
      <w:tc>
        <w:tcPr>
          <w:tcW w:w="1803" w:type="dxa"/>
          <w:vAlign w:val="center"/>
        </w:tcPr>
        <w:p w14:paraId="631E7E12" w14:textId="47A33934" w:rsidR="002D0A2E" w:rsidRDefault="002D0A2E" w:rsidP="00EE49E8">
          <w:pPr>
            <w:pStyle w:val="Header"/>
            <w:jc w:val="left"/>
            <w:rPr>
              <w:noProof/>
            </w:rPr>
          </w:pPr>
        </w:p>
      </w:tc>
      <w:tc>
        <w:tcPr>
          <w:tcW w:w="8261" w:type="dxa"/>
        </w:tcPr>
        <w:p w14:paraId="23D76F9A" w14:textId="77777777" w:rsidR="002D0A2E" w:rsidRPr="00E06FD5" w:rsidRDefault="002D0A2E" w:rsidP="00EE430F">
          <w:pPr>
            <w:pStyle w:val="Header"/>
            <w:tabs>
              <w:tab w:val="left" w:pos="6163"/>
              <w:tab w:val="right" w:pos="8505"/>
              <w:tab w:val="right" w:pos="9639"/>
            </w:tabs>
            <w:jc w:val="left"/>
            <w:rPr>
              <w:rFonts w:ascii="Arial" w:hAnsi="Arial" w:cs="Arial"/>
              <w:b/>
              <w:bCs/>
              <w:szCs w:val="18"/>
            </w:rPr>
          </w:pPr>
          <w:r>
            <w:rPr>
              <w:bCs/>
            </w:rPr>
            <w:tab/>
            <w:t>EG-ITRs-3</w:t>
          </w:r>
          <w:r w:rsidRPr="00623AE3">
            <w:rPr>
              <w:bCs/>
            </w:rPr>
            <w:t>/</w:t>
          </w:r>
          <w:r w:rsidR="00EE430F">
            <w:rPr>
              <w:bCs/>
            </w:rPr>
            <w:t>5</w:t>
          </w:r>
          <w:r w:rsidRPr="00623AE3">
            <w:rPr>
              <w:bCs/>
            </w:rPr>
            <w:t>E</w:t>
          </w:r>
          <w:r>
            <w:rPr>
              <w:bCs/>
            </w:rPr>
            <w:tab/>
          </w:r>
          <w:r w:rsidR="00847927">
            <w:fldChar w:fldCharType="begin"/>
          </w:r>
          <w:r w:rsidR="00847927">
            <w:instrText>PAGE</w:instrText>
          </w:r>
          <w:r w:rsidR="00847927">
            <w:fldChar w:fldCharType="separate"/>
          </w:r>
          <w:r w:rsidR="002F5DCF">
            <w:rPr>
              <w:noProof/>
            </w:rPr>
            <w:t>2</w:t>
          </w:r>
          <w:r w:rsidR="00847927">
            <w:rPr>
              <w:noProof/>
            </w:rPr>
            <w:fldChar w:fldCharType="end"/>
          </w:r>
        </w:p>
      </w:tc>
    </w:tr>
  </w:tbl>
  <w:p w14:paraId="4C5A2964" w14:textId="77777777" w:rsidR="002D0A2E" w:rsidRPr="00DB1936" w:rsidRDefault="002D0A2E"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2D0A2E" w:rsidRPr="00784011" w14:paraId="105CACCF" w14:textId="77777777" w:rsidTr="00A52C84">
      <w:trPr>
        <w:jc w:val="center"/>
      </w:trPr>
      <w:tc>
        <w:tcPr>
          <w:tcW w:w="3107" w:type="dxa"/>
          <w:vAlign w:val="center"/>
        </w:tcPr>
        <w:p w14:paraId="1A8E401C" w14:textId="77777777" w:rsidR="002D0A2E" w:rsidRDefault="002D0A2E" w:rsidP="00EE49E8">
          <w:pPr>
            <w:pStyle w:val="Header"/>
            <w:jc w:val="left"/>
            <w:rPr>
              <w:noProof/>
            </w:rPr>
          </w:pPr>
          <w:r w:rsidRPr="00293B38">
            <w:rPr>
              <w:color w:val="0070C0"/>
            </w:rPr>
            <w:t>https://council.itu.int/working-groups</w:t>
          </w:r>
        </w:p>
      </w:tc>
      <w:tc>
        <w:tcPr>
          <w:tcW w:w="6957" w:type="dxa"/>
        </w:tcPr>
        <w:p w14:paraId="5E3E1FF4" w14:textId="77777777" w:rsidR="002D0A2E" w:rsidRPr="00E06FD5" w:rsidRDefault="002D0A2E" w:rsidP="00EE430F">
          <w:pPr>
            <w:pStyle w:val="Header"/>
            <w:tabs>
              <w:tab w:val="left" w:pos="4867"/>
              <w:tab w:val="right" w:pos="8505"/>
              <w:tab w:val="right" w:pos="9639"/>
            </w:tabs>
            <w:jc w:val="left"/>
            <w:rPr>
              <w:rFonts w:ascii="Arial" w:hAnsi="Arial" w:cs="Arial"/>
              <w:b/>
              <w:bCs/>
              <w:szCs w:val="18"/>
            </w:rPr>
          </w:pPr>
          <w:r>
            <w:rPr>
              <w:bCs/>
            </w:rPr>
            <w:tab/>
            <w:t>EG-ITRs-3</w:t>
          </w:r>
          <w:r w:rsidRPr="00623AE3">
            <w:rPr>
              <w:bCs/>
            </w:rPr>
            <w:t>/</w:t>
          </w:r>
          <w:r w:rsidR="00EE430F">
            <w:rPr>
              <w:bCs/>
            </w:rPr>
            <w:t>5</w:t>
          </w:r>
          <w:r w:rsidRPr="00623AE3">
            <w:rPr>
              <w:bCs/>
            </w:rPr>
            <w:t>-E</w:t>
          </w:r>
          <w:r>
            <w:rPr>
              <w:bCs/>
            </w:rPr>
            <w:tab/>
          </w:r>
          <w:r w:rsidR="00847927">
            <w:fldChar w:fldCharType="begin"/>
          </w:r>
          <w:r w:rsidR="00847927">
            <w:instrText>PAGE</w:instrText>
          </w:r>
          <w:r w:rsidR="00847927">
            <w:fldChar w:fldCharType="separate"/>
          </w:r>
          <w:r w:rsidR="002F5DCF">
            <w:rPr>
              <w:noProof/>
            </w:rPr>
            <w:t>1</w:t>
          </w:r>
          <w:r w:rsidR="00847927">
            <w:rPr>
              <w:noProof/>
            </w:rPr>
            <w:fldChar w:fldCharType="end"/>
          </w:r>
        </w:p>
      </w:tc>
    </w:tr>
  </w:tbl>
  <w:p w14:paraId="4E5E3A85" w14:textId="77777777" w:rsidR="002D0A2E" w:rsidRPr="00623AE3" w:rsidRDefault="002D0A2E"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42C91" w14:textId="77777777" w:rsidR="003B5D69" w:rsidRDefault="003B5D69">
      <w:r>
        <w:t>____________________</w:t>
      </w:r>
    </w:p>
  </w:footnote>
  <w:footnote w:type="continuationSeparator" w:id="0">
    <w:p w14:paraId="3F954AFE" w14:textId="77777777" w:rsidR="003B5D69" w:rsidRDefault="003B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2D0A2E" w:rsidRPr="00784011" w14:paraId="26368095" w14:textId="77777777" w:rsidTr="00F74694">
      <w:trPr>
        <w:trHeight w:val="1304"/>
        <w:jc w:val="center"/>
      </w:trPr>
      <w:tc>
        <w:tcPr>
          <w:tcW w:w="6546" w:type="dxa"/>
        </w:tcPr>
        <w:p w14:paraId="32EBB0CC" w14:textId="72EDB670" w:rsidR="002D0A2E" w:rsidRPr="009621F8" w:rsidRDefault="00882188"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7F02DACB" wp14:editId="69D030D1">
                    <wp:simplePos x="0" y="0"/>
                    <wp:positionH relativeFrom="column">
                      <wp:posOffset>570230</wp:posOffset>
                    </wp:positionH>
                    <wp:positionV relativeFrom="paragraph">
                      <wp:posOffset>63500</wp:posOffset>
                    </wp:positionV>
                    <wp:extent cx="1652905" cy="541020"/>
                    <wp:effectExtent l="0" t="0" r="0" b="0"/>
                    <wp:wrapNone/>
                    <wp:docPr id="9914588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C45A3"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2D0A2E">
            <w:rPr>
              <w:noProof/>
              <w:lang w:val="en-US"/>
            </w:rPr>
            <w:drawing>
              <wp:inline distT="0" distB="0" distL="0" distR="0" wp14:anchorId="2B9089B8" wp14:editId="630027F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6EA6252" w14:textId="77777777" w:rsidR="002D0A2E" w:rsidRDefault="002D0A2E" w:rsidP="00AD3606">
          <w:pPr>
            <w:pStyle w:val="Header"/>
            <w:jc w:val="right"/>
            <w:rPr>
              <w:rFonts w:ascii="Arial" w:hAnsi="Arial" w:cs="Arial"/>
              <w:b/>
              <w:bCs/>
              <w:color w:val="009CD6"/>
              <w:szCs w:val="18"/>
            </w:rPr>
          </w:pPr>
        </w:p>
        <w:p w14:paraId="38CA9FF5" w14:textId="77777777" w:rsidR="002D0A2E" w:rsidRDefault="002D0A2E" w:rsidP="00AD3606">
          <w:pPr>
            <w:pStyle w:val="Header"/>
            <w:jc w:val="right"/>
            <w:rPr>
              <w:rFonts w:ascii="Arial" w:hAnsi="Arial" w:cs="Arial"/>
              <w:b/>
              <w:bCs/>
              <w:color w:val="009CD6"/>
              <w:szCs w:val="18"/>
            </w:rPr>
          </w:pPr>
        </w:p>
        <w:p w14:paraId="50674E5F" w14:textId="77777777" w:rsidR="002D0A2E" w:rsidRPr="00784011" w:rsidRDefault="002D0A2E"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3EFA774" w14:textId="532DC708" w:rsidR="002D0A2E" w:rsidRDefault="00882188">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8092910" wp14:editId="5D710085">
              <wp:simplePos x="0" y="0"/>
              <wp:positionH relativeFrom="page">
                <wp:posOffset>14605</wp:posOffset>
              </wp:positionH>
              <wp:positionV relativeFrom="topMargin">
                <wp:posOffset>555625</wp:posOffset>
              </wp:positionV>
              <wp:extent cx="93345" cy="431800"/>
              <wp:effectExtent l="0" t="0" r="0" b="0"/>
              <wp:wrapNone/>
              <wp:docPr id="3762935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6C9F7"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3278FC7E" wp14:editId="120C1977">
              <wp:simplePos x="0" y="0"/>
              <wp:positionH relativeFrom="column">
                <wp:posOffset>306705</wp:posOffset>
              </wp:positionH>
              <wp:positionV relativeFrom="paragraph">
                <wp:posOffset>-835660</wp:posOffset>
              </wp:positionV>
              <wp:extent cx="3999230" cy="618490"/>
              <wp:effectExtent l="0" t="0" r="0" b="0"/>
              <wp:wrapNone/>
              <wp:docPr id="1173405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667B31A8" w14:textId="77777777" w:rsidR="002D0A2E" w:rsidRDefault="002D0A2E"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sidR="002F5DC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8FC7E"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667B31A8" w14:textId="77777777" w:rsidR="002D0A2E" w:rsidRDefault="002D0A2E"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sidR="002F5DC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F36EB"/>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6837"/>
    <w:multiLevelType w:val="multilevel"/>
    <w:tmpl w:val="99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2240D"/>
    <w:multiLevelType w:val="multilevel"/>
    <w:tmpl w:val="60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6E04"/>
    <w:multiLevelType w:val="multilevel"/>
    <w:tmpl w:val="D4A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446D"/>
    <w:multiLevelType w:val="multilevel"/>
    <w:tmpl w:val="826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26E3"/>
    <w:multiLevelType w:val="hybridMultilevel"/>
    <w:tmpl w:val="F25E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4DE1"/>
    <w:multiLevelType w:val="multilevel"/>
    <w:tmpl w:val="0B3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42C46"/>
    <w:multiLevelType w:val="multilevel"/>
    <w:tmpl w:val="8E5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D632F"/>
    <w:multiLevelType w:val="hybridMultilevel"/>
    <w:tmpl w:val="21BC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D3B03"/>
    <w:multiLevelType w:val="multilevel"/>
    <w:tmpl w:val="4E8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901F8"/>
    <w:multiLevelType w:val="multilevel"/>
    <w:tmpl w:val="5FA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36044"/>
    <w:multiLevelType w:val="multilevel"/>
    <w:tmpl w:val="2E9A4954"/>
    <w:lvl w:ilvl="0">
      <w:start w:val="1"/>
      <w:numFmt w:val="lowerLetter"/>
      <w:lvlText w:val="%1)"/>
      <w:lvlJc w:val="left"/>
      <w:pPr>
        <w:ind w:left="1514" w:hanging="720"/>
      </w:pPr>
      <w:rPr>
        <w:rFonts w:ascii="Calibri" w:hAnsi="Calibri" w:hint="default"/>
        <w:sz w:val="24"/>
      </w:r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5" w15:restartNumberingAfterBreak="0">
    <w:nsid w:val="5C707D2B"/>
    <w:multiLevelType w:val="multilevel"/>
    <w:tmpl w:val="5E8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20AD6"/>
    <w:multiLevelType w:val="hybridMultilevel"/>
    <w:tmpl w:val="C4822530"/>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B5F85"/>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C4B1E"/>
    <w:multiLevelType w:val="multilevel"/>
    <w:tmpl w:val="F29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D750C"/>
    <w:multiLevelType w:val="multilevel"/>
    <w:tmpl w:val="4EA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274133"/>
    <w:multiLevelType w:val="multilevel"/>
    <w:tmpl w:val="11E03612"/>
    <w:lvl w:ilvl="0">
      <w:start w:val="1"/>
      <w:numFmt w:val="lowerLetter"/>
      <w:lvlText w:val="(%1)"/>
      <w:lvlJc w:val="left"/>
      <w:pPr>
        <w:ind w:left="3579" w:hanging="720"/>
      </w:pPr>
    </w:lvl>
    <w:lvl w:ilvl="1">
      <w:start w:val="1"/>
      <w:numFmt w:val="lowerLetter"/>
      <w:lvlText w:val="%2."/>
      <w:lvlJc w:val="left"/>
      <w:pPr>
        <w:ind w:left="3939" w:hanging="360"/>
      </w:pPr>
    </w:lvl>
    <w:lvl w:ilvl="2">
      <w:start w:val="1"/>
      <w:numFmt w:val="lowerRoman"/>
      <w:lvlText w:val="%3."/>
      <w:lvlJc w:val="right"/>
      <w:pPr>
        <w:ind w:left="4659" w:hanging="180"/>
      </w:pPr>
    </w:lvl>
    <w:lvl w:ilvl="3">
      <w:start w:val="1"/>
      <w:numFmt w:val="decimal"/>
      <w:lvlText w:val="%4."/>
      <w:lvlJc w:val="left"/>
      <w:pPr>
        <w:ind w:left="5379" w:hanging="360"/>
      </w:pPr>
    </w:lvl>
    <w:lvl w:ilvl="4">
      <w:start w:val="1"/>
      <w:numFmt w:val="lowerLetter"/>
      <w:lvlText w:val="%5."/>
      <w:lvlJc w:val="left"/>
      <w:pPr>
        <w:ind w:left="6099" w:hanging="360"/>
      </w:pPr>
    </w:lvl>
    <w:lvl w:ilvl="5">
      <w:start w:val="1"/>
      <w:numFmt w:val="lowerRoman"/>
      <w:lvlText w:val="%6."/>
      <w:lvlJc w:val="right"/>
      <w:pPr>
        <w:ind w:left="6819" w:hanging="180"/>
      </w:pPr>
    </w:lvl>
    <w:lvl w:ilvl="6">
      <w:start w:val="1"/>
      <w:numFmt w:val="decimal"/>
      <w:lvlText w:val="%7."/>
      <w:lvlJc w:val="left"/>
      <w:pPr>
        <w:ind w:left="7539" w:hanging="360"/>
      </w:pPr>
    </w:lvl>
    <w:lvl w:ilvl="7">
      <w:start w:val="1"/>
      <w:numFmt w:val="lowerLetter"/>
      <w:lvlText w:val="%8."/>
      <w:lvlJc w:val="left"/>
      <w:pPr>
        <w:ind w:left="8259" w:hanging="360"/>
      </w:pPr>
    </w:lvl>
    <w:lvl w:ilvl="8">
      <w:start w:val="1"/>
      <w:numFmt w:val="lowerRoman"/>
      <w:lvlText w:val="%9."/>
      <w:lvlJc w:val="right"/>
      <w:pPr>
        <w:ind w:left="8979" w:hanging="180"/>
      </w:pPr>
    </w:lvl>
  </w:abstractNum>
  <w:abstractNum w:abstractNumId="22" w15:restartNumberingAfterBreak="0">
    <w:nsid w:val="7B617DA5"/>
    <w:multiLevelType w:val="multilevel"/>
    <w:tmpl w:val="0FE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972721">
    <w:abstractNumId w:val="0"/>
  </w:num>
  <w:num w:numId="2" w16cid:durableId="1499425528">
    <w:abstractNumId w:val="1"/>
  </w:num>
  <w:num w:numId="3" w16cid:durableId="156044251">
    <w:abstractNumId w:val="16"/>
  </w:num>
  <w:num w:numId="4" w16cid:durableId="449475029">
    <w:abstractNumId w:val="7"/>
  </w:num>
  <w:num w:numId="5" w16cid:durableId="1767458490">
    <w:abstractNumId w:val="18"/>
  </w:num>
  <w:num w:numId="6" w16cid:durableId="1672294412">
    <w:abstractNumId w:val="2"/>
  </w:num>
  <w:num w:numId="7" w16cid:durableId="537746423">
    <w:abstractNumId w:val="13"/>
  </w:num>
  <w:num w:numId="8" w16cid:durableId="1446123345">
    <w:abstractNumId w:val="15"/>
  </w:num>
  <w:num w:numId="9" w16cid:durableId="251933808">
    <w:abstractNumId w:val="19"/>
  </w:num>
  <w:num w:numId="10" w16cid:durableId="409084441">
    <w:abstractNumId w:val="8"/>
  </w:num>
  <w:num w:numId="11" w16cid:durableId="239800137">
    <w:abstractNumId w:val="5"/>
  </w:num>
  <w:num w:numId="12" w16cid:durableId="1576434678">
    <w:abstractNumId w:val="6"/>
  </w:num>
  <w:num w:numId="13" w16cid:durableId="188375724">
    <w:abstractNumId w:val="20"/>
  </w:num>
  <w:num w:numId="14" w16cid:durableId="888104581">
    <w:abstractNumId w:val="9"/>
  </w:num>
  <w:num w:numId="15" w16cid:durableId="257568964">
    <w:abstractNumId w:val="3"/>
  </w:num>
  <w:num w:numId="16" w16cid:durableId="1638796933">
    <w:abstractNumId w:val="4"/>
  </w:num>
  <w:num w:numId="17" w16cid:durableId="396978745">
    <w:abstractNumId w:val="12"/>
  </w:num>
  <w:num w:numId="18" w16cid:durableId="1384409088">
    <w:abstractNumId w:val="11"/>
  </w:num>
  <w:num w:numId="19" w16cid:durableId="418061504">
    <w:abstractNumId w:val="22"/>
  </w:num>
  <w:num w:numId="20" w16cid:durableId="501243646">
    <w:abstractNumId w:val="17"/>
  </w:num>
  <w:num w:numId="21" w16cid:durableId="1765569653">
    <w:abstractNumId w:val="10"/>
  </w:num>
  <w:num w:numId="22" w16cid:durableId="14694936">
    <w:abstractNumId w:val="21"/>
  </w:num>
  <w:num w:numId="23" w16cid:durableId="9872481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DBE"/>
    <w:rsid w:val="0000683F"/>
    <w:rsid w:val="000210D4"/>
    <w:rsid w:val="00063016"/>
    <w:rsid w:val="00066795"/>
    <w:rsid w:val="00076AF6"/>
    <w:rsid w:val="00085CF2"/>
    <w:rsid w:val="000B1705"/>
    <w:rsid w:val="000C0D27"/>
    <w:rsid w:val="000D75B2"/>
    <w:rsid w:val="00104C25"/>
    <w:rsid w:val="001121F5"/>
    <w:rsid w:val="001239F6"/>
    <w:rsid w:val="00130599"/>
    <w:rsid w:val="001400DC"/>
    <w:rsid w:val="00140CE1"/>
    <w:rsid w:val="0017539C"/>
    <w:rsid w:val="00175AC2"/>
    <w:rsid w:val="0017609F"/>
    <w:rsid w:val="001916E4"/>
    <w:rsid w:val="001A7D1D"/>
    <w:rsid w:val="001B51DD"/>
    <w:rsid w:val="001C628E"/>
    <w:rsid w:val="001E0F7B"/>
    <w:rsid w:val="00204E80"/>
    <w:rsid w:val="002119FD"/>
    <w:rsid w:val="00212035"/>
    <w:rsid w:val="002130E0"/>
    <w:rsid w:val="00244F7F"/>
    <w:rsid w:val="002519C2"/>
    <w:rsid w:val="00257973"/>
    <w:rsid w:val="00264425"/>
    <w:rsid w:val="00265875"/>
    <w:rsid w:val="0027303B"/>
    <w:rsid w:val="00280C81"/>
    <w:rsid w:val="0028109B"/>
    <w:rsid w:val="00291CBF"/>
    <w:rsid w:val="00293B38"/>
    <w:rsid w:val="002A2188"/>
    <w:rsid w:val="002B1F58"/>
    <w:rsid w:val="002C1C7A"/>
    <w:rsid w:val="002C5221"/>
    <w:rsid w:val="002C54E2"/>
    <w:rsid w:val="002D0A2E"/>
    <w:rsid w:val="002F5DCF"/>
    <w:rsid w:val="0030160F"/>
    <w:rsid w:val="00320223"/>
    <w:rsid w:val="00322D0D"/>
    <w:rsid w:val="0032753D"/>
    <w:rsid w:val="003433D2"/>
    <w:rsid w:val="003542B5"/>
    <w:rsid w:val="00361465"/>
    <w:rsid w:val="003669DB"/>
    <w:rsid w:val="00370EE6"/>
    <w:rsid w:val="00375503"/>
    <w:rsid w:val="00381C17"/>
    <w:rsid w:val="003877F5"/>
    <w:rsid w:val="003942D4"/>
    <w:rsid w:val="003958A8"/>
    <w:rsid w:val="003B5D69"/>
    <w:rsid w:val="003C2533"/>
    <w:rsid w:val="003D5A7F"/>
    <w:rsid w:val="004016E2"/>
    <w:rsid w:val="0040435A"/>
    <w:rsid w:val="00416A24"/>
    <w:rsid w:val="00431D9E"/>
    <w:rsid w:val="00433CE8"/>
    <w:rsid w:val="00434A5C"/>
    <w:rsid w:val="00446616"/>
    <w:rsid w:val="004544D9"/>
    <w:rsid w:val="00455A4D"/>
    <w:rsid w:val="00472BAD"/>
    <w:rsid w:val="004775DF"/>
    <w:rsid w:val="00484009"/>
    <w:rsid w:val="00490E72"/>
    <w:rsid w:val="00491157"/>
    <w:rsid w:val="004921C8"/>
    <w:rsid w:val="00495B0B"/>
    <w:rsid w:val="004A1B8B"/>
    <w:rsid w:val="004B5910"/>
    <w:rsid w:val="004D1851"/>
    <w:rsid w:val="004D599D"/>
    <w:rsid w:val="004D648B"/>
    <w:rsid w:val="004E2EA5"/>
    <w:rsid w:val="004E3AEB"/>
    <w:rsid w:val="004F0E24"/>
    <w:rsid w:val="0050223C"/>
    <w:rsid w:val="0052249C"/>
    <w:rsid w:val="005243FF"/>
    <w:rsid w:val="005440C7"/>
    <w:rsid w:val="00564FBC"/>
    <w:rsid w:val="0057251F"/>
    <w:rsid w:val="005800BC"/>
    <w:rsid w:val="00582442"/>
    <w:rsid w:val="005A335D"/>
    <w:rsid w:val="005C1185"/>
    <w:rsid w:val="005E2BD5"/>
    <w:rsid w:val="005F3269"/>
    <w:rsid w:val="00616C10"/>
    <w:rsid w:val="00623AE3"/>
    <w:rsid w:val="00636853"/>
    <w:rsid w:val="0064737F"/>
    <w:rsid w:val="006535F1"/>
    <w:rsid w:val="0065557D"/>
    <w:rsid w:val="00660D50"/>
    <w:rsid w:val="00662984"/>
    <w:rsid w:val="006649C9"/>
    <w:rsid w:val="006716BB"/>
    <w:rsid w:val="006777EC"/>
    <w:rsid w:val="006819A4"/>
    <w:rsid w:val="00686A8D"/>
    <w:rsid w:val="006B1859"/>
    <w:rsid w:val="006B1D22"/>
    <w:rsid w:val="006B6680"/>
    <w:rsid w:val="006B6DCC"/>
    <w:rsid w:val="006C11BB"/>
    <w:rsid w:val="006C4EFC"/>
    <w:rsid w:val="006D5A4F"/>
    <w:rsid w:val="00702DEF"/>
    <w:rsid w:val="00706861"/>
    <w:rsid w:val="00745D44"/>
    <w:rsid w:val="0075051B"/>
    <w:rsid w:val="00775655"/>
    <w:rsid w:val="00793188"/>
    <w:rsid w:val="00794D34"/>
    <w:rsid w:val="00794DFC"/>
    <w:rsid w:val="007E0081"/>
    <w:rsid w:val="007F7DF3"/>
    <w:rsid w:val="0080425D"/>
    <w:rsid w:val="00813E5E"/>
    <w:rsid w:val="0083581B"/>
    <w:rsid w:val="00842242"/>
    <w:rsid w:val="00847927"/>
    <w:rsid w:val="0085677D"/>
    <w:rsid w:val="00863874"/>
    <w:rsid w:val="00864283"/>
    <w:rsid w:val="00864AFF"/>
    <w:rsid w:val="00865925"/>
    <w:rsid w:val="008759BD"/>
    <w:rsid w:val="00882188"/>
    <w:rsid w:val="00884D35"/>
    <w:rsid w:val="0088630E"/>
    <w:rsid w:val="008B056B"/>
    <w:rsid w:val="008B4A6A"/>
    <w:rsid w:val="008C1893"/>
    <w:rsid w:val="008C7E27"/>
    <w:rsid w:val="008F7448"/>
    <w:rsid w:val="0090147A"/>
    <w:rsid w:val="009166C0"/>
    <w:rsid w:val="009173EF"/>
    <w:rsid w:val="00932906"/>
    <w:rsid w:val="00941193"/>
    <w:rsid w:val="00942438"/>
    <w:rsid w:val="00950BC7"/>
    <w:rsid w:val="00961B0B"/>
    <w:rsid w:val="00962D33"/>
    <w:rsid w:val="009B38C3"/>
    <w:rsid w:val="009E17BD"/>
    <w:rsid w:val="009E485A"/>
    <w:rsid w:val="00A028B5"/>
    <w:rsid w:val="00A04CEC"/>
    <w:rsid w:val="00A27F92"/>
    <w:rsid w:val="00A32257"/>
    <w:rsid w:val="00A36935"/>
    <w:rsid w:val="00A36D20"/>
    <w:rsid w:val="00A377D7"/>
    <w:rsid w:val="00A514A4"/>
    <w:rsid w:val="00A52C84"/>
    <w:rsid w:val="00A55622"/>
    <w:rsid w:val="00A645DF"/>
    <w:rsid w:val="00A83502"/>
    <w:rsid w:val="00AD15B3"/>
    <w:rsid w:val="00AD3606"/>
    <w:rsid w:val="00AD4A3D"/>
    <w:rsid w:val="00AF6E49"/>
    <w:rsid w:val="00B03666"/>
    <w:rsid w:val="00B04A67"/>
    <w:rsid w:val="00B0583C"/>
    <w:rsid w:val="00B21BDA"/>
    <w:rsid w:val="00B40A81"/>
    <w:rsid w:val="00B4436B"/>
    <w:rsid w:val="00B44910"/>
    <w:rsid w:val="00B71501"/>
    <w:rsid w:val="00B72267"/>
    <w:rsid w:val="00B76EB6"/>
    <w:rsid w:val="00B7737B"/>
    <w:rsid w:val="00B824C8"/>
    <w:rsid w:val="00B8316F"/>
    <w:rsid w:val="00B832E4"/>
    <w:rsid w:val="00B84B9D"/>
    <w:rsid w:val="00BC00F1"/>
    <w:rsid w:val="00BC251A"/>
    <w:rsid w:val="00BD032B"/>
    <w:rsid w:val="00BD3334"/>
    <w:rsid w:val="00BE14EE"/>
    <w:rsid w:val="00BE2640"/>
    <w:rsid w:val="00BF0749"/>
    <w:rsid w:val="00BF5644"/>
    <w:rsid w:val="00C01189"/>
    <w:rsid w:val="00C03FCD"/>
    <w:rsid w:val="00C24114"/>
    <w:rsid w:val="00C24C16"/>
    <w:rsid w:val="00C374DE"/>
    <w:rsid w:val="00C47AD4"/>
    <w:rsid w:val="00C52D81"/>
    <w:rsid w:val="00C55198"/>
    <w:rsid w:val="00CA6393"/>
    <w:rsid w:val="00CB18FF"/>
    <w:rsid w:val="00CD0C08"/>
    <w:rsid w:val="00CD18B8"/>
    <w:rsid w:val="00CE03FB"/>
    <w:rsid w:val="00CE433C"/>
    <w:rsid w:val="00CF0161"/>
    <w:rsid w:val="00CF33F3"/>
    <w:rsid w:val="00D01569"/>
    <w:rsid w:val="00D06183"/>
    <w:rsid w:val="00D22C42"/>
    <w:rsid w:val="00D464CC"/>
    <w:rsid w:val="00D65041"/>
    <w:rsid w:val="00D90350"/>
    <w:rsid w:val="00DB00D5"/>
    <w:rsid w:val="00DB0439"/>
    <w:rsid w:val="00DB1936"/>
    <w:rsid w:val="00DB384B"/>
    <w:rsid w:val="00DF0189"/>
    <w:rsid w:val="00E06FD5"/>
    <w:rsid w:val="00E10E80"/>
    <w:rsid w:val="00E124F0"/>
    <w:rsid w:val="00E227F3"/>
    <w:rsid w:val="00E44B70"/>
    <w:rsid w:val="00E45BD0"/>
    <w:rsid w:val="00E545C6"/>
    <w:rsid w:val="00E60F04"/>
    <w:rsid w:val="00E65B24"/>
    <w:rsid w:val="00E854E4"/>
    <w:rsid w:val="00E86DBF"/>
    <w:rsid w:val="00EB0D6F"/>
    <w:rsid w:val="00EB2232"/>
    <w:rsid w:val="00EC5337"/>
    <w:rsid w:val="00EC6779"/>
    <w:rsid w:val="00EE430F"/>
    <w:rsid w:val="00EE49E8"/>
    <w:rsid w:val="00EE4E8F"/>
    <w:rsid w:val="00F16BAB"/>
    <w:rsid w:val="00F20CAF"/>
    <w:rsid w:val="00F2150A"/>
    <w:rsid w:val="00F21524"/>
    <w:rsid w:val="00F231D8"/>
    <w:rsid w:val="00F44C00"/>
    <w:rsid w:val="00F45D2C"/>
    <w:rsid w:val="00F46C5F"/>
    <w:rsid w:val="00F56336"/>
    <w:rsid w:val="00F632C0"/>
    <w:rsid w:val="00F63765"/>
    <w:rsid w:val="00F74694"/>
    <w:rsid w:val="00F94A63"/>
    <w:rsid w:val="00FA1C28"/>
    <w:rsid w:val="00FB1279"/>
    <w:rsid w:val="00FB6B76"/>
    <w:rsid w:val="00FB7596"/>
    <w:rsid w:val="00FD65A9"/>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3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08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370EE6"/>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2519C2"/>
  </w:style>
  <w:style w:type="character" w:customStyle="1" w:styleId="Heading3Char">
    <w:name w:val="Heading 3 Char"/>
    <w:basedOn w:val="DefaultParagraphFont"/>
    <w:link w:val="Heading3"/>
    <w:uiPriority w:val="9"/>
    <w:rsid w:val="002519C2"/>
    <w:rPr>
      <w:rFonts w:ascii="Calibri" w:hAnsi="Calibri"/>
      <w:b/>
      <w:sz w:val="24"/>
      <w:lang w:val="en-GB" w:eastAsia="en-US"/>
    </w:rPr>
  </w:style>
  <w:style w:type="paragraph" w:styleId="NormalWeb">
    <w:name w:val="Normal (Web)"/>
    <w:basedOn w:val="Normal"/>
    <w:uiPriority w:val="99"/>
    <w:semiHidden/>
    <w:unhideWhenUsed/>
    <w:rsid w:val="002519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2519C2"/>
    <w:rPr>
      <w:b/>
      <w:bCs/>
    </w:rPr>
  </w:style>
  <w:style w:type="character" w:styleId="Emphasis">
    <w:name w:val="Emphasis"/>
    <w:basedOn w:val="DefaultParagraphFont"/>
    <w:uiPriority w:val="20"/>
    <w:qFormat/>
    <w:rsid w:val="002519C2"/>
    <w:rPr>
      <w:i/>
      <w:iCs/>
    </w:rPr>
  </w:style>
  <w:style w:type="paragraph" w:styleId="BalloonText">
    <w:name w:val="Balloon Text"/>
    <w:basedOn w:val="Normal"/>
    <w:link w:val="BalloonTextChar"/>
    <w:uiPriority w:val="99"/>
    <w:semiHidden/>
    <w:unhideWhenUsed/>
    <w:rsid w:val="002519C2"/>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2519C2"/>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rsid w:val="002519C2"/>
    <w:rPr>
      <w:rFonts w:ascii="Calibri" w:hAnsi="Calibri"/>
      <w:lang w:val="en-GB" w:eastAsia="en-US"/>
    </w:rPr>
  </w:style>
  <w:style w:type="paragraph" w:styleId="ListParagraph">
    <w:name w:val="List Paragraph"/>
    <w:basedOn w:val="Normal"/>
    <w:uiPriority w:val="34"/>
    <w:qFormat/>
    <w:rsid w:val="002D0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3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09-CWG.WCIT12-100125-TD-PLEN-0004/en" TargetMode="External"/><Relationship Id="rId18" Type="http://schemas.openxmlformats.org/officeDocument/2006/relationships/hyperlink" Target="http://www.itu.int/md/T09-CWG.WCIT12-INF-0002/en" TargetMode="External"/><Relationship Id="rId26" Type="http://schemas.openxmlformats.org/officeDocument/2006/relationships/hyperlink" Target="http://www.itu.int/md/T09-CWG.WCIT12-INF-0010/en" TargetMode="External"/><Relationship Id="rId39" Type="http://schemas.openxmlformats.org/officeDocument/2006/relationships/hyperlink" Target="http://www.itu.int/md/T09-CWG.WCIT12-INF-0005/en" TargetMode="External"/><Relationship Id="rId21" Type="http://schemas.openxmlformats.org/officeDocument/2006/relationships/hyperlink" Target="http://www.itu.int/md/T09-CWG.WCIT12-INF-0005/en" TargetMode="External"/><Relationship Id="rId34" Type="http://schemas.openxmlformats.org/officeDocument/2006/relationships/hyperlink" Target="http://www.itu.int/md/T09-ITR.EG-090602-TD-PLEN-0030/en" TargetMode="External"/><Relationship Id="rId42" Type="http://schemas.openxmlformats.org/officeDocument/2006/relationships/hyperlink" Target="http://www.itu.int/md/T09-CWG.WCIT12-INF-0008/en" TargetMode="External"/><Relationship Id="rId47" Type="http://schemas.openxmlformats.org/officeDocument/2006/relationships/hyperlink" Target="http://www.itu.int/md/T09-CWG.WCIT12-INF-0012/en"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T09-ITR.EG-090602-TD-PLEN-0030/en" TargetMode="External"/><Relationship Id="rId29" Type="http://schemas.openxmlformats.org/officeDocument/2006/relationships/hyperlink" Target="http://www.itu.int/md/T09-CWG.WCIT12-INF-0013/en" TargetMode="External"/><Relationship Id="rId11" Type="http://schemas.openxmlformats.org/officeDocument/2006/relationships/hyperlink" Target="https://www.itu.int/md/S24-EGITRS2-C-0013/en" TargetMode="External"/><Relationship Id="rId24" Type="http://schemas.openxmlformats.org/officeDocument/2006/relationships/hyperlink" Target="http://www.itu.int/md/T09-CWG.WCIT12-INF-0008/en" TargetMode="External"/><Relationship Id="rId32" Type="http://schemas.openxmlformats.org/officeDocument/2006/relationships/hyperlink" Target="http://www.itu.int/md/T09-CWG.WCIT12-100125-TD-PLEN-0005/en" TargetMode="External"/><Relationship Id="rId37" Type="http://schemas.openxmlformats.org/officeDocument/2006/relationships/hyperlink" Target="http://www.itu.int/md/T09-CWG.WCIT12-INF-0003/en" TargetMode="External"/><Relationship Id="rId40" Type="http://schemas.openxmlformats.org/officeDocument/2006/relationships/hyperlink" Target="http://www.itu.int/md/T09-CWG.WCIT12-INF-0006/en" TargetMode="External"/><Relationship Id="rId45" Type="http://schemas.openxmlformats.org/officeDocument/2006/relationships/hyperlink" Target="http://www.itu.int/md/T09-CWG.WCIT12-INF-0010/e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md/S23-EGITRS1-C-0002/en" TargetMode="External"/><Relationship Id="rId19" Type="http://schemas.openxmlformats.org/officeDocument/2006/relationships/hyperlink" Target="http://www.itu.int/md/T09-CWG.WCIT12-INF-0003/en" TargetMode="External"/><Relationship Id="rId31" Type="http://schemas.openxmlformats.org/officeDocument/2006/relationships/hyperlink" Target="http://www.itu.int/md/T09-CWG.WCIT12-100125-TD-PLEN-0004/en" TargetMode="External"/><Relationship Id="rId44" Type="http://schemas.openxmlformats.org/officeDocument/2006/relationships/hyperlink" Target="https://www.itu.int/md/S23-EGITRS1-C-0002/e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EGITRS2-C-0013/en" TargetMode="External"/><Relationship Id="rId14" Type="http://schemas.openxmlformats.org/officeDocument/2006/relationships/hyperlink" Target="http://www.itu.int/md/T09-CWG.WCIT12-100125-TD-PLEN-0005/en" TargetMode="External"/><Relationship Id="rId22" Type="http://schemas.openxmlformats.org/officeDocument/2006/relationships/hyperlink" Target="http://www.itu.int/md/T09-CWG.WCIT12-INF-0006/en" TargetMode="External"/><Relationship Id="rId27" Type="http://schemas.openxmlformats.org/officeDocument/2006/relationships/hyperlink" Target="http://www.itu.int/md/T09-CWG.WCIT12-INF-0011/en" TargetMode="External"/><Relationship Id="rId30" Type="http://schemas.openxmlformats.org/officeDocument/2006/relationships/hyperlink" Target="http://www.itu.int/md/T09-CWG.WCIT12-INF-0015/en" TargetMode="External"/><Relationship Id="rId35" Type="http://schemas.openxmlformats.org/officeDocument/2006/relationships/hyperlink" Target="http://www.itu.int/md/T09-CWG.WCIT12-INF-0001/en" TargetMode="External"/><Relationship Id="rId43" Type="http://schemas.openxmlformats.org/officeDocument/2006/relationships/hyperlink" Target="http://www.itu.int/md/T09-CWG.WCIT12-INF-0009/en" TargetMode="External"/><Relationship Id="rId48" Type="http://schemas.openxmlformats.org/officeDocument/2006/relationships/hyperlink" Target="http://www.itu.int/md/T09-CWG.WCIT12-INF-0013/en" TargetMode="External"/><Relationship Id="rId8" Type="http://schemas.openxmlformats.org/officeDocument/2006/relationships/hyperlink" Target="https://www.itu.int/md/S23-CL-C-0121/en"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24-EGITRS2-C-0013/en" TargetMode="External"/><Relationship Id="rId17" Type="http://schemas.openxmlformats.org/officeDocument/2006/relationships/hyperlink" Target="http://www.itu.int/md/T09-CWG.WCIT12-INF-0001/en" TargetMode="External"/><Relationship Id="rId25" Type="http://schemas.openxmlformats.org/officeDocument/2006/relationships/hyperlink" Target="http://www.itu.int/md/T09-CWG.WCIT12-INF-0009/en" TargetMode="External"/><Relationship Id="rId33" Type="http://schemas.openxmlformats.org/officeDocument/2006/relationships/hyperlink" Target="http://www.itu.int/md/T09-CWG.WCIT12-100412-TD-PLEN-0016/en" TargetMode="External"/><Relationship Id="rId38" Type="http://schemas.openxmlformats.org/officeDocument/2006/relationships/hyperlink" Target="http://www.itu.int/md/T09-CWG.WCIT12-INF-0004/en" TargetMode="External"/><Relationship Id="rId46" Type="http://schemas.openxmlformats.org/officeDocument/2006/relationships/hyperlink" Target="http://www.itu.int/md/T09-CWG.WCIT12-INF-0011/en" TargetMode="External"/><Relationship Id="rId20" Type="http://schemas.openxmlformats.org/officeDocument/2006/relationships/hyperlink" Target="http://www.itu.int/md/T09-CWG.WCIT12-INF-0004/en" TargetMode="External"/><Relationship Id="rId41" Type="http://schemas.openxmlformats.org/officeDocument/2006/relationships/hyperlink" Target="http://www.itu.int/md/T09-CWG.WCIT12-INF-0007/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09-CWG.WCIT12-100412-TD-PLEN-0016/en" TargetMode="External"/><Relationship Id="rId23" Type="http://schemas.openxmlformats.org/officeDocument/2006/relationships/hyperlink" Target="http://www.itu.int/md/T09-CWG.WCIT12-INF-0007/en" TargetMode="External"/><Relationship Id="rId28" Type="http://schemas.openxmlformats.org/officeDocument/2006/relationships/hyperlink" Target="http://www.itu.int/md/T09-CWG.WCIT12-INF-0012/en" TargetMode="External"/><Relationship Id="rId36" Type="http://schemas.openxmlformats.org/officeDocument/2006/relationships/hyperlink" Target="http://www.itu.int/md/T09-CWG.WCIT12-INF-0002/en" TargetMode="External"/><Relationship Id="rId49" Type="http://schemas.openxmlformats.org/officeDocument/2006/relationships/hyperlink" Target="http://www.itu.int/md/T09-CWG.WCIT12-INF-0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CDC2-BF68-4229-AF9C-D452AC27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8489</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HILL: Updating certain documents</dc:title>
  <dc:subject>Expert Group on the International Telecommunication Regulations</dc:subject>
  <dc:creator/>
  <cp:keywords>EG-ITRs, C24, Council-24</cp:keywords>
  <dc:description/>
  <cp:lastModifiedBy/>
  <cp:revision>1</cp:revision>
  <dcterms:created xsi:type="dcterms:W3CDTF">2024-07-17T08:09:00Z</dcterms:created>
  <dcterms:modified xsi:type="dcterms:W3CDTF">2024-07-17T08:09:00Z</dcterms:modified>
  <cp:category>Conference document</cp:category>
</cp:coreProperties>
</file>