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B2DF70B" w:rsidR="00AD3606" w:rsidRPr="00A52C84" w:rsidRDefault="00AD3606" w:rsidP="00472BAD">
            <w:pPr>
              <w:tabs>
                <w:tab w:val="left" w:pos="851"/>
              </w:tabs>
              <w:spacing w:before="0" w:line="240" w:lineRule="atLeast"/>
              <w:jc w:val="right"/>
              <w:rPr>
                <w:b/>
                <w:lang w:val="fr-CH"/>
              </w:rPr>
            </w:pPr>
            <w:r w:rsidRPr="00A52C84">
              <w:rPr>
                <w:b/>
                <w:lang w:val="fr-CH"/>
              </w:rPr>
              <w:t xml:space="preserve">Document </w:t>
            </w:r>
            <w:proofErr w:type="spellStart"/>
            <w:r w:rsidR="00A028B5">
              <w:rPr>
                <w:b/>
                <w:lang w:val="fr-CH"/>
              </w:rPr>
              <w:t>EG</w:t>
            </w:r>
            <w:proofErr w:type="spellEnd"/>
            <w:r w:rsidR="00A028B5">
              <w:rPr>
                <w:b/>
                <w:lang w:val="fr-CH"/>
              </w:rPr>
              <w:t>-</w:t>
            </w:r>
            <w:proofErr w:type="spellStart"/>
            <w:r w:rsidR="00A028B5">
              <w:rPr>
                <w:b/>
                <w:lang w:val="fr-CH"/>
              </w:rPr>
              <w:t>ITRs</w:t>
            </w:r>
            <w:proofErr w:type="spellEnd"/>
            <w:r w:rsidR="00A52C84" w:rsidRPr="00A52C84">
              <w:rPr>
                <w:b/>
                <w:lang w:val="fr-CH"/>
              </w:rPr>
              <w:t>-</w:t>
            </w:r>
            <w:r w:rsidR="00E01B6A">
              <w:rPr>
                <w:b/>
                <w:lang w:val="fr-CH"/>
              </w:rPr>
              <w:t>3</w:t>
            </w:r>
            <w:r w:rsidRPr="00A52C84">
              <w:rPr>
                <w:b/>
                <w:lang w:val="fr-CH"/>
              </w:rPr>
              <w:t>/</w:t>
            </w:r>
            <w:r w:rsidR="004D0E38">
              <w:rPr>
                <w:b/>
                <w:lang w:val="fr-CH"/>
              </w:rPr>
              <w:t>10</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683654B0" w:rsidR="00AD3606" w:rsidRPr="00E85629" w:rsidRDefault="004D0E38" w:rsidP="00AD3606">
            <w:pPr>
              <w:tabs>
                <w:tab w:val="left" w:pos="851"/>
              </w:tabs>
              <w:spacing w:before="0"/>
              <w:jc w:val="right"/>
              <w:rPr>
                <w:b/>
              </w:rPr>
            </w:pPr>
            <w:r>
              <w:rPr>
                <w:b/>
              </w:rPr>
              <w:t xml:space="preserve">18 </w:t>
            </w:r>
            <w:r w:rsidR="00E01B6A">
              <w:rPr>
                <w:b/>
              </w:rPr>
              <w:t>September</w:t>
            </w:r>
            <w:r w:rsidR="0083408D">
              <w:rPr>
                <w:b/>
              </w:rPr>
              <w:t xml:space="preserve">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567F29F0" w:rsidR="00AD3606" w:rsidRPr="00E85629" w:rsidRDefault="00E01B6A"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538278B" w:rsidR="00AD3606" w:rsidRPr="009D024E" w:rsidRDefault="004D0E38" w:rsidP="009D024E">
            <w:pPr>
              <w:pStyle w:val="Source"/>
              <w:framePr w:hSpace="0" w:wrap="auto" w:vAnchor="margin" w:hAnchor="text" w:xAlign="left" w:yAlign="inline"/>
            </w:pPr>
            <w:bookmarkStart w:id="8" w:name="dsource" w:colFirst="0" w:colLast="0"/>
            <w:bookmarkEnd w:id="7"/>
            <w:r w:rsidRPr="009D024E">
              <w:t xml:space="preserve">Contribution </w:t>
            </w:r>
            <w:r>
              <w:t>by</w:t>
            </w:r>
            <w:r w:rsidRPr="00842B11">
              <w:t xml:space="preserve"> </w:t>
            </w:r>
            <w:r>
              <w:t>the United States of America</w:t>
            </w:r>
          </w:p>
        </w:tc>
      </w:tr>
      <w:tr w:rsidR="00AD3606" w:rsidRPr="00813E5E" w14:paraId="2340750D" w14:textId="77777777" w:rsidTr="00AD3606">
        <w:trPr>
          <w:cantSplit/>
        </w:trPr>
        <w:tc>
          <w:tcPr>
            <w:tcW w:w="9214" w:type="dxa"/>
            <w:gridSpan w:val="2"/>
            <w:tcMar>
              <w:left w:w="0" w:type="dxa"/>
            </w:tcMar>
          </w:tcPr>
          <w:p w14:paraId="47B91AA8" w14:textId="196F3D32" w:rsidR="00AD3606" w:rsidRPr="009D024E" w:rsidRDefault="004D0E38" w:rsidP="009D024E">
            <w:pPr>
              <w:pStyle w:val="Subtitle"/>
              <w:framePr w:hSpace="0" w:wrap="auto" w:xAlign="left" w:yAlign="inline"/>
            </w:pPr>
            <w:bookmarkStart w:id="9" w:name="dtitle1" w:colFirst="0" w:colLast="0"/>
            <w:bookmarkEnd w:id="8"/>
            <w:r>
              <w:t xml:space="preserve">FURTHER U.S. OBSERVATIONS ON THE CURRENT REVIEW OF THE </w:t>
            </w:r>
            <w:proofErr w:type="spellStart"/>
            <w:r>
              <w:t>ITRs</w:t>
            </w:r>
            <w:proofErr w:type="spellEnd"/>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55A65C52" w:rsidR="004D648B" w:rsidRPr="004D648B" w:rsidRDefault="004D648B" w:rsidP="004D648B">
            <w:pPr>
              <w:spacing w:before="160"/>
              <w:rPr>
                <w:b/>
                <w:bCs/>
                <w:sz w:val="26"/>
                <w:szCs w:val="26"/>
              </w:rPr>
            </w:pPr>
            <w:r w:rsidRPr="004D648B">
              <w:rPr>
                <w:b/>
                <w:bCs/>
                <w:sz w:val="26"/>
                <w:szCs w:val="26"/>
              </w:rPr>
              <w:t>Purpose</w:t>
            </w:r>
          </w:p>
          <w:p w14:paraId="6843A828" w14:textId="77777777" w:rsidR="004D0E38" w:rsidRPr="009D024E" w:rsidRDefault="004D0E38" w:rsidP="004D0E38">
            <w:pPr>
              <w:spacing w:before="160"/>
              <w:rPr>
                <w:szCs w:val="24"/>
              </w:rPr>
            </w:pPr>
            <w:r>
              <w:rPr>
                <w:szCs w:val="24"/>
              </w:rPr>
              <w:t xml:space="preserve">This contribution reiterates longstanding U.S. views on the </w:t>
            </w:r>
            <w:proofErr w:type="spellStart"/>
            <w:r>
              <w:rPr>
                <w:szCs w:val="24"/>
              </w:rPr>
              <w:t>ITRs</w:t>
            </w:r>
            <w:proofErr w:type="spellEnd"/>
            <w:r>
              <w:rPr>
                <w:szCs w:val="24"/>
              </w:rPr>
              <w:t xml:space="preserve">, emphasizes the importance of closely adhering to the </w:t>
            </w:r>
            <w:proofErr w:type="spellStart"/>
            <w:r>
              <w:rPr>
                <w:szCs w:val="24"/>
              </w:rPr>
              <w:t>EG-ITRs</w:t>
            </w:r>
            <w:proofErr w:type="spellEnd"/>
            <w:r>
              <w:rPr>
                <w:szCs w:val="24"/>
              </w:rPr>
              <w:t xml:space="preserve"> Terms of Reference, and comments on the structure and content of the final report.</w:t>
            </w:r>
          </w:p>
          <w:p w14:paraId="16727A07" w14:textId="77777777" w:rsidR="004D648B" w:rsidRPr="004D648B" w:rsidRDefault="004D648B" w:rsidP="004D648B">
            <w:pPr>
              <w:spacing w:before="160"/>
              <w:rPr>
                <w:b/>
                <w:bCs/>
                <w:sz w:val="26"/>
                <w:szCs w:val="26"/>
              </w:rPr>
            </w:pPr>
            <w:r w:rsidRPr="004D648B">
              <w:rPr>
                <w:b/>
                <w:bCs/>
                <w:sz w:val="26"/>
                <w:szCs w:val="26"/>
              </w:rPr>
              <w:t>Action required</w:t>
            </w:r>
          </w:p>
          <w:p w14:paraId="1B34A290" w14:textId="77777777" w:rsidR="004D0E38" w:rsidRPr="004D648B" w:rsidRDefault="004D0E38" w:rsidP="004D0E38">
            <w:pPr>
              <w:spacing w:before="160"/>
              <w:rPr>
                <w:b/>
                <w:bCs/>
                <w:szCs w:val="24"/>
              </w:rPr>
            </w:pPr>
            <w:r w:rsidRPr="00F7413F">
              <w:t xml:space="preserve">The Expert Group on the International Telecommunication Regulations is invited to </w:t>
            </w:r>
            <w:r w:rsidRPr="00F540D2">
              <w:rPr>
                <w:b/>
                <w:bCs/>
              </w:rPr>
              <w:t>consider</w:t>
            </w:r>
            <w:r w:rsidRPr="00F7413F">
              <w:t xml:space="preserve"> this document</w:t>
            </w:r>
            <w:r>
              <w:t xml:space="preserve"> and reflect it in the progress report to Council 2025.</w:t>
            </w:r>
          </w:p>
          <w:p w14:paraId="773AE434" w14:textId="77777777" w:rsidR="004D0E38" w:rsidRDefault="004D0E38">
            <w:r>
              <w:t>_______________</w:t>
            </w:r>
          </w:p>
          <w:p w14:paraId="00DEE14C" w14:textId="234BD5CB" w:rsidR="00AD3606" w:rsidRDefault="004D648B" w:rsidP="004D648B">
            <w:pPr>
              <w:spacing w:before="160"/>
              <w:rPr>
                <w:b/>
                <w:bCs/>
                <w:sz w:val="26"/>
                <w:szCs w:val="26"/>
              </w:rPr>
            </w:pPr>
            <w:r w:rsidRPr="004D648B">
              <w:rPr>
                <w:b/>
                <w:bCs/>
                <w:sz w:val="26"/>
                <w:szCs w:val="26"/>
              </w:rPr>
              <w:t>References</w:t>
            </w:r>
          </w:p>
          <w:p w14:paraId="0175CD6C" w14:textId="14271148" w:rsidR="00AD3606" w:rsidRPr="004D0E38" w:rsidRDefault="004D0E38" w:rsidP="00F16BAB">
            <w:pPr>
              <w:spacing w:after="160"/>
              <w:rPr>
                <w:i/>
                <w:iCs/>
                <w:sz w:val="22"/>
                <w:szCs w:val="22"/>
              </w:rPr>
            </w:pPr>
            <w:r w:rsidRPr="004D0E38">
              <w:rPr>
                <w:i/>
                <w:iCs/>
                <w:sz w:val="22"/>
                <w:szCs w:val="22"/>
              </w:rPr>
              <w:t xml:space="preserve">Documents </w:t>
            </w:r>
            <w:hyperlink r:id="rId11" w:history="1">
              <w:proofErr w:type="spellStart"/>
              <w:r w:rsidRPr="004D0E38">
                <w:rPr>
                  <w:rStyle w:val="Hyperlink"/>
                  <w:i/>
                  <w:iCs/>
                  <w:sz w:val="22"/>
                  <w:szCs w:val="22"/>
                  <w:lang w:val="en-US"/>
                </w:rPr>
                <w:t>EG</w:t>
              </w:r>
              <w:proofErr w:type="spellEnd"/>
              <w:r w:rsidRPr="004D0E38">
                <w:rPr>
                  <w:rStyle w:val="Hyperlink"/>
                  <w:i/>
                  <w:iCs/>
                  <w:sz w:val="22"/>
                  <w:szCs w:val="22"/>
                  <w:lang w:val="en-US"/>
                </w:rPr>
                <w:t>-</w:t>
              </w:r>
              <w:proofErr w:type="spellStart"/>
              <w:r w:rsidRPr="004D0E38">
                <w:rPr>
                  <w:rStyle w:val="Hyperlink"/>
                  <w:i/>
                  <w:iCs/>
                  <w:sz w:val="22"/>
                  <w:szCs w:val="22"/>
                  <w:lang w:val="en-US"/>
                </w:rPr>
                <w:t>ITRs</w:t>
              </w:r>
              <w:proofErr w:type="spellEnd"/>
              <w:r w:rsidRPr="004D0E38">
                <w:rPr>
                  <w:rStyle w:val="Hyperlink"/>
                  <w:i/>
                  <w:iCs/>
                  <w:sz w:val="22"/>
                  <w:szCs w:val="22"/>
                  <w:lang w:val="en-US"/>
                </w:rPr>
                <w:t>-2/19</w:t>
              </w:r>
            </w:hyperlink>
            <w:r w:rsidRPr="004D0E38">
              <w:rPr>
                <w:i/>
                <w:iCs/>
                <w:sz w:val="22"/>
                <w:szCs w:val="22"/>
                <w:lang w:val="en-US"/>
              </w:rPr>
              <w:t xml:space="preserve">; </w:t>
            </w:r>
            <w:hyperlink r:id="rId12" w:history="1">
              <w:proofErr w:type="spellStart"/>
              <w:r w:rsidRPr="004D0E38">
                <w:rPr>
                  <w:rStyle w:val="Hyperlink"/>
                  <w:i/>
                  <w:iCs/>
                  <w:sz w:val="22"/>
                  <w:szCs w:val="22"/>
                </w:rPr>
                <w:t>EG</w:t>
              </w:r>
              <w:proofErr w:type="spellEnd"/>
              <w:r w:rsidRPr="004D0E38">
                <w:rPr>
                  <w:rStyle w:val="Hyperlink"/>
                  <w:i/>
                  <w:iCs/>
                  <w:sz w:val="22"/>
                  <w:szCs w:val="22"/>
                </w:rPr>
                <w:t>-</w:t>
              </w:r>
              <w:proofErr w:type="spellStart"/>
              <w:r w:rsidRPr="004D0E38">
                <w:rPr>
                  <w:rStyle w:val="Hyperlink"/>
                  <w:i/>
                  <w:iCs/>
                  <w:sz w:val="22"/>
                  <w:szCs w:val="22"/>
                </w:rPr>
                <w:t>ITRs</w:t>
              </w:r>
              <w:proofErr w:type="spellEnd"/>
              <w:r w:rsidRPr="004D0E38">
                <w:rPr>
                  <w:rStyle w:val="Hyperlink"/>
                  <w:i/>
                  <w:iCs/>
                  <w:sz w:val="22"/>
                  <w:szCs w:val="22"/>
                </w:rPr>
                <w:t>-2/21</w:t>
              </w:r>
            </w:hyperlink>
            <w:r w:rsidRPr="004D0E38">
              <w:rPr>
                <w:i/>
                <w:iCs/>
                <w:sz w:val="22"/>
                <w:szCs w:val="22"/>
              </w:rPr>
              <w:t xml:space="preserve">; </w:t>
            </w:r>
            <w:hyperlink r:id="rId13" w:history="1">
              <w:proofErr w:type="spellStart"/>
              <w:r w:rsidRPr="004D0E38">
                <w:rPr>
                  <w:rStyle w:val="Hyperlink"/>
                  <w:i/>
                  <w:iCs/>
                  <w:sz w:val="22"/>
                  <w:szCs w:val="22"/>
                </w:rPr>
                <w:t>EG</w:t>
              </w:r>
              <w:proofErr w:type="spellEnd"/>
              <w:r w:rsidRPr="004D0E38">
                <w:rPr>
                  <w:rStyle w:val="Hyperlink"/>
                  <w:i/>
                  <w:iCs/>
                  <w:sz w:val="22"/>
                  <w:szCs w:val="22"/>
                </w:rPr>
                <w:t>-</w:t>
              </w:r>
              <w:proofErr w:type="spellStart"/>
              <w:r w:rsidRPr="004D0E38">
                <w:rPr>
                  <w:rStyle w:val="Hyperlink"/>
                  <w:i/>
                  <w:iCs/>
                  <w:sz w:val="22"/>
                  <w:szCs w:val="22"/>
                </w:rPr>
                <w:t>ITRs</w:t>
              </w:r>
              <w:proofErr w:type="spellEnd"/>
              <w:r w:rsidRPr="004D0E38">
                <w:rPr>
                  <w:rStyle w:val="Hyperlink"/>
                  <w:i/>
                  <w:iCs/>
                  <w:sz w:val="22"/>
                  <w:szCs w:val="22"/>
                </w:rPr>
                <w:t>-3/4</w:t>
              </w:r>
            </w:hyperlink>
            <w:r w:rsidRPr="004D0E38">
              <w:rPr>
                <w:i/>
                <w:iCs/>
                <w:sz w:val="22"/>
                <w:szCs w:val="22"/>
              </w:rPr>
              <w:t>.</w:t>
            </w:r>
          </w:p>
        </w:tc>
      </w:tr>
    </w:tbl>
    <w:p w14:paraId="4CDB8B60" w14:textId="77777777" w:rsidR="00E227F3" w:rsidRPr="004D0E38"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4D0E38"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4D0E38">
        <w:br w:type="page"/>
      </w:r>
    </w:p>
    <w:bookmarkEnd w:id="5"/>
    <w:bookmarkEnd w:id="10"/>
    <w:p w14:paraId="5BA72662" w14:textId="6A0EB1B2" w:rsidR="005649CC" w:rsidRDefault="005649CC" w:rsidP="001A1598">
      <w:pPr>
        <w:spacing w:before="100"/>
        <w:jc w:val="both"/>
      </w:pPr>
      <w:r>
        <w:lastRenderedPageBreak/>
        <w:t>At the previous meeting of this Expert Group, the United States submitted</w:t>
      </w:r>
      <w:r w:rsidR="001A1598">
        <w:t xml:space="preserve"> Document </w:t>
      </w:r>
      <w:proofErr w:type="spellStart"/>
      <w:r w:rsidR="001A6F1C">
        <w:fldChar w:fldCharType="begin"/>
      </w:r>
      <w:r w:rsidR="001A6F1C">
        <w:instrText>HYPERLINK "https://www.itu.int/md/S24-EGITRS2-C-0019/en"</w:instrText>
      </w:r>
      <w:r w:rsidR="001A6F1C">
        <w:fldChar w:fldCharType="separate"/>
      </w:r>
      <w:r w:rsidRPr="001A6F1C">
        <w:rPr>
          <w:rStyle w:val="Hyperlink"/>
        </w:rPr>
        <w:t>EG</w:t>
      </w:r>
      <w:proofErr w:type="spellEnd"/>
      <w:r w:rsidR="001A1598">
        <w:rPr>
          <w:rStyle w:val="Hyperlink"/>
        </w:rPr>
        <w:noBreakHyphen/>
      </w:r>
      <w:proofErr w:type="spellStart"/>
      <w:r w:rsidRPr="001A6F1C">
        <w:rPr>
          <w:rStyle w:val="Hyperlink"/>
        </w:rPr>
        <w:t>ITRs</w:t>
      </w:r>
      <w:proofErr w:type="spellEnd"/>
      <w:r w:rsidR="001A1598">
        <w:rPr>
          <w:rStyle w:val="Hyperlink"/>
        </w:rPr>
        <w:noBreakHyphen/>
      </w:r>
      <w:r w:rsidRPr="001A6F1C">
        <w:rPr>
          <w:rStyle w:val="Hyperlink"/>
        </w:rPr>
        <w:t>2/19</w:t>
      </w:r>
      <w:r w:rsidR="001A6F1C">
        <w:fldChar w:fldCharType="end"/>
      </w:r>
      <w:r>
        <w:t xml:space="preserve">, which reiterates the longstanding U.S. position on the </w:t>
      </w:r>
      <w:proofErr w:type="spellStart"/>
      <w:r>
        <w:t>ITRs</w:t>
      </w:r>
      <w:proofErr w:type="spellEnd"/>
      <w:r>
        <w:t>, organized along the elements of the current review as set out in the Terms of Reference.</w:t>
      </w:r>
      <w:r w:rsidR="001A6F1C">
        <w:t xml:space="preserve"> </w:t>
      </w:r>
      <w:r>
        <w:t xml:space="preserve">In the absence of any compelling evidence to the contrary, we reaffirm the conclusions therein. </w:t>
      </w:r>
    </w:p>
    <w:p w14:paraId="415DA01F" w14:textId="648CF6DF" w:rsidR="005649CC" w:rsidRDefault="005649CC" w:rsidP="001A1598">
      <w:pPr>
        <w:spacing w:before="100"/>
        <w:jc w:val="both"/>
      </w:pPr>
      <w:r>
        <w:t>In particular, as the United States has long noted, there is a fundamental incompatibility with the use of an inflexible treaty instrument to attempt to regulate a dynamic, competitive international telecommunications/ICT marketplace.</w:t>
      </w:r>
      <w:r w:rsidR="001A6F1C">
        <w:t xml:space="preserve"> </w:t>
      </w:r>
      <w:r>
        <w:t>Treaty provisions relating to telecommunications must be flexible enough to keep up with constant changes in technology and the market.</w:t>
      </w:r>
      <w:r w:rsidR="001A6F1C">
        <w:t xml:space="preserve"> </w:t>
      </w:r>
      <w:r>
        <w:t>It remains unclear how a static, sector-specific treaty with limited real-world applicability could ever prove flexible enough to accommodate new trends and emerging issues in the international telecommunications/ICT environment; given the rapid evolution of market and regulatory conditions, any attempts at new or revised treaty provisions (even those “which ‘consist of high-level guiding principles’”) would immediately become outdated.</w:t>
      </w:r>
    </w:p>
    <w:p w14:paraId="58D791E9" w14:textId="0A1BDC93" w:rsidR="005649CC" w:rsidRDefault="005649CC" w:rsidP="001A1598">
      <w:pPr>
        <w:spacing w:before="100"/>
        <w:jc w:val="both"/>
      </w:pPr>
      <w:r>
        <w:t>As this Expert Group continues its work, we emphasize that it is critical to hew closely to the Terms of Reference.</w:t>
      </w:r>
      <w:r w:rsidR="001A6F1C">
        <w:t xml:space="preserve"> </w:t>
      </w:r>
      <w:r>
        <w:t xml:space="preserve">For example, the current review may consider new trends and emerging issues “which may impact the </w:t>
      </w:r>
      <w:proofErr w:type="spellStart"/>
      <w:r>
        <w:t>ITRs</w:t>
      </w:r>
      <w:proofErr w:type="spellEnd"/>
      <w:r>
        <w:t>” (emphasis added).</w:t>
      </w:r>
      <w:r w:rsidR="001A6F1C">
        <w:t xml:space="preserve"> </w:t>
      </w:r>
      <w:r>
        <w:t xml:space="preserve">Although several contributions to the past two meetings have sought to identify such new trends and emerging issues, it remains unclear how these may impact the </w:t>
      </w:r>
      <w:proofErr w:type="spellStart"/>
      <w:r>
        <w:t>ITRs</w:t>
      </w:r>
      <w:proofErr w:type="spellEnd"/>
      <w:r>
        <w:t>.</w:t>
      </w:r>
      <w:r w:rsidR="001A6F1C">
        <w:t xml:space="preserve"> </w:t>
      </w:r>
      <w:r>
        <w:t xml:space="preserve">In the U.S. view, the simple fact that these topics are not included in an ITU treaty-level instrument does not automatically indicate any corresponding impact to the </w:t>
      </w:r>
      <w:proofErr w:type="spellStart"/>
      <w:r>
        <w:t>ITRs</w:t>
      </w:r>
      <w:proofErr w:type="spellEnd"/>
      <w:r>
        <w:t>.</w:t>
      </w:r>
      <w:r w:rsidR="001A6F1C">
        <w:t xml:space="preserve"> </w:t>
      </w:r>
      <w:r>
        <w:t>We welcome additional analysis and explanation.</w:t>
      </w:r>
    </w:p>
    <w:p w14:paraId="2D3501CD" w14:textId="51AE660F" w:rsidR="005649CC" w:rsidRDefault="005649CC" w:rsidP="001A1598">
      <w:pPr>
        <w:spacing w:before="100"/>
        <w:jc w:val="both"/>
      </w:pPr>
      <w:r>
        <w:t xml:space="preserve">Finally, according to the work plan in Annex 1 </w:t>
      </w:r>
      <w:r w:rsidR="001A1598">
        <w:t>to Document</w:t>
      </w:r>
      <w:r>
        <w:t xml:space="preserve"> </w:t>
      </w:r>
      <w:hyperlink r:id="rId14" w:history="1">
        <w:proofErr w:type="spellStart"/>
        <w:r w:rsidRPr="001A6F1C">
          <w:rPr>
            <w:rStyle w:val="Hyperlink"/>
          </w:rPr>
          <w:t>EG</w:t>
        </w:r>
        <w:proofErr w:type="spellEnd"/>
        <w:r w:rsidRPr="001A6F1C">
          <w:rPr>
            <w:rStyle w:val="Hyperlink"/>
          </w:rPr>
          <w:t>-</w:t>
        </w:r>
        <w:proofErr w:type="spellStart"/>
        <w:r w:rsidRPr="001A6F1C">
          <w:rPr>
            <w:rStyle w:val="Hyperlink"/>
          </w:rPr>
          <w:t>ITRs</w:t>
        </w:r>
        <w:proofErr w:type="spellEnd"/>
        <w:r w:rsidRPr="001A6F1C">
          <w:rPr>
            <w:rStyle w:val="Hyperlink"/>
          </w:rPr>
          <w:t>-2/21</w:t>
        </w:r>
      </w:hyperlink>
      <w:r>
        <w:t xml:space="preserve">, the fifth meeting of the </w:t>
      </w:r>
      <w:proofErr w:type="spellStart"/>
      <w:r>
        <w:t>EG</w:t>
      </w:r>
      <w:r w:rsidR="001A6F1C">
        <w:noBreakHyphen/>
      </w:r>
      <w:r>
        <w:t>ITRs</w:t>
      </w:r>
      <w:proofErr w:type="spellEnd"/>
      <w:r>
        <w:t xml:space="preserve"> will begin working on the final report.</w:t>
      </w:r>
      <w:r w:rsidR="001A6F1C">
        <w:t xml:space="preserve"> </w:t>
      </w:r>
      <w:r>
        <w:t>Until then, we do not see a need to maintain a list of inputs as proposed in</w:t>
      </w:r>
      <w:r w:rsidR="001A1598">
        <w:t xml:space="preserve"> Document</w:t>
      </w:r>
      <w:r>
        <w:t xml:space="preserve"> </w:t>
      </w:r>
      <w:hyperlink r:id="rId15" w:history="1">
        <w:proofErr w:type="spellStart"/>
        <w:r w:rsidRPr="001A6F1C">
          <w:rPr>
            <w:rStyle w:val="Hyperlink"/>
          </w:rPr>
          <w:t>EG</w:t>
        </w:r>
        <w:proofErr w:type="spellEnd"/>
        <w:r w:rsidRPr="001A6F1C">
          <w:rPr>
            <w:rStyle w:val="Hyperlink"/>
          </w:rPr>
          <w:t>-</w:t>
        </w:r>
        <w:proofErr w:type="spellStart"/>
        <w:r w:rsidRPr="001A6F1C">
          <w:rPr>
            <w:rStyle w:val="Hyperlink"/>
          </w:rPr>
          <w:t>ITRs</w:t>
        </w:r>
        <w:proofErr w:type="spellEnd"/>
        <w:r w:rsidRPr="001A6F1C">
          <w:rPr>
            <w:rStyle w:val="Hyperlink"/>
          </w:rPr>
          <w:t>-3/4</w:t>
        </w:r>
      </w:hyperlink>
      <w:r>
        <w:t>; this exercise would reopen the drafting and duplicate the content of the prior meeting reports, which already collect and summarize all inputs (the goal of the final report).</w:t>
      </w:r>
      <w:r w:rsidR="001A6F1C">
        <w:t xml:space="preserve"> </w:t>
      </w:r>
      <w:r>
        <w:t>Therefore, we suggest that the final report to Council 2026 follow the same short, simple format as the progress report to Council 2024 (and ostensibly Council 2025), i.e., it consolidates the references/links to all prior meeting reports, which already “reflect all inputs made by Member States and Sector Members, and inputs from the Directors of the Bureaux, whether made in contributions or verbally.”</w:t>
      </w:r>
    </w:p>
    <w:p w14:paraId="17745D37" w14:textId="16A93F6F" w:rsidR="005649CC" w:rsidRDefault="005649CC" w:rsidP="001A1598">
      <w:pPr>
        <w:pStyle w:val="Headingb"/>
        <w:spacing w:before="120"/>
      </w:pPr>
      <w:r>
        <w:t>Summary of the proposal for the meeting report</w:t>
      </w:r>
    </w:p>
    <w:p w14:paraId="44C4FDD2" w14:textId="2C1E3515" w:rsidR="005649CC" w:rsidRDefault="005649CC" w:rsidP="001A1598">
      <w:pPr>
        <w:spacing w:before="100"/>
        <w:jc w:val="both"/>
      </w:pPr>
      <w:r>
        <w:t>This contribution reaffirms the conclusions set out in</w:t>
      </w:r>
      <w:r w:rsidR="001A1598">
        <w:t xml:space="preserve"> Document</w:t>
      </w:r>
      <w:r>
        <w:t xml:space="preserve"> </w:t>
      </w:r>
      <w:hyperlink r:id="rId16" w:history="1">
        <w:proofErr w:type="spellStart"/>
        <w:r w:rsidRPr="001A6F1C">
          <w:rPr>
            <w:rStyle w:val="Hyperlink"/>
          </w:rPr>
          <w:t>EG</w:t>
        </w:r>
        <w:proofErr w:type="spellEnd"/>
        <w:r w:rsidRPr="001A6F1C">
          <w:rPr>
            <w:rStyle w:val="Hyperlink"/>
          </w:rPr>
          <w:t>-</w:t>
        </w:r>
        <w:proofErr w:type="spellStart"/>
        <w:r w:rsidRPr="001A6F1C">
          <w:rPr>
            <w:rStyle w:val="Hyperlink"/>
          </w:rPr>
          <w:t>ITRs</w:t>
        </w:r>
        <w:proofErr w:type="spellEnd"/>
        <w:r w:rsidRPr="001A6F1C">
          <w:rPr>
            <w:rStyle w:val="Hyperlink"/>
          </w:rPr>
          <w:t>-2/19</w:t>
        </w:r>
      </w:hyperlink>
      <w:r>
        <w:t xml:space="preserve">, which reiterates the longstanding U.S. position on the </w:t>
      </w:r>
      <w:proofErr w:type="spellStart"/>
      <w:r>
        <w:t>ITRs</w:t>
      </w:r>
      <w:proofErr w:type="spellEnd"/>
      <w:r>
        <w:t xml:space="preserve">, organized along the elements of the current review as set out in the Terms of Reference. </w:t>
      </w:r>
    </w:p>
    <w:p w14:paraId="3F2A0E65" w14:textId="769038EB" w:rsidR="005649CC" w:rsidRDefault="005649CC" w:rsidP="001A1598">
      <w:pPr>
        <w:spacing w:before="100"/>
        <w:jc w:val="both"/>
      </w:pPr>
      <w:r>
        <w:t xml:space="preserve">It also emphasizes the importance of closely adhering to the </w:t>
      </w:r>
      <w:proofErr w:type="spellStart"/>
      <w:r>
        <w:t>EG-ITRs</w:t>
      </w:r>
      <w:proofErr w:type="spellEnd"/>
      <w:r>
        <w:t xml:space="preserve"> Terms of Reference.</w:t>
      </w:r>
      <w:r w:rsidR="001A6F1C">
        <w:t xml:space="preserve"> </w:t>
      </w:r>
      <w:r>
        <w:t xml:space="preserve">For example, the current review may consider new trends and emerging issues “which may impact the </w:t>
      </w:r>
      <w:proofErr w:type="spellStart"/>
      <w:r>
        <w:t>ITRs</w:t>
      </w:r>
      <w:proofErr w:type="spellEnd"/>
      <w:r>
        <w:t>” (emphasis added).</w:t>
      </w:r>
      <w:r w:rsidR="001A6F1C">
        <w:t xml:space="preserve"> </w:t>
      </w:r>
      <w:r>
        <w:t xml:space="preserve">Although several contributions have sought to identity such new trends and emerging issues, it remains unclear how these may impact the </w:t>
      </w:r>
      <w:proofErr w:type="spellStart"/>
      <w:r>
        <w:t>ITRs</w:t>
      </w:r>
      <w:proofErr w:type="spellEnd"/>
      <w:r>
        <w:t>.</w:t>
      </w:r>
      <w:r w:rsidR="001A6F1C">
        <w:t xml:space="preserve"> </w:t>
      </w:r>
      <w:r>
        <w:t xml:space="preserve">In the U.S. view, the simple fact that these topics are not included in an ITU treaty-level instrument does not automatically indicate any corresponding impact to the </w:t>
      </w:r>
      <w:proofErr w:type="spellStart"/>
      <w:r>
        <w:t>ITRs</w:t>
      </w:r>
      <w:proofErr w:type="spellEnd"/>
      <w:r>
        <w:t>.</w:t>
      </w:r>
      <w:r w:rsidR="001A6F1C">
        <w:t xml:space="preserve"> </w:t>
      </w:r>
    </w:p>
    <w:p w14:paraId="257674B4" w14:textId="2EDB81F0" w:rsidR="00A514A4" w:rsidRDefault="005649CC" w:rsidP="001A1598">
      <w:pPr>
        <w:spacing w:before="100"/>
        <w:jc w:val="both"/>
      </w:pPr>
      <w:r>
        <w:t>Finally, this contribution proposes that the final report to Council 2026 follow the same short, simple format as the progress report to Council 2024, i.e., it consolidates the references/links to all prior meeting reports, which already “reflect all inputs made by Member States and Sector Members, and inputs from the Directors of the Bureaux, whether made in contributions or verbally.”</w:t>
      </w:r>
    </w:p>
    <w:p w14:paraId="354BD845" w14:textId="0B8E76EE" w:rsidR="001A6F1C" w:rsidRPr="004D0E38" w:rsidRDefault="001A6F1C" w:rsidP="001A1598">
      <w:pPr>
        <w:spacing w:before="0"/>
        <w:jc w:val="center"/>
      </w:pPr>
      <w:r>
        <w:t>______________</w:t>
      </w:r>
    </w:p>
    <w:sectPr w:rsidR="001A6F1C" w:rsidRPr="004D0E38"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B0729" w14:textId="77777777" w:rsidR="00687CD9" w:rsidRDefault="00687CD9">
      <w:r>
        <w:separator/>
      </w:r>
    </w:p>
  </w:endnote>
  <w:endnote w:type="continuationSeparator" w:id="0">
    <w:p w14:paraId="3CB39E88" w14:textId="77777777" w:rsidR="00687CD9" w:rsidRDefault="0068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20E78A0" w:rsidR="00EE49E8" w:rsidRDefault="00EE49E8" w:rsidP="00EE49E8">
          <w:pPr>
            <w:pStyle w:val="Header"/>
            <w:jc w:val="left"/>
            <w:rPr>
              <w:noProof/>
            </w:rPr>
          </w:pPr>
        </w:p>
      </w:tc>
      <w:tc>
        <w:tcPr>
          <w:tcW w:w="8261" w:type="dxa"/>
        </w:tcPr>
        <w:p w14:paraId="2D49E76E" w14:textId="01A89CE9" w:rsidR="00EE49E8" w:rsidRPr="00E06FD5" w:rsidRDefault="00EE49E8" w:rsidP="001A1598">
          <w:pPr>
            <w:pStyle w:val="Header"/>
            <w:tabs>
              <w:tab w:val="left" w:pos="6448"/>
              <w:tab w:val="right" w:pos="8505"/>
              <w:tab w:val="right" w:pos="9639"/>
            </w:tabs>
            <w:jc w:val="left"/>
            <w:rPr>
              <w:rFonts w:ascii="Arial" w:hAnsi="Arial" w:cs="Arial"/>
              <w:b/>
              <w:bCs/>
              <w:szCs w:val="18"/>
            </w:rPr>
          </w:pPr>
          <w:r>
            <w:rPr>
              <w:bCs/>
            </w:rPr>
            <w:tab/>
          </w:r>
          <w:proofErr w:type="spellStart"/>
          <w:r w:rsidR="00A028B5">
            <w:rPr>
              <w:bCs/>
            </w:rPr>
            <w:t>EG</w:t>
          </w:r>
          <w:proofErr w:type="spellEnd"/>
          <w:r w:rsidR="00A028B5">
            <w:rPr>
              <w:bCs/>
            </w:rPr>
            <w:t>-</w:t>
          </w:r>
          <w:proofErr w:type="spellStart"/>
          <w:r w:rsidR="00A028B5">
            <w:rPr>
              <w:bCs/>
            </w:rPr>
            <w:t>ITRs</w:t>
          </w:r>
          <w:proofErr w:type="spellEnd"/>
          <w:r w:rsidR="00A52C84">
            <w:rPr>
              <w:bCs/>
            </w:rPr>
            <w:t>-</w:t>
          </w:r>
          <w:r w:rsidR="00F7413F">
            <w:rPr>
              <w:bCs/>
            </w:rPr>
            <w:t>3</w:t>
          </w:r>
          <w:r w:rsidR="00A52C84" w:rsidRPr="00623AE3">
            <w:rPr>
              <w:bCs/>
            </w:rPr>
            <w:t>/</w:t>
          </w:r>
          <w:r w:rsidR="001A1598">
            <w:rPr>
              <w:bCs/>
            </w:rPr>
            <w:t>10</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w:t>
          </w:r>
          <w:proofErr w:type="spellStart"/>
          <w:r w:rsidRPr="00293B38">
            <w:rPr>
              <w:color w:val="0070C0"/>
            </w:rPr>
            <w:t>council.itu.int</w:t>
          </w:r>
          <w:proofErr w:type="spellEnd"/>
          <w:r w:rsidRPr="00293B38">
            <w:rPr>
              <w:color w:val="0070C0"/>
            </w:rPr>
            <w:t>/working-groups</w:t>
          </w:r>
        </w:p>
      </w:tc>
      <w:tc>
        <w:tcPr>
          <w:tcW w:w="6957" w:type="dxa"/>
        </w:tcPr>
        <w:p w14:paraId="3F62E0D8" w14:textId="277A7DD4" w:rsidR="00EE49E8" w:rsidRPr="00E06FD5" w:rsidRDefault="00EE49E8" w:rsidP="001A1598">
          <w:pPr>
            <w:pStyle w:val="Header"/>
            <w:tabs>
              <w:tab w:val="left" w:pos="5144"/>
              <w:tab w:val="right" w:pos="8505"/>
              <w:tab w:val="right" w:pos="9639"/>
            </w:tabs>
            <w:jc w:val="left"/>
            <w:rPr>
              <w:rFonts w:ascii="Arial" w:hAnsi="Arial" w:cs="Arial"/>
              <w:b/>
              <w:bCs/>
              <w:szCs w:val="18"/>
            </w:rPr>
          </w:pPr>
          <w:r>
            <w:rPr>
              <w:bCs/>
            </w:rPr>
            <w:tab/>
          </w:r>
          <w:proofErr w:type="spellStart"/>
          <w:r w:rsidR="00A028B5">
            <w:rPr>
              <w:bCs/>
            </w:rPr>
            <w:t>EG</w:t>
          </w:r>
          <w:proofErr w:type="spellEnd"/>
          <w:r w:rsidR="00A028B5">
            <w:rPr>
              <w:bCs/>
            </w:rPr>
            <w:t>-</w:t>
          </w:r>
          <w:proofErr w:type="spellStart"/>
          <w:r w:rsidR="00A028B5">
            <w:rPr>
              <w:bCs/>
            </w:rPr>
            <w:t>ITRs</w:t>
          </w:r>
          <w:proofErr w:type="spellEnd"/>
          <w:r w:rsidR="00A52C84">
            <w:rPr>
              <w:bCs/>
            </w:rPr>
            <w:t>-</w:t>
          </w:r>
          <w:r w:rsidR="00E01B6A">
            <w:rPr>
              <w:bCs/>
            </w:rPr>
            <w:t>3</w:t>
          </w:r>
          <w:r w:rsidRPr="00623AE3">
            <w:rPr>
              <w:bCs/>
            </w:rPr>
            <w:t>/</w:t>
          </w:r>
          <w:r w:rsidR="001A1598">
            <w:rPr>
              <w:bCs/>
            </w:rPr>
            <w:t>10</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FC126" w14:textId="77777777" w:rsidR="00687CD9" w:rsidRDefault="00687CD9">
      <w:r>
        <w:t>____________________</w:t>
      </w:r>
    </w:p>
  </w:footnote>
  <w:footnote w:type="continuationSeparator" w:id="0">
    <w:p w14:paraId="16E88419" w14:textId="77777777" w:rsidR="00687CD9" w:rsidRDefault="00687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74CCB88"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E01B6A">
                            <w:rPr>
                              <w:sz w:val="20"/>
                            </w:rPr>
                            <w:t>Third</w:t>
                          </w:r>
                          <w:r w:rsidR="00130599" w:rsidRPr="00130599">
                            <w:rPr>
                              <w:sz w:val="20"/>
                            </w:rPr>
                            <w:t xml:space="preserve"> meeting </w:t>
                          </w:r>
                          <w:r w:rsidR="00F7413F">
                            <w:rPr>
                              <w:sz w:val="20"/>
                            </w:rPr>
                            <w:t>–</w:t>
                          </w:r>
                          <w:r w:rsidR="00130599" w:rsidRPr="00130599">
                            <w:rPr>
                              <w:sz w:val="20"/>
                            </w:rPr>
                            <w:t xml:space="preserve"> </w:t>
                          </w:r>
                          <w:r w:rsidR="00F7413F">
                            <w:rPr>
                              <w:sz w:val="20"/>
                            </w:rPr>
                            <w:t>From 30 September to 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774CCB88"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E01B6A">
                      <w:rPr>
                        <w:sz w:val="20"/>
                      </w:rPr>
                      <w:t>Third</w:t>
                    </w:r>
                    <w:r w:rsidR="00130599" w:rsidRPr="00130599">
                      <w:rPr>
                        <w:sz w:val="20"/>
                      </w:rPr>
                      <w:t xml:space="preserve"> meeting </w:t>
                    </w:r>
                    <w:r w:rsidR="00F7413F">
                      <w:rPr>
                        <w:sz w:val="20"/>
                      </w:rPr>
                      <w:t>–</w:t>
                    </w:r>
                    <w:r w:rsidR="00130599" w:rsidRPr="00130599">
                      <w:rPr>
                        <w:sz w:val="20"/>
                      </w:rPr>
                      <w:t xml:space="preserve"> </w:t>
                    </w:r>
                    <w:r w:rsidR="00F7413F">
                      <w:rPr>
                        <w:sz w:val="20"/>
                      </w:rPr>
                      <w:t>From 30 September to 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1598"/>
    <w:rsid w:val="001A6F1C"/>
    <w:rsid w:val="001A7D1D"/>
    <w:rsid w:val="001B51DD"/>
    <w:rsid w:val="001C628E"/>
    <w:rsid w:val="001E0F7B"/>
    <w:rsid w:val="001E0FBE"/>
    <w:rsid w:val="0020555B"/>
    <w:rsid w:val="002119FD"/>
    <w:rsid w:val="002130E0"/>
    <w:rsid w:val="00244F7F"/>
    <w:rsid w:val="00264425"/>
    <w:rsid w:val="00265875"/>
    <w:rsid w:val="0027303B"/>
    <w:rsid w:val="0028109B"/>
    <w:rsid w:val="00293B38"/>
    <w:rsid w:val="002A2188"/>
    <w:rsid w:val="002B1F58"/>
    <w:rsid w:val="002C1C7A"/>
    <w:rsid w:val="002C54E2"/>
    <w:rsid w:val="002C70D3"/>
    <w:rsid w:val="0030160F"/>
    <w:rsid w:val="00320223"/>
    <w:rsid w:val="00322D0D"/>
    <w:rsid w:val="00361465"/>
    <w:rsid w:val="0036415F"/>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B21D6"/>
    <w:rsid w:val="004D0E38"/>
    <w:rsid w:val="004D1851"/>
    <w:rsid w:val="004D599D"/>
    <w:rsid w:val="004D648B"/>
    <w:rsid w:val="004E2EA5"/>
    <w:rsid w:val="004E3AEB"/>
    <w:rsid w:val="0050223C"/>
    <w:rsid w:val="005243FF"/>
    <w:rsid w:val="005649CC"/>
    <w:rsid w:val="00564FBC"/>
    <w:rsid w:val="005800BC"/>
    <w:rsid w:val="00582442"/>
    <w:rsid w:val="005A335D"/>
    <w:rsid w:val="005E2BD5"/>
    <w:rsid w:val="005F3269"/>
    <w:rsid w:val="00623AE3"/>
    <w:rsid w:val="00636853"/>
    <w:rsid w:val="0064737F"/>
    <w:rsid w:val="006535F1"/>
    <w:rsid w:val="0065557D"/>
    <w:rsid w:val="006577BB"/>
    <w:rsid w:val="00660D50"/>
    <w:rsid w:val="00662984"/>
    <w:rsid w:val="006716BB"/>
    <w:rsid w:val="00687CD9"/>
    <w:rsid w:val="006B1859"/>
    <w:rsid w:val="006B6680"/>
    <w:rsid w:val="006B6DCC"/>
    <w:rsid w:val="006C11BB"/>
    <w:rsid w:val="00702DEF"/>
    <w:rsid w:val="00706861"/>
    <w:rsid w:val="00745D44"/>
    <w:rsid w:val="0075051B"/>
    <w:rsid w:val="00775655"/>
    <w:rsid w:val="00793188"/>
    <w:rsid w:val="00794D34"/>
    <w:rsid w:val="00794DFC"/>
    <w:rsid w:val="00813E5E"/>
    <w:rsid w:val="00815106"/>
    <w:rsid w:val="0083408D"/>
    <w:rsid w:val="0083581B"/>
    <w:rsid w:val="00842B11"/>
    <w:rsid w:val="0085074D"/>
    <w:rsid w:val="00863874"/>
    <w:rsid w:val="00864AFF"/>
    <w:rsid w:val="00865925"/>
    <w:rsid w:val="0086704D"/>
    <w:rsid w:val="008A0208"/>
    <w:rsid w:val="008B4A6A"/>
    <w:rsid w:val="008C7E27"/>
    <w:rsid w:val="008F7448"/>
    <w:rsid w:val="0090147A"/>
    <w:rsid w:val="009173EF"/>
    <w:rsid w:val="00932906"/>
    <w:rsid w:val="00961B0B"/>
    <w:rsid w:val="00962D33"/>
    <w:rsid w:val="009B38C3"/>
    <w:rsid w:val="009D024E"/>
    <w:rsid w:val="009E17BD"/>
    <w:rsid w:val="009E485A"/>
    <w:rsid w:val="00A028B5"/>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BF0749"/>
    <w:rsid w:val="00C01189"/>
    <w:rsid w:val="00C374DE"/>
    <w:rsid w:val="00C47AD4"/>
    <w:rsid w:val="00C52D81"/>
    <w:rsid w:val="00C55198"/>
    <w:rsid w:val="00CA6393"/>
    <w:rsid w:val="00CB18FF"/>
    <w:rsid w:val="00CD0C08"/>
    <w:rsid w:val="00CD1CF0"/>
    <w:rsid w:val="00CE03FB"/>
    <w:rsid w:val="00CE433C"/>
    <w:rsid w:val="00CF0161"/>
    <w:rsid w:val="00CF33F3"/>
    <w:rsid w:val="00D06183"/>
    <w:rsid w:val="00D22C42"/>
    <w:rsid w:val="00D464CC"/>
    <w:rsid w:val="00D65041"/>
    <w:rsid w:val="00D670A7"/>
    <w:rsid w:val="00DB00D5"/>
    <w:rsid w:val="00DB1936"/>
    <w:rsid w:val="00DB384B"/>
    <w:rsid w:val="00DF0189"/>
    <w:rsid w:val="00E01B6A"/>
    <w:rsid w:val="00E06FD5"/>
    <w:rsid w:val="00E10E80"/>
    <w:rsid w:val="00E124F0"/>
    <w:rsid w:val="00E227F3"/>
    <w:rsid w:val="00E543AC"/>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13F"/>
    <w:rsid w:val="00F74694"/>
    <w:rsid w:val="00F94A63"/>
    <w:rsid w:val="00FA1C28"/>
    <w:rsid w:val="00FB1279"/>
    <w:rsid w:val="00FB6B76"/>
    <w:rsid w:val="00FB7596"/>
    <w:rsid w:val="00FE4077"/>
    <w:rsid w:val="00FE500D"/>
    <w:rsid w:val="00FE66B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EF5D9A83-03BF-410E-AF6F-F347E043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024E"/>
    <w:rPr>
      <w:color w:val="605E5C"/>
      <w:shd w:val="clear" w:color="auto" w:fill="E1DFDD"/>
    </w:rPr>
  </w:style>
  <w:style w:type="paragraph" w:customStyle="1" w:styleId="Reasons">
    <w:name w:val="Reasons"/>
    <w:basedOn w:val="Normal"/>
    <w:qFormat/>
    <w:rsid w:val="001A6F1C"/>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EGITRS3-C-0004/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24-EGITRS2-C-0021/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4-EGITRS2-C-0019/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EGITRS2-C-0019/en" TargetMode="External"/><Relationship Id="rId5" Type="http://schemas.openxmlformats.org/officeDocument/2006/relationships/numbering" Target="numbering.xml"/><Relationship Id="rId15" Type="http://schemas.openxmlformats.org/officeDocument/2006/relationships/hyperlink" Target="https://www.itu.int/md/S24-EGITRS3-C-0004/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EGITRS2-C-002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98FBE-AF60-4069-953B-60BFAB0B1E39}">
  <ds:schemaRefs>
    <ds:schemaRef ds:uri="http://schemas.microsoft.com/sharepoint/v3/contenttype/forms"/>
  </ds:schemaRefs>
</ds:datastoreItem>
</file>

<file path=customXml/itemProps2.xml><?xml version="1.0" encoding="utf-8"?>
<ds:datastoreItem xmlns:ds="http://schemas.openxmlformats.org/officeDocument/2006/customXml" ds:itemID="{51A4111F-FA2F-4439-8EF0-971DE9F9D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26C42-AAB1-46FF-9821-E0C5094F96C1}">
  <ds:schemaRefs>
    <ds:schemaRef ds:uri="http://schemas.microsoft.com/office/2006/metadata/properties"/>
    <ds:schemaRef ds:uri="http://schemas.microsoft.com/office/infopath/2007/PartnerControls"/>
    <ds:schemaRef ds:uri="085b46e1-7f22-4e81-9ba5-912dc5a5fd9a"/>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676</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U.S. observations on the current review of the ITRs</dc:title>
  <dc:subject>Expert Group on the International Telecommunication Regulations</dc:subject>
  <cp:keywords>EG-ITRs; C2024</cp:keywords>
  <dc:description/>
  <cp:revision>3</cp:revision>
  <dcterms:created xsi:type="dcterms:W3CDTF">2024-09-18T07:50:00Z</dcterms:created>
  <dcterms:modified xsi:type="dcterms:W3CDTF">2024-09-18T07:55:00Z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