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ayout w:type="fixed"/>
        <w:tblLook w:val="04A0" w:firstRow="1" w:lastRow="0" w:firstColumn="1" w:lastColumn="0" w:noHBand="0" w:noVBand="1"/>
      </w:tblPr>
      <w:tblGrid>
        <w:gridCol w:w="1276"/>
        <w:gridCol w:w="3793"/>
        <w:gridCol w:w="284"/>
        <w:gridCol w:w="4536"/>
      </w:tblGrid>
      <w:tr w:rsidR="00EA15B3" w:rsidRPr="007B3DB1" w14:paraId="53E01D2D" w14:textId="77777777" w:rsidTr="00D62BDC">
        <w:tc>
          <w:tcPr>
            <w:tcW w:w="9889" w:type="dxa"/>
            <w:gridSpan w:val="4"/>
            <w:shd w:val="clear" w:color="auto" w:fill="auto"/>
            <w:vAlign w:val="center"/>
          </w:tcPr>
          <w:p w14:paraId="2F4A63B7" w14:textId="77777777" w:rsidR="00EA15B3" w:rsidRPr="007B3DB1" w:rsidRDefault="00D62BDC" w:rsidP="0000168D">
            <w:pPr>
              <w:spacing w:before="0"/>
              <w:jc w:val="left"/>
              <w:rPr>
                <w:rFonts w:cs="Times New Roman Bold"/>
                <w:b/>
                <w:bCs/>
                <w:color w:val="808080"/>
                <w:sz w:val="28"/>
                <w:szCs w:val="28"/>
                <w:lang w:val="en-GB"/>
              </w:rPr>
            </w:pPr>
            <w:bookmarkStart w:id="0" w:name="CurrentLocation"/>
            <w:bookmarkStart w:id="1" w:name="Logo"/>
            <w:bookmarkStart w:id="2" w:name="Origine"/>
            <w:bookmarkEnd w:id="0"/>
            <w:bookmarkEnd w:id="1"/>
            <w:bookmarkEnd w:id="2"/>
            <w:r>
              <w:rPr>
                <w:rFonts w:cs="Times New Roman Bold"/>
                <w:b/>
                <w:bCs/>
                <w:color w:val="808080"/>
                <w:sz w:val="28"/>
                <w:szCs w:val="20"/>
              </w:rPr>
              <w:t>General Secretariat</w:t>
            </w:r>
            <w:r w:rsidRPr="00815837">
              <w:rPr>
                <w:rFonts w:cs="Times New Roman Bold"/>
                <w:b/>
                <w:bCs/>
                <w:color w:val="808080"/>
                <w:sz w:val="28"/>
                <w:szCs w:val="20"/>
                <w:lang w:val="en-GB"/>
              </w:rPr>
              <w:t xml:space="preserve"> (SG)</w:t>
            </w:r>
          </w:p>
        </w:tc>
      </w:tr>
      <w:tr w:rsidR="008B581C" w:rsidRPr="007B3DB1" w14:paraId="67163C4D" w14:textId="77777777" w:rsidTr="000D5CB1">
        <w:tc>
          <w:tcPr>
            <w:tcW w:w="9889" w:type="dxa"/>
            <w:gridSpan w:val="4"/>
            <w:shd w:val="clear" w:color="auto" w:fill="auto"/>
          </w:tcPr>
          <w:p w14:paraId="66CD2520" w14:textId="77777777" w:rsidR="008B581C" w:rsidRPr="007B3DB1" w:rsidRDefault="008B581C" w:rsidP="000D5CB1">
            <w:pPr>
              <w:spacing w:before="0"/>
              <w:jc w:val="left"/>
              <w:rPr>
                <w:lang w:val="en-GB"/>
              </w:rPr>
            </w:pPr>
          </w:p>
        </w:tc>
      </w:tr>
      <w:tr w:rsidR="00651777" w:rsidRPr="007B3DB1" w14:paraId="5D5AD30E" w14:textId="77777777" w:rsidTr="00651777">
        <w:tc>
          <w:tcPr>
            <w:tcW w:w="5353" w:type="dxa"/>
            <w:gridSpan w:val="3"/>
            <w:shd w:val="clear" w:color="auto" w:fill="auto"/>
          </w:tcPr>
          <w:p w14:paraId="052A1738" w14:textId="77777777" w:rsidR="00651777" w:rsidRPr="007B3DB1" w:rsidRDefault="00651777" w:rsidP="0000168D">
            <w:pPr>
              <w:spacing w:before="120"/>
              <w:jc w:val="left"/>
              <w:rPr>
                <w:lang w:val="en-GB"/>
              </w:rPr>
            </w:pPr>
          </w:p>
        </w:tc>
        <w:tc>
          <w:tcPr>
            <w:tcW w:w="4536" w:type="dxa"/>
            <w:shd w:val="clear" w:color="auto" w:fill="auto"/>
          </w:tcPr>
          <w:p w14:paraId="3AC97358" w14:textId="210E357C" w:rsidR="00651777" w:rsidRPr="007B3DB1" w:rsidRDefault="00651777" w:rsidP="0000168D">
            <w:pPr>
              <w:spacing w:before="120"/>
              <w:rPr>
                <w:lang w:val="en-GB"/>
              </w:rPr>
            </w:pPr>
            <w:r w:rsidRPr="007B3DB1">
              <w:rPr>
                <w:lang w:val="en-GB"/>
              </w:rPr>
              <w:t>Geneva,</w:t>
            </w:r>
            <w:r w:rsidR="00DE6A53">
              <w:rPr>
                <w:lang w:val="en-GB"/>
              </w:rPr>
              <w:t xml:space="preserve"> </w:t>
            </w:r>
            <w:sdt>
              <w:sdtPr>
                <w:rPr>
                  <w:rFonts w:cs="Arial"/>
                  <w:lang w:val="en-GB"/>
                </w:rPr>
                <w:alias w:val="Date"/>
                <w:tag w:val="Date"/>
                <w:id w:val="20922293"/>
                <w:lock w:val="sdtLocked"/>
                <w:placeholder>
                  <w:docPart w:val="831705CDD49044E0AE2C9D9CB691DEEA"/>
                </w:placeholder>
                <w:date w:fullDate="2024-06-24T00:00:00Z">
                  <w:dateFormat w:val="d MMMM yyyy"/>
                  <w:lid w:val="en-US"/>
                  <w:storeMappedDataAs w:val="date"/>
                  <w:calendar w:val="gregorian"/>
                </w:date>
              </w:sdtPr>
              <w:sdtContent>
                <w:r w:rsidR="004C6B15">
                  <w:rPr>
                    <w:rFonts w:cs="Arial"/>
                  </w:rPr>
                  <w:t>24 June 2024</w:t>
                </w:r>
              </w:sdtContent>
            </w:sdt>
          </w:p>
        </w:tc>
      </w:tr>
      <w:tr w:rsidR="00155CA8" w:rsidRPr="006075DA" w14:paraId="40D51343" w14:textId="77777777" w:rsidTr="00D62BDC">
        <w:tc>
          <w:tcPr>
            <w:tcW w:w="1276" w:type="dxa"/>
            <w:shd w:val="clear" w:color="auto" w:fill="auto"/>
          </w:tcPr>
          <w:p w14:paraId="11B55C27" w14:textId="77777777" w:rsidR="00155CA8" w:rsidRPr="007B3DB1" w:rsidRDefault="00155CA8" w:rsidP="00651777">
            <w:pPr>
              <w:spacing w:before="0"/>
              <w:jc w:val="left"/>
              <w:rPr>
                <w:lang w:val="en-GB"/>
              </w:rPr>
            </w:pPr>
            <w:r>
              <w:rPr>
                <w:lang w:val="en-GB"/>
              </w:rPr>
              <w:t xml:space="preserve">Ref: </w:t>
            </w:r>
          </w:p>
        </w:tc>
        <w:tc>
          <w:tcPr>
            <w:tcW w:w="3793" w:type="dxa"/>
            <w:shd w:val="clear" w:color="auto" w:fill="auto"/>
          </w:tcPr>
          <w:p w14:paraId="759D0700" w14:textId="22B33DA8" w:rsidR="00155CA8" w:rsidRPr="00FB6349" w:rsidRDefault="00FB6349" w:rsidP="004C4BC0">
            <w:pPr>
              <w:spacing w:before="0"/>
              <w:jc w:val="left"/>
              <w:rPr>
                <w:b/>
                <w:bCs/>
                <w:lang w:val="en-GB"/>
              </w:rPr>
            </w:pPr>
            <w:bookmarkStart w:id="3" w:name="Contact"/>
            <w:bookmarkEnd w:id="3"/>
            <w:r w:rsidRPr="00FB6349">
              <w:rPr>
                <w:b/>
                <w:bCs/>
              </w:rPr>
              <w:t>CL-2</w:t>
            </w:r>
            <w:r w:rsidR="00AA3EE0">
              <w:rPr>
                <w:b/>
                <w:bCs/>
              </w:rPr>
              <w:t>4</w:t>
            </w:r>
            <w:r w:rsidRPr="00FB6349">
              <w:rPr>
                <w:b/>
                <w:bCs/>
              </w:rPr>
              <w:t>/</w:t>
            </w:r>
            <w:r w:rsidR="00227082">
              <w:rPr>
                <w:b/>
                <w:bCs/>
              </w:rPr>
              <w:t>38</w:t>
            </w:r>
          </w:p>
        </w:tc>
        <w:tc>
          <w:tcPr>
            <w:tcW w:w="284" w:type="dxa"/>
            <w:shd w:val="clear" w:color="auto" w:fill="auto"/>
          </w:tcPr>
          <w:p w14:paraId="24228C1A" w14:textId="77777777" w:rsidR="00155CA8" w:rsidRPr="007B3DB1" w:rsidRDefault="00155CA8" w:rsidP="00651777">
            <w:pPr>
              <w:spacing w:before="0"/>
              <w:rPr>
                <w:lang w:val="en-GB"/>
              </w:rPr>
            </w:pPr>
          </w:p>
        </w:tc>
        <w:tc>
          <w:tcPr>
            <w:tcW w:w="4536" w:type="dxa"/>
            <w:vMerge w:val="restart"/>
            <w:shd w:val="clear" w:color="auto" w:fill="auto"/>
            <w:vAlign w:val="center"/>
          </w:tcPr>
          <w:p w14:paraId="5C659A16" w14:textId="643449BE" w:rsidR="00155CA8" w:rsidRPr="006075DA" w:rsidRDefault="00155CA8" w:rsidP="00D62BDC">
            <w:pPr>
              <w:spacing w:before="0"/>
              <w:jc w:val="left"/>
            </w:pPr>
            <w:r w:rsidRPr="006075DA">
              <w:t>To Member States of ITU</w:t>
            </w:r>
          </w:p>
        </w:tc>
      </w:tr>
      <w:tr w:rsidR="00594C0C" w:rsidRPr="006075DA" w14:paraId="678B800D" w14:textId="77777777" w:rsidTr="00651777">
        <w:tc>
          <w:tcPr>
            <w:tcW w:w="1276" w:type="dxa"/>
            <w:shd w:val="clear" w:color="auto" w:fill="auto"/>
          </w:tcPr>
          <w:p w14:paraId="4950BFF0" w14:textId="77777777" w:rsidR="00594C0C" w:rsidRPr="007B3DB1" w:rsidRDefault="00594C0C" w:rsidP="00594C0C">
            <w:pPr>
              <w:spacing w:before="0"/>
              <w:jc w:val="left"/>
              <w:rPr>
                <w:lang w:val="en-GB"/>
              </w:rPr>
            </w:pPr>
            <w:r w:rsidRPr="007B3DB1">
              <w:rPr>
                <w:lang w:val="en-GB"/>
              </w:rPr>
              <w:t>Contact:</w:t>
            </w:r>
          </w:p>
        </w:tc>
        <w:tc>
          <w:tcPr>
            <w:tcW w:w="3793" w:type="dxa"/>
            <w:shd w:val="clear" w:color="auto" w:fill="auto"/>
          </w:tcPr>
          <w:p w14:paraId="39E048C8" w14:textId="04813B08" w:rsidR="00594C0C" w:rsidRPr="007B3DB1" w:rsidRDefault="00594C0C" w:rsidP="00594C0C">
            <w:pPr>
              <w:spacing w:before="0"/>
              <w:jc w:val="left"/>
              <w:rPr>
                <w:lang w:val="en-GB"/>
              </w:rPr>
            </w:pPr>
            <w:r>
              <w:rPr>
                <w:lang w:val="en-GB"/>
              </w:rPr>
              <w:t>Ms Béatrice Pluchon</w:t>
            </w:r>
          </w:p>
        </w:tc>
        <w:tc>
          <w:tcPr>
            <w:tcW w:w="284" w:type="dxa"/>
            <w:shd w:val="clear" w:color="auto" w:fill="auto"/>
          </w:tcPr>
          <w:p w14:paraId="6C54FE64" w14:textId="77777777" w:rsidR="00594C0C" w:rsidRPr="007B3DB1" w:rsidRDefault="00594C0C" w:rsidP="00594C0C">
            <w:pPr>
              <w:spacing w:before="0"/>
              <w:rPr>
                <w:lang w:val="en-GB"/>
              </w:rPr>
            </w:pPr>
          </w:p>
        </w:tc>
        <w:tc>
          <w:tcPr>
            <w:tcW w:w="4536" w:type="dxa"/>
            <w:vMerge/>
            <w:shd w:val="clear" w:color="auto" w:fill="auto"/>
          </w:tcPr>
          <w:p w14:paraId="13B02516" w14:textId="77777777" w:rsidR="00594C0C" w:rsidRPr="006075DA" w:rsidRDefault="00594C0C" w:rsidP="00594C0C">
            <w:pPr>
              <w:spacing w:before="0"/>
              <w:jc w:val="left"/>
            </w:pPr>
          </w:p>
        </w:tc>
      </w:tr>
      <w:tr w:rsidR="00594C0C" w:rsidRPr="00F56CAF" w14:paraId="5BDA912D" w14:textId="77777777" w:rsidTr="00197324">
        <w:tc>
          <w:tcPr>
            <w:tcW w:w="1276" w:type="dxa"/>
            <w:shd w:val="clear" w:color="auto" w:fill="auto"/>
          </w:tcPr>
          <w:p w14:paraId="36615109" w14:textId="025D254C" w:rsidR="00594C0C" w:rsidRPr="00155CA8" w:rsidRDefault="00594C0C" w:rsidP="00594C0C">
            <w:pPr>
              <w:spacing w:before="0"/>
              <w:jc w:val="left"/>
            </w:pPr>
            <w:r>
              <w:t>Telephone:</w:t>
            </w:r>
          </w:p>
        </w:tc>
        <w:tc>
          <w:tcPr>
            <w:tcW w:w="3793" w:type="dxa"/>
            <w:shd w:val="clear" w:color="auto" w:fill="auto"/>
          </w:tcPr>
          <w:p w14:paraId="4E6E9624" w14:textId="6CC247AB" w:rsidR="00594C0C" w:rsidRDefault="00594C0C" w:rsidP="00594C0C">
            <w:pPr>
              <w:spacing w:before="0"/>
              <w:jc w:val="left"/>
            </w:pPr>
            <w:r w:rsidRPr="00155CA8">
              <w:t xml:space="preserve">+41 22 730 </w:t>
            </w:r>
            <w:r>
              <w:t>6266</w:t>
            </w:r>
          </w:p>
        </w:tc>
        <w:tc>
          <w:tcPr>
            <w:tcW w:w="284" w:type="dxa"/>
            <w:shd w:val="clear" w:color="auto" w:fill="auto"/>
          </w:tcPr>
          <w:p w14:paraId="0382D50C" w14:textId="77777777" w:rsidR="00594C0C" w:rsidRPr="00155CA8" w:rsidRDefault="00594C0C" w:rsidP="00594C0C">
            <w:pPr>
              <w:spacing w:before="0"/>
            </w:pPr>
          </w:p>
        </w:tc>
        <w:tc>
          <w:tcPr>
            <w:tcW w:w="4536" w:type="dxa"/>
            <w:vMerge/>
            <w:shd w:val="clear" w:color="auto" w:fill="auto"/>
          </w:tcPr>
          <w:p w14:paraId="4D33EB66" w14:textId="77777777" w:rsidR="00594C0C" w:rsidRPr="00155CA8" w:rsidRDefault="00594C0C" w:rsidP="00594C0C">
            <w:pPr>
              <w:spacing w:before="0"/>
            </w:pPr>
          </w:p>
        </w:tc>
      </w:tr>
      <w:tr w:rsidR="00594C0C" w:rsidRPr="00F56CAF" w14:paraId="5FB31269" w14:textId="77777777" w:rsidTr="00197324">
        <w:tc>
          <w:tcPr>
            <w:tcW w:w="1276" w:type="dxa"/>
            <w:shd w:val="clear" w:color="auto" w:fill="auto"/>
          </w:tcPr>
          <w:p w14:paraId="14995E30" w14:textId="77777777" w:rsidR="00594C0C" w:rsidRPr="00F56CAF" w:rsidRDefault="00594C0C" w:rsidP="00594C0C">
            <w:pPr>
              <w:spacing w:before="0"/>
              <w:jc w:val="left"/>
              <w:rPr>
                <w:lang w:val="fr-CH"/>
              </w:rPr>
            </w:pPr>
            <w:r w:rsidRPr="00155CA8">
              <w:t>E-mail</w:t>
            </w:r>
            <w:r w:rsidRPr="00F56CAF">
              <w:rPr>
                <w:lang w:val="fr-CH"/>
              </w:rPr>
              <w:t>:</w:t>
            </w:r>
          </w:p>
        </w:tc>
        <w:tc>
          <w:tcPr>
            <w:tcW w:w="3793" w:type="dxa"/>
            <w:shd w:val="clear" w:color="auto" w:fill="auto"/>
          </w:tcPr>
          <w:p w14:paraId="5ABF16D3" w14:textId="4CE50E56" w:rsidR="00594C0C" w:rsidRPr="007B3DB1" w:rsidRDefault="00000000" w:rsidP="00594C0C">
            <w:pPr>
              <w:spacing w:before="0"/>
              <w:jc w:val="left"/>
              <w:rPr>
                <w:lang w:val="en-GB"/>
              </w:rPr>
            </w:pPr>
            <w:hyperlink r:id="rId11" w:history="1">
              <w:r w:rsidR="00594C0C" w:rsidRPr="00E02765">
                <w:rPr>
                  <w:rStyle w:val="Hyperlink"/>
                  <w:lang w:val="fr-CH"/>
                </w:rPr>
                <w:t>memberstates@itu.int</w:t>
              </w:r>
            </w:hyperlink>
          </w:p>
        </w:tc>
        <w:tc>
          <w:tcPr>
            <w:tcW w:w="284" w:type="dxa"/>
            <w:shd w:val="clear" w:color="auto" w:fill="auto"/>
          </w:tcPr>
          <w:p w14:paraId="6FDB901D" w14:textId="77777777" w:rsidR="00594C0C" w:rsidRPr="00155CA8" w:rsidRDefault="00594C0C" w:rsidP="00594C0C">
            <w:pPr>
              <w:spacing w:before="0"/>
            </w:pPr>
          </w:p>
        </w:tc>
        <w:tc>
          <w:tcPr>
            <w:tcW w:w="4536" w:type="dxa"/>
            <w:vMerge/>
            <w:shd w:val="clear" w:color="auto" w:fill="auto"/>
          </w:tcPr>
          <w:p w14:paraId="5534A537" w14:textId="77777777" w:rsidR="00594C0C" w:rsidRPr="00155CA8" w:rsidRDefault="00594C0C" w:rsidP="00594C0C">
            <w:pPr>
              <w:spacing w:before="0"/>
            </w:pPr>
          </w:p>
        </w:tc>
      </w:tr>
      <w:tr w:rsidR="00594C0C" w:rsidRPr="00F56CAF" w14:paraId="1F066DFA" w14:textId="77777777" w:rsidTr="00197324">
        <w:tc>
          <w:tcPr>
            <w:tcW w:w="1276" w:type="dxa"/>
            <w:shd w:val="clear" w:color="auto" w:fill="auto"/>
          </w:tcPr>
          <w:p w14:paraId="6C7E2161" w14:textId="77777777" w:rsidR="00594C0C" w:rsidRDefault="00594C0C" w:rsidP="00594C0C">
            <w:pPr>
              <w:spacing w:before="0"/>
              <w:jc w:val="left"/>
            </w:pPr>
          </w:p>
          <w:p w14:paraId="7C1DBC34" w14:textId="77777777" w:rsidR="0072446C" w:rsidRPr="00155CA8" w:rsidRDefault="0072446C" w:rsidP="00594C0C">
            <w:pPr>
              <w:spacing w:before="0"/>
              <w:jc w:val="left"/>
            </w:pPr>
          </w:p>
        </w:tc>
        <w:tc>
          <w:tcPr>
            <w:tcW w:w="3793" w:type="dxa"/>
            <w:shd w:val="clear" w:color="auto" w:fill="auto"/>
          </w:tcPr>
          <w:p w14:paraId="1BCA0736" w14:textId="77777777" w:rsidR="00594C0C" w:rsidRDefault="00594C0C" w:rsidP="00594C0C">
            <w:pPr>
              <w:spacing w:before="0"/>
              <w:jc w:val="left"/>
            </w:pPr>
          </w:p>
        </w:tc>
        <w:tc>
          <w:tcPr>
            <w:tcW w:w="284" w:type="dxa"/>
            <w:shd w:val="clear" w:color="auto" w:fill="auto"/>
          </w:tcPr>
          <w:p w14:paraId="308360E2" w14:textId="77777777" w:rsidR="00594C0C" w:rsidRPr="00155CA8" w:rsidRDefault="00594C0C" w:rsidP="00594C0C">
            <w:pPr>
              <w:spacing w:before="0"/>
            </w:pPr>
          </w:p>
        </w:tc>
        <w:tc>
          <w:tcPr>
            <w:tcW w:w="4536" w:type="dxa"/>
            <w:shd w:val="clear" w:color="auto" w:fill="auto"/>
          </w:tcPr>
          <w:p w14:paraId="3B2895C5" w14:textId="77777777" w:rsidR="00594C0C" w:rsidRPr="00155CA8" w:rsidRDefault="00594C0C" w:rsidP="00594C0C">
            <w:pPr>
              <w:spacing w:before="0"/>
            </w:pPr>
          </w:p>
        </w:tc>
      </w:tr>
      <w:tr w:rsidR="00594C0C" w:rsidRPr="007B3DB1" w14:paraId="299080E5" w14:textId="77777777" w:rsidTr="0042318E">
        <w:trPr>
          <w:trHeight w:val="271"/>
        </w:trPr>
        <w:tc>
          <w:tcPr>
            <w:tcW w:w="1276" w:type="dxa"/>
            <w:shd w:val="clear" w:color="auto" w:fill="auto"/>
          </w:tcPr>
          <w:p w14:paraId="6486529E" w14:textId="77777777" w:rsidR="00594C0C" w:rsidRPr="007B3DB1" w:rsidRDefault="00594C0C" w:rsidP="0000168D">
            <w:pPr>
              <w:spacing w:before="120"/>
              <w:jc w:val="left"/>
              <w:rPr>
                <w:lang w:val="en-GB"/>
              </w:rPr>
            </w:pPr>
            <w:r w:rsidRPr="007B3DB1">
              <w:rPr>
                <w:lang w:val="en-GB"/>
              </w:rPr>
              <w:t>Subject:</w:t>
            </w:r>
          </w:p>
        </w:tc>
        <w:tc>
          <w:tcPr>
            <w:tcW w:w="8613" w:type="dxa"/>
            <w:gridSpan w:val="3"/>
            <w:shd w:val="clear" w:color="auto" w:fill="auto"/>
          </w:tcPr>
          <w:p w14:paraId="101C525D" w14:textId="1985FA81" w:rsidR="00594C0C" w:rsidRPr="00020CD9" w:rsidRDefault="008D22CC" w:rsidP="00945465">
            <w:pPr>
              <w:spacing w:before="120"/>
              <w:jc w:val="left"/>
              <w:rPr>
                <w:b/>
                <w:bCs/>
                <w:sz w:val="24"/>
                <w:szCs w:val="24"/>
                <w:lang w:val="en-GB"/>
              </w:rPr>
            </w:pPr>
            <w:r w:rsidRPr="00020CD9">
              <w:rPr>
                <w:b/>
                <w:bCs/>
                <w:sz w:val="24"/>
                <w:szCs w:val="24"/>
              </w:rPr>
              <w:t>Me</w:t>
            </w:r>
            <w:r w:rsidRPr="00020CD9">
              <w:rPr>
                <w:rFonts w:ascii="Calibri Bold" w:hAnsi="Calibri Bold"/>
                <w:b/>
                <w:bCs/>
                <w:spacing w:val="-4"/>
                <w:sz w:val="24"/>
                <w:szCs w:val="24"/>
              </w:rPr>
              <w:t>mber States</w:t>
            </w:r>
            <w:r w:rsidR="00A552F9">
              <w:rPr>
                <w:rFonts w:ascii="Calibri Bold" w:hAnsi="Calibri Bold"/>
                <w:b/>
                <w:bCs/>
                <w:spacing w:val="-4"/>
                <w:sz w:val="24"/>
                <w:szCs w:val="24"/>
              </w:rPr>
              <w:t>’</w:t>
            </w:r>
            <w:r w:rsidRPr="00020CD9">
              <w:rPr>
                <w:rFonts w:ascii="Calibri Bold" w:hAnsi="Calibri Bold"/>
                <w:b/>
                <w:bCs/>
                <w:spacing w:val="-4"/>
                <w:sz w:val="24"/>
                <w:szCs w:val="24"/>
              </w:rPr>
              <w:t xml:space="preserve"> consultation </w:t>
            </w:r>
            <w:r w:rsidR="000141A5" w:rsidRPr="00020CD9">
              <w:rPr>
                <w:rFonts w:ascii="Calibri Bold" w:hAnsi="Calibri Bold"/>
                <w:b/>
                <w:bCs/>
                <w:spacing w:val="-4"/>
                <w:sz w:val="24"/>
                <w:szCs w:val="24"/>
              </w:rPr>
              <w:t>on the precise place</w:t>
            </w:r>
            <w:r w:rsidR="00C36BC2" w:rsidRPr="00020CD9">
              <w:rPr>
                <w:rFonts w:ascii="Calibri Bold" w:hAnsi="Calibri Bold"/>
                <w:b/>
                <w:bCs/>
                <w:spacing w:val="-4"/>
                <w:sz w:val="24"/>
                <w:szCs w:val="24"/>
              </w:rPr>
              <w:t xml:space="preserve">, </w:t>
            </w:r>
            <w:r w:rsidR="000141A5" w:rsidRPr="00020CD9">
              <w:rPr>
                <w:rFonts w:ascii="Calibri Bold" w:hAnsi="Calibri Bold"/>
                <w:b/>
                <w:bCs/>
                <w:spacing w:val="-4"/>
                <w:sz w:val="24"/>
                <w:szCs w:val="24"/>
              </w:rPr>
              <w:t>exact dates</w:t>
            </w:r>
            <w:r w:rsidR="00882EF7" w:rsidRPr="00020CD9">
              <w:rPr>
                <w:rFonts w:ascii="Calibri Bold" w:hAnsi="Calibri Bold"/>
                <w:b/>
                <w:bCs/>
                <w:spacing w:val="-4"/>
                <w:sz w:val="24"/>
                <w:szCs w:val="24"/>
              </w:rPr>
              <w:t>,</w:t>
            </w:r>
            <w:r w:rsidR="000141A5" w:rsidRPr="00020CD9">
              <w:rPr>
                <w:rFonts w:ascii="Calibri Bold" w:hAnsi="Calibri Bold"/>
                <w:b/>
                <w:bCs/>
                <w:spacing w:val="-4"/>
                <w:sz w:val="24"/>
                <w:szCs w:val="24"/>
              </w:rPr>
              <w:t xml:space="preserve"> </w:t>
            </w:r>
            <w:r w:rsidR="00C36BC2" w:rsidRPr="00020CD9">
              <w:rPr>
                <w:rFonts w:ascii="Calibri Bold" w:hAnsi="Calibri Bold"/>
                <w:b/>
                <w:bCs/>
                <w:spacing w:val="-4"/>
                <w:sz w:val="24"/>
                <w:szCs w:val="24"/>
              </w:rPr>
              <w:t xml:space="preserve">and </w:t>
            </w:r>
            <w:r w:rsidR="0099539C">
              <w:rPr>
                <w:rFonts w:ascii="Calibri Bold" w:hAnsi="Calibri Bold"/>
                <w:b/>
                <w:bCs/>
                <w:spacing w:val="-4"/>
                <w:sz w:val="24"/>
                <w:szCs w:val="24"/>
              </w:rPr>
              <w:t xml:space="preserve">draft </w:t>
            </w:r>
            <w:r w:rsidR="00C36BC2" w:rsidRPr="00020CD9">
              <w:rPr>
                <w:rFonts w:ascii="Calibri Bold" w:hAnsi="Calibri Bold"/>
                <w:b/>
                <w:bCs/>
                <w:spacing w:val="-4"/>
                <w:sz w:val="24"/>
                <w:szCs w:val="24"/>
              </w:rPr>
              <w:t xml:space="preserve">Agenda of </w:t>
            </w:r>
            <w:r w:rsidR="00C909B8" w:rsidRPr="00020CD9">
              <w:rPr>
                <w:rFonts w:ascii="Calibri Bold" w:hAnsi="Calibri Bold"/>
                <w:b/>
                <w:bCs/>
                <w:spacing w:val="-4"/>
                <w:sz w:val="24"/>
                <w:szCs w:val="24"/>
              </w:rPr>
              <w:t>WTDC-</w:t>
            </w:r>
            <w:r w:rsidR="00CD4ECD" w:rsidRPr="00020CD9">
              <w:rPr>
                <w:rFonts w:ascii="Calibri Bold" w:hAnsi="Calibri Bold"/>
                <w:b/>
                <w:bCs/>
                <w:spacing w:val="-4"/>
                <w:sz w:val="24"/>
                <w:szCs w:val="24"/>
              </w:rPr>
              <w:t>25</w:t>
            </w:r>
            <w:r w:rsidR="00A552F9">
              <w:rPr>
                <w:rFonts w:ascii="Calibri Bold" w:hAnsi="Calibri Bold"/>
                <w:b/>
                <w:bCs/>
                <w:spacing w:val="-4"/>
                <w:sz w:val="24"/>
                <w:szCs w:val="24"/>
              </w:rPr>
              <w:t>;</w:t>
            </w:r>
            <w:r w:rsidR="00CD4ECD" w:rsidRPr="00020CD9">
              <w:rPr>
                <w:rFonts w:ascii="Calibri Bold" w:hAnsi="Calibri Bold"/>
                <w:b/>
                <w:bCs/>
                <w:spacing w:val="-4"/>
                <w:sz w:val="24"/>
                <w:szCs w:val="24"/>
              </w:rPr>
              <w:t xml:space="preserve"> </w:t>
            </w:r>
            <w:r w:rsidR="002D7AE9" w:rsidRPr="00020CD9">
              <w:rPr>
                <w:rFonts w:ascii="Calibri Bold" w:hAnsi="Calibri Bold"/>
                <w:b/>
                <w:bCs/>
                <w:spacing w:val="-4"/>
                <w:sz w:val="24"/>
                <w:szCs w:val="24"/>
              </w:rPr>
              <w:t>Agenda of WRC-27</w:t>
            </w:r>
            <w:r w:rsidR="00A552F9">
              <w:rPr>
                <w:rFonts w:ascii="Calibri Bold" w:hAnsi="Calibri Bold"/>
                <w:b/>
                <w:bCs/>
                <w:spacing w:val="-4"/>
                <w:sz w:val="24"/>
                <w:szCs w:val="24"/>
              </w:rPr>
              <w:t>;</w:t>
            </w:r>
            <w:r w:rsidR="002D7AE9" w:rsidRPr="00020CD9">
              <w:rPr>
                <w:rFonts w:ascii="Calibri Bold" w:hAnsi="Calibri Bold"/>
                <w:b/>
                <w:bCs/>
                <w:spacing w:val="-4"/>
                <w:sz w:val="24"/>
                <w:szCs w:val="24"/>
              </w:rPr>
              <w:t xml:space="preserve"> and </w:t>
            </w:r>
            <w:r w:rsidR="00A552F9">
              <w:rPr>
                <w:rFonts w:ascii="Calibri Bold" w:hAnsi="Calibri Bold"/>
                <w:b/>
                <w:bCs/>
                <w:spacing w:val="-4"/>
                <w:sz w:val="24"/>
                <w:szCs w:val="24"/>
              </w:rPr>
              <w:t>Alternative reassessed p</w:t>
            </w:r>
            <w:r w:rsidR="00882EF7" w:rsidRPr="00020CD9">
              <w:rPr>
                <w:rFonts w:ascii="Calibri Bold" w:hAnsi="Calibri Bold"/>
                <w:b/>
                <w:bCs/>
                <w:spacing w:val="-4"/>
                <w:sz w:val="24"/>
                <w:szCs w:val="24"/>
              </w:rPr>
              <w:t>roject for ITU’s headquarters premises</w:t>
            </w:r>
          </w:p>
        </w:tc>
      </w:tr>
    </w:tbl>
    <w:p w14:paraId="02D98BF8" w14:textId="557848B7" w:rsidR="00D256E0" w:rsidRPr="009F006F" w:rsidRDefault="00D256E0" w:rsidP="00A552F9">
      <w:pPr>
        <w:spacing w:before="360"/>
      </w:pPr>
      <w:r w:rsidRPr="009F006F">
        <w:t>Dear Madam</w:t>
      </w:r>
      <w:r w:rsidR="00AB3DA0" w:rsidRPr="009F006F">
        <w:t>/</w:t>
      </w:r>
      <w:r w:rsidRPr="009F006F">
        <w:t xml:space="preserve">Sir, </w:t>
      </w:r>
    </w:p>
    <w:p w14:paraId="1ADD228A" w14:textId="1E56495B" w:rsidR="004B1397" w:rsidRPr="009F006F" w:rsidRDefault="009057BF" w:rsidP="00A552F9">
      <w:bookmarkStart w:id="4" w:name="_Hlk79668702"/>
      <w:r w:rsidRPr="009F006F">
        <w:t>I am pleased to inform you that the Council has</w:t>
      </w:r>
      <w:r w:rsidRPr="009F006F">
        <w:rPr>
          <w:lang w:val="en-GB"/>
        </w:rPr>
        <w:t xml:space="preserve"> adopted</w:t>
      </w:r>
      <w:r w:rsidR="004C1A39" w:rsidRPr="009F006F">
        <w:rPr>
          <w:lang w:val="en-GB"/>
        </w:rPr>
        <w:t>,</w:t>
      </w:r>
      <w:r w:rsidRPr="009F006F">
        <w:rPr>
          <w:lang w:val="en-GB"/>
        </w:rPr>
        <w:t xml:space="preserve"> </w:t>
      </w:r>
      <w:r w:rsidR="004C1A39" w:rsidRPr="009F006F">
        <w:rPr>
          <w:lang w:val="en-GB"/>
        </w:rPr>
        <w:t xml:space="preserve">at its </w:t>
      </w:r>
      <w:r w:rsidR="00557092" w:rsidRPr="009F006F">
        <w:rPr>
          <w:lang w:val="en-GB"/>
        </w:rPr>
        <w:t>2024</w:t>
      </w:r>
      <w:r w:rsidR="004C1A39" w:rsidRPr="009F006F">
        <w:rPr>
          <w:lang w:val="en-GB"/>
        </w:rPr>
        <w:t xml:space="preserve"> </w:t>
      </w:r>
      <w:r w:rsidR="00A04D89" w:rsidRPr="009F006F">
        <w:rPr>
          <w:lang w:val="en-GB"/>
        </w:rPr>
        <w:t>S</w:t>
      </w:r>
      <w:r w:rsidR="004C1A39" w:rsidRPr="009F006F">
        <w:rPr>
          <w:lang w:val="en-GB"/>
        </w:rPr>
        <w:t>ession</w:t>
      </w:r>
      <w:r w:rsidR="00045202" w:rsidRPr="009F006F">
        <w:rPr>
          <w:lang w:val="en-GB"/>
        </w:rPr>
        <w:t>,</w:t>
      </w:r>
      <w:r w:rsidR="004B1397" w:rsidRPr="009F006F">
        <w:rPr>
          <w:lang w:val="en-GB"/>
        </w:rPr>
        <w:t xml:space="preserve"> the following </w:t>
      </w:r>
      <w:r w:rsidR="006C632F" w:rsidRPr="009F006F">
        <w:rPr>
          <w:lang w:val="en-GB"/>
        </w:rPr>
        <w:t>decisions</w:t>
      </w:r>
      <w:r w:rsidR="007834A5" w:rsidRPr="009F006F">
        <w:rPr>
          <w:lang w:val="en-GB"/>
        </w:rPr>
        <w:t xml:space="preserve"> and resolution</w:t>
      </w:r>
      <w:r w:rsidR="00CC7DF1" w:rsidRPr="009F006F">
        <w:rPr>
          <w:lang w:val="en-GB"/>
        </w:rPr>
        <w:t xml:space="preserve"> requiring</w:t>
      </w:r>
      <w:r w:rsidR="00A552F9">
        <w:rPr>
          <w:lang w:val="en-GB"/>
        </w:rPr>
        <w:t>,</w:t>
      </w:r>
      <w:r w:rsidR="00D0237B" w:rsidRPr="009F006F">
        <w:rPr>
          <w:lang w:val="en-GB"/>
        </w:rPr>
        <w:t xml:space="preserve"> as per </w:t>
      </w:r>
      <w:r w:rsidR="00D0237B" w:rsidRPr="009F006F">
        <w:t xml:space="preserve">Nos 41, 42, </w:t>
      </w:r>
      <w:r w:rsidR="003F693F" w:rsidRPr="009F006F">
        <w:t>79, 213</w:t>
      </w:r>
      <w:r w:rsidR="00D0237B" w:rsidRPr="009F006F">
        <w:t>,</w:t>
      </w:r>
      <w:r w:rsidR="00D55824">
        <w:t xml:space="preserve"> and</w:t>
      </w:r>
      <w:r w:rsidR="00D0237B" w:rsidRPr="009F006F">
        <w:t xml:space="preserve"> 118 </w:t>
      </w:r>
      <w:r w:rsidR="003F693F" w:rsidRPr="009F006F">
        <w:t>of the ITU Convention,</w:t>
      </w:r>
      <w:r w:rsidR="00CC7DF1" w:rsidRPr="009F006F">
        <w:rPr>
          <w:lang w:val="en-GB"/>
        </w:rPr>
        <w:t xml:space="preserve"> </w:t>
      </w:r>
      <w:r w:rsidR="00C53EB7" w:rsidRPr="009F006F">
        <w:rPr>
          <w:lang w:val="en-GB"/>
        </w:rPr>
        <w:t xml:space="preserve">the concurrence of </w:t>
      </w:r>
      <w:proofErr w:type="gramStart"/>
      <w:r w:rsidR="00C53EB7" w:rsidRPr="009F006F">
        <w:rPr>
          <w:lang w:val="en-GB"/>
        </w:rPr>
        <w:t>the majority of</w:t>
      </w:r>
      <w:proofErr w:type="gramEnd"/>
      <w:r w:rsidR="00C53EB7" w:rsidRPr="009F006F">
        <w:rPr>
          <w:lang w:val="en-GB"/>
        </w:rPr>
        <w:t xml:space="preserve"> Member States of the Union</w:t>
      </w:r>
      <w:r w:rsidR="003F693F" w:rsidRPr="009F006F">
        <w:rPr>
          <w:lang w:val="en-GB"/>
        </w:rPr>
        <w:t>:</w:t>
      </w:r>
    </w:p>
    <w:p w14:paraId="4662E076" w14:textId="5620CDD7" w:rsidR="0090571A" w:rsidRPr="0055410B" w:rsidRDefault="00000000" w:rsidP="0055410B">
      <w:pPr>
        <w:pStyle w:val="ListParagraph"/>
        <w:numPr>
          <w:ilvl w:val="0"/>
          <w:numId w:val="49"/>
        </w:numPr>
        <w:ind w:left="576" w:hanging="216"/>
        <w:jc w:val="both"/>
        <w:rPr>
          <w:sz w:val="22"/>
          <w:szCs w:val="22"/>
        </w:rPr>
      </w:pPr>
      <w:hyperlink r:id="rId12" w:history="1">
        <w:r w:rsidR="000C3C66" w:rsidRPr="0055410B">
          <w:rPr>
            <w:rStyle w:val="Hyperlink"/>
            <w:sz w:val="22"/>
            <w:szCs w:val="22"/>
          </w:rPr>
          <w:t xml:space="preserve">Decision </w:t>
        </w:r>
        <w:r w:rsidR="00177594" w:rsidRPr="0055410B">
          <w:rPr>
            <w:rStyle w:val="Hyperlink"/>
            <w:sz w:val="22"/>
            <w:szCs w:val="22"/>
          </w:rPr>
          <w:t>637</w:t>
        </w:r>
      </w:hyperlink>
      <w:r w:rsidR="00177594" w:rsidRPr="0055410B">
        <w:rPr>
          <w:sz w:val="22"/>
          <w:szCs w:val="22"/>
        </w:rPr>
        <w:t xml:space="preserve"> </w:t>
      </w:r>
      <w:r w:rsidR="00D64795" w:rsidRPr="0055410B">
        <w:rPr>
          <w:sz w:val="22"/>
          <w:szCs w:val="22"/>
        </w:rPr>
        <w:t>on the precise place and exact dates of the World Telecommunication Development Conference (WTDC-25)</w:t>
      </w:r>
      <w:r w:rsidR="00A552F9">
        <w:rPr>
          <w:sz w:val="22"/>
          <w:szCs w:val="22"/>
        </w:rPr>
        <w:t>,</w:t>
      </w:r>
      <w:r w:rsidR="003F693F" w:rsidRPr="0055410B">
        <w:rPr>
          <w:sz w:val="22"/>
          <w:szCs w:val="22"/>
        </w:rPr>
        <w:t xml:space="preserve"> </w:t>
      </w:r>
      <w:r w:rsidR="0090571A" w:rsidRPr="0055410B">
        <w:rPr>
          <w:sz w:val="22"/>
          <w:szCs w:val="22"/>
        </w:rPr>
        <w:t xml:space="preserve">which provides </w:t>
      </w:r>
      <w:r w:rsidR="00D3304E" w:rsidRPr="0055410B">
        <w:rPr>
          <w:sz w:val="22"/>
          <w:szCs w:val="22"/>
        </w:rPr>
        <w:t>that</w:t>
      </w:r>
      <w:r w:rsidR="00A552F9">
        <w:rPr>
          <w:sz w:val="22"/>
          <w:szCs w:val="22"/>
        </w:rPr>
        <w:t xml:space="preserve"> the</w:t>
      </w:r>
      <w:r w:rsidR="00541348" w:rsidRPr="0055410B">
        <w:rPr>
          <w:sz w:val="22"/>
          <w:szCs w:val="22"/>
        </w:rPr>
        <w:t xml:space="preserve"> </w:t>
      </w:r>
      <w:r w:rsidR="002D4291" w:rsidRPr="0055410B">
        <w:rPr>
          <w:sz w:val="22"/>
          <w:szCs w:val="22"/>
        </w:rPr>
        <w:t>WTDC-25 will take place in Baku, Republic of Azerbaijan, from 17 to 28 November 2025</w:t>
      </w:r>
      <w:r w:rsidR="0090571A" w:rsidRPr="0055410B">
        <w:rPr>
          <w:sz w:val="22"/>
          <w:szCs w:val="22"/>
        </w:rPr>
        <w:t xml:space="preserve"> (</w:t>
      </w:r>
      <w:r w:rsidR="00A806B8" w:rsidRPr="0055410B">
        <w:rPr>
          <w:sz w:val="22"/>
          <w:szCs w:val="22"/>
        </w:rPr>
        <w:t xml:space="preserve">see </w:t>
      </w:r>
      <w:hyperlink w:anchor="AnnexB" w:history="1">
        <w:r w:rsidR="00AC332C" w:rsidRPr="0055410B">
          <w:rPr>
            <w:rStyle w:val="Hyperlink"/>
            <w:sz w:val="22"/>
            <w:szCs w:val="22"/>
          </w:rPr>
          <w:t>Annex B</w:t>
        </w:r>
      </w:hyperlink>
      <w:proofErr w:type="gramStart"/>
      <w:r w:rsidR="0090571A" w:rsidRPr="0055410B">
        <w:rPr>
          <w:rStyle w:val="Hyperlink"/>
          <w:color w:val="auto"/>
          <w:sz w:val="22"/>
          <w:szCs w:val="22"/>
          <w:u w:val="none"/>
        </w:rPr>
        <w:t>)</w:t>
      </w:r>
      <w:r w:rsidR="00A552F9">
        <w:rPr>
          <w:sz w:val="22"/>
          <w:szCs w:val="22"/>
        </w:rPr>
        <w:t>;</w:t>
      </w:r>
      <w:proofErr w:type="gramEnd"/>
      <w:r w:rsidR="008E0E58" w:rsidRPr="0055410B">
        <w:rPr>
          <w:sz w:val="22"/>
          <w:szCs w:val="22"/>
        </w:rPr>
        <w:t xml:space="preserve"> </w:t>
      </w:r>
    </w:p>
    <w:p w14:paraId="04E25C08" w14:textId="0DEBAC9F" w:rsidR="002D4291" w:rsidRPr="00A552F9" w:rsidRDefault="009C33B4" w:rsidP="0055410B">
      <w:pPr>
        <w:pStyle w:val="ListParagraph"/>
        <w:numPr>
          <w:ilvl w:val="0"/>
          <w:numId w:val="49"/>
        </w:numPr>
        <w:ind w:left="576" w:hanging="216"/>
        <w:jc w:val="both"/>
      </w:pPr>
      <w:r w:rsidRPr="0055410B">
        <w:rPr>
          <w:sz w:val="22"/>
          <w:szCs w:val="22"/>
        </w:rPr>
        <w:t>T</w:t>
      </w:r>
      <w:r w:rsidR="00804D08" w:rsidRPr="0055410B">
        <w:rPr>
          <w:sz w:val="22"/>
          <w:szCs w:val="22"/>
        </w:rPr>
        <w:t>he</w:t>
      </w:r>
      <w:r w:rsidR="00B75166" w:rsidRPr="0055410B">
        <w:rPr>
          <w:sz w:val="22"/>
          <w:szCs w:val="22"/>
        </w:rPr>
        <w:t xml:space="preserve"> </w:t>
      </w:r>
      <w:r w:rsidR="006715CE" w:rsidRPr="0055410B">
        <w:rPr>
          <w:sz w:val="22"/>
          <w:szCs w:val="22"/>
        </w:rPr>
        <w:t>approv</w:t>
      </w:r>
      <w:r w:rsidR="00A806B8" w:rsidRPr="0055410B">
        <w:rPr>
          <w:sz w:val="22"/>
          <w:szCs w:val="22"/>
        </w:rPr>
        <w:t>al</w:t>
      </w:r>
      <w:r w:rsidR="00B75166" w:rsidRPr="0055410B">
        <w:rPr>
          <w:sz w:val="22"/>
          <w:szCs w:val="22"/>
        </w:rPr>
        <w:t xml:space="preserve"> </w:t>
      </w:r>
      <w:r w:rsidR="005D0FFE" w:rsidRPr="0055410B">
        <w:rPr>
          <w:sz w:val="22"/>
          <w:szCs w:val="22"/>
        </w:rPr>
        <w:t>of the</w:t>
      </w:r>
      <w:r w:rsidR="0058645B" w:rsidRPr="0055410B">
        <w:rPr>
          <w:sz w:val="22"/>
          <w:szCs w:val="22"/>
        </w:rPr>
        <w:t xml:space="preserve"> draft Agenda of the WTDC-25</w:t>
      </w:r>
      <w:r w:rsidR="000015E1" w:rsidRPr="0055410B">
        <w:rPr>
          <w:sz w:val="22"/>
          <w:szCs w:val="22"/>
        </w:rPr>
        <w:t xml:space="preserve"> </w:t>
      </w:r>
      <w:r w:rsidR="00B244F8" w:rsidRPr="0055410B">
        <w:rPr>
          <w:sz w:val="22"/>
          <w:szCs w:val="22"/>
        </w:rPr>
        <w:t>(</w:t>
      </w:r>
      <w:r w:rsidR="00A806B8" w:rsidRPr="0055410B">
        <w:rPr>
          <w:sz w:val="22"/>
          <w:szCs w:val="22"/>
        </w:rPr>
        <w:t xml:space="preserve">see </w:t>
      </w:r>
      <w:hyperlink w:anchor="AnnexC" w:history="1">
        <w:r w:rsidR="00AC332C" w:rsidRPr="0055410B">
          <w:rPr>
            <w:rStyle w:val="Hyperlink"/>
            <w:sz w:val="22"/>
            <w:szCs w:val="22"/>
          </w:rPr>
          <w:t>Annex C</w:t>
        </w:r>
      </w:hyperlink>
      <w:proofErr w:type="gramStart"/>
      <w:r w:rsidR="00B244F8" w:rsidRPr="0055410B">
        <w:rPr>
          <w:rStyle w:val="Hyperlink"/>
          <w:color w:val="auto"/>
          <w:sz w:val="22"/>
          <w:szCs w:val="22"/>
        </w:rPr>
        <w:t>)</w:t>
      </w:r>
      <w:r w:rsidR="00A552F9">
        <w:rPr>
          <w:rStyle w:val="Hyperlink"/>
          <w:color w:val="auto"/>
          <w:sz w:val="22"/>
          <w:szCs w:val="22"/>
          <w:u w:val="none"/>
        </w:rPr>
        <w:t>;</w:t>
      </w:r>
      <w:proofErr w:type="gramEnd"/>
    </w:p>
    <w:bookmarkEnd w:id="4"/>
    <w:p w14:paraId="479034BE" w14:textId="116D963C" w:rsidR="007451ED" w:rsidRPr="00A552F9" w:rsidRDefault="008A5601" w:rsidP="0055410B">
      <w:pPr>
        <w:pStyle w:val="ListParagraph"/>
        <w:numPr>
          <w:ilvl w:val="0"/>
          <w:numId w:val="49"/>
        </w:numPr>
        <w:ind w:left="576" w:hanging="216"/>
        <w:jc w:val="both"/>
      </w:pPr>
      <w:r w:rsidRPr="0055410B">
        <w:fldChar w:fldCharType="begin"/>
      </w:r>
      <w:r w:rsidRPr="0055410B">
        <w:rPr>
          <w:sz w:val="22"/>
          <w:szCs w:val="22"/>
        </w:rPr>
        <w:instrText>HYPERLINK "https://www.itu.int/md/S24-CL-C-0125/en"</w:instrText>
      </w:r>
      <w:r w:rsidRPr="0055410B">
        <w:fldChar w:fldCharType="separate"/>
      </w:r>
      <w:r w:rsidR="004E70E6" w:rsidRPr="0055410B">
        <w:rPr>
          <w:rStyle w:val="Hyperlink"/>
          <w:sz w:val="22"/>
          <w:szCs w:val="22"/>
        </w:rPr>
        <w:t xml:space="preserve">Resolution </w:t>
      </w:r>
      <w:r w:rsidR="00FF40D1" w:rsidRPr="0055410B">
        <w:rPr>
          <w:rStyle w:val="Hyperlink"/>
          <w:sz w:val="22"/>
          <w:szCs w:val="22"/>
        </w:rPr>
        <w:t>1422</w:t>
      </w:r>
      <w:r w:rsidRPr="0055410B">
        <w:rPr>
          <w:rStyle w:val="Hyperlink"/>
          <w:sz w:val="22"/>
          <w:szCs w:val="22"/>
        </w:rPr>
        <w:fldChar w:fldCharType="end"/>
      </w:r>
      <w:r w:rsidR="004E70E6" w:rsidRPr="0055410B">
        <w:rPr>
          <w:sz w:val="22"/>
          <w:szCs w:val="22"/>
        </w:rPr>
        <w:t xml:space="preserve"> </w:t>
      </w:r>
      <w:r w:rsidR="00601054" w:rsidRPr="0055410B">
        <w:rPr>
          <w:sz w:val="22"/>
          <w:szCs w:val="22"/>
        </w:rPr>
        <w:t xml:space="preserve">on the Agenda of the World Radiocommunication Conference 2027 (WRC-27) </w:t>
      </w:r>
      <w:r w:rsidR="00A806B8" w:rsidRPr="0055410B">
        <w:rPr>
          <w:sz w:val="22"/>
          <w:szCs w:val="22"/>
        </w:rPr>
        <w:t>(</w:t>
      </w:r>
      <w:r w:rsidR="00A552F9">
        <w:rPr>
          <w:sz w:val="22"/>
          <w:szCs w:val="22"/>
        </w:rPr>
        <w:t>s</w:t>
      </w:r>
      <w:r w:rsidR="00A806B8" w:rsidRPr="0055410B">
        <w:rPr>
          <w:sz w:val="22"/>
          <w:szCs w:val="22"/>
        </w:rPr>
        <w:t xml:space="preserve">ee </w:t>
      </w:r>
      <w:hyperlink w:anchor="ANNEXD" w:history="1">
        <w:r w:rsidR="00AC332C" w:rsidRPr="0055410B">
          <w:rPr>
            <w:rStyle w:val="Hyperlink"/>
            <w:sz w:val="22"/>
            <w:szCs w:val="22"/>
          </w:rPr>
          <w:t>Annex D</w:t>
        </w:r>
      </w:hyperlink>
      <w:r w:rsidR="00B244F8" w:rsidRPr="0055410B">
        <w:rPr>
          <w:rStyle w:val="Hyperlink"/>
          <w:color w:val="auto"/>
          <w:sz w:val="22"/>
          <w:szCs w:val="22"/>
          <w:u w:val="none"/>
        </w:rPr>
        <w:t>)</w:t>
      </w:r>
      <w:r w:rsidR="00A552F9">
        <w:rPr>
          <w:sz w:val="22"/>
          <w:szCs w:val="22"/>
        </w:rPr>
        <w:t xml:space="preserve">; and </w:t>
      </w:r>
    </w:p>
    <w:p w14:paraId="5AAA9DA7" w14:textId="08E364C2" w:rsidR="004B5C27" w:rsidRPr="00A552F9" w:rsidRDefault="00000000" w:rsidP="0055410B">
      <w:pPr>
        <w:pStyle w:val="ListParagraph"/>
        <w:numPr>
          <w:ilvl w:val="0"/>
          <w:numId w:val="49"/>
        </w:numPr>
        <w:ind w:left="576" w:hanging="216"/>
        <w:jc w:val="both"/>
        <w:rPr>
          <w:i/>
          <w:iCs/>
        </w:rPr>
      </w:pPr>
      <w:hyperlink r:id="rId13" w:history="1">
        <w:r w:rsidR="00D25870" w:rsidRPr="0055410B">
          <w:rPr>
            <w:rStyle w:val="Hyperlink"/>
            <w:sz w:val="22"/>
            <w:szCs w:val="22"/>
          </w:rPr>
          <w:t>Decision 640</w:t>
        </w:r>
      </w:hyperlink>
      <w:r w:rsidR="00D25870" w:rsidRPr="0055410B">
        <w:rPr>
          <w:sz w:val="22"/>
          <w:szCs w:val="22"/>
        </w:rPr>
        <w:t xml:space="preserve"> </w:t>
      </w:r>
      <w:r w:rsidR="008829AB" w:rsidRPr="0055410B">
        <w:rPr>
          <w:sz w:val="22"/>
          <w:szCs w:val="22"/>
        </w:rPr>
        <w:t>on the alternative reassessed project for ITU’s headquarters premises</w:t>
      </w:r>
      <w:r w:rsidR="000015E1" w:rsidRPr="0055410B">
        <w:rPr>
          <w:sz w:val="22"/>
          <w:szCs w:val="22"/>
        </w:rPr>
        <w:t xml:space="preserve"> </w:t>
      </w:r>
      <w:r w:rsidR="007D2514" w:rsidRPr="0055410B">
        <w:rPr>
          <w:sz w:val="22"/>
          <w:szCs w:val="22"/>
        </w:rPr>
        <w:t>(</w:t>
      </w:r>
      <w:r w:rsidR="00A552F9">
        <w:rPr>
          <w:sz w:val="22"/>
          <w:szCs w:val="22"/>
        </w:rPr>
        <w:t>s</w:t>
      </w:r>
      <w:r w:rsidR="00F04D62" w:rsidRPr="0055410B">
        <w:rPr>
          <w:sz w:val="22"/>
          <w:szCs w:val="22"/>
        </w:rPr>
        <w:t xml:space="preserve">ee </w:t>
      </w:r>
      <w:hyperlink w:anchor="AnnexE" w:history="1">
        <w:r w:rsidR="00A552F9">
          <w:rPr>
            <w:rStyle w:val="Hyperlink"/>
            <w:sz w:val="22"/>
            <w:szCs w:val="22"/>
          </w:rPr>
          <w:t>Annex E</w:t>
        </w:r>
      </w:hyperlink>
      <w:r w:rsidR="007D2514" w:rsidRPr="0055410B">
        <w:rPr>
          <w:rStyle w:val="Hyperlink"/>
          <w:color w:val="auto"/>
          <w:sz w:val="22"/>
          <w:szCs w:val="22"/>
          <w:u w:val="none"/>
        </w:rPr>
        <w:t>)</w:t>
      </w:r>
      <w:r w:rsidR="00A552F9" w:rsidRPr="0055410B">
        <w:rPr>
          <w:rStyle w:val="Hyperlink"/>
          <w:color w:val="auto"/>
          <w:sz w:val="22"/>
          <w:szCs w:val="22"/>
          <w:u w:val="none"/>
        </w:rPr>
        <w:t>.</w:t>
      </w:r>
      <w:r w:rsidR="008829AB" w:rsidRPr="0055410B">
        <w:rPr>
          <w:sz w:val="22"/>
          <w:szCs w:val="22"/>
        </w:rPr>
        <w:t xml:space="preserve"> </w:t>
      </w:r>
    </w:p>
    <w:p w14:paraId="0169694E" w14:textId="00B48B6C" w:rsidR="00603BD6" w:rsidRPr="00603BD6" w:rsidRDefault="006516FC" w:rsidP="00603BD6">
      <w:pPr>
        <w:rPr>
          <w:rStyle w:val="Hyperlink"/>
          <w:rFonts w:eastAsia="Times New Roman" w:cs="Times New Roman"/>
          <w:color w:val="auto"/>
          <w:u w:val="none"/>
          <w:lang w:val="en-GB"/>
        </w:rPr>
      </w:pPr>
      <w:r w:rsidRPr="0055410B">
        <w:rPr>
          <w:rFonts w:eastAsia="Times New Roman" w:cs="Times New Roman"/>
          <w:lang w:val="en-GB"/>
        </w:rPr>
        <w:t>A</w:t>
      </w:r>
      <w:r w:rsidR="00963D5C" w:rsidRPr="0055410B">
        <w:rPr>
          <w:rFonts w:eastAsia="Times New Roman" w:cs="Times New Roman"/>
          <w:lang w:val="en-GB"/>
        </w:rPr>
        <w:t>l</w:t>
      </w:r>
      <w:r w:rsidR="00FA02BB" w:rsidRPr="0055410B">
        <w:rPr>
          <w:rFonts w:eastAsia="Times New Roman" w:cs="Times New Roman"/>
          <w:lang w:val="en-GB"/>
        </w:rPr>
        <w:t>l</w:t>
      </w:r>
      <w:r w:rsidR="00963D5C" w:rsidRPr="0055410B">
        <w:rPr>
          <w:rFonts w:eastAsia="Times New Roman" w:cs="Times New Roman"/>
          <w:lang w:val="en-GB"/>
        </w:rPr>
        <w:t xml:space="preserve"> Member States of ITU </w:t>
      </w:r>
      <w:r w:rsidR="00FA02BB" w:rsidRPr="0055410B">
        <w:rPr>
          <w:rFonts w:eastAsia="Times New Roman" w:cs="Times New Roman"/>
          <w:lang w:val="en-GB"/>
        </w:rPr>
        <w:t xml:space="preserve">having the right to vote </w:t>
      </w:r>
      <w:r w:rsidR="00963D5C" w:rsidRPr="0055410B">
        <w:rPr>
          <w:rFonts w:eastAsia="Times New Roman" w:cs="Times New Roman"/>
          <w:lang w:val="en-GB"/>
        </w:rPr>
        <w:t xml:space="preserve">are thus invited to inform the Secretary-General of their concurrence </w:t>
      </w:r>
      <w:r w:rsidR="00D815E2" w:rsidRPr="0055410B">
        <w:rPr>
          <w:rFonts w:eastAsia="Times New Roman" w:cs="Times New Roman"/>
          <w:lang w:val="en-GB"/>
        </w:rPr>
        <w:t xml:space="preserve">with the above </w:t>
      </w:r>
      <w:r w:rsidR="00B33F4D" w:rsidRPr="0055410B">
        <w:rPr>
          <w:rFonts w:eastAsia="Times New Roman" w:cs="Times New Roman"/>
          <w:lang w:val="en-GB"/>
        </w:rPr>
        <w:t>decisions</w:t>
      </w:r>
      <w:r w:rsidR="005A049E" w:rsidRPr="0055410B">
        <w:rPr>
          <w:rFonts w:eastAsia="Times New Roman" w:cs="Times New Roman"/>
          <w:lang w:val="en-GB"/>
        </w:rPr>
        <w:t xml:space="preserve"> and </w:t>
      </w:r>
      <w:r w:rsidR="00B33F4D" w:rsidRPr="0055410B">
        <w:rPr>
          <w:rFonts w:eastAsia="Times New Roman" w:cs="Times New Roman"/>
          <w:lang w:val="en-GB"/>
        </w:rPr>
        <w:t>resolution</w:t>
      </w:r>
      <w:r w:rsidR="00963D5C" w:rsidRPr="0055410B">
        <w:rPr>
          <w:rFonts w:eastAsia="Times New Roman" w:cs="Times New Roman"/>
          <w:lang w:val="en-GB"/>
        </w:rPr>
        <w:t xml:space="preserve"> by </w:t>
      </w:r>
      <w:r w:rsidR="000F7461" w:rsidRPr="0055410B">
        <w:rPr>
          <w:rFonts w:eastAsia="Times New Roman" w:cs="Times New Roman"/>
          <w:lang w:val="en-GB"/>
        </w:rPr>
        <w:t xml:space="preserve">using </w:t>
      </w:r>
      <w:r w:rsidR="000F7461" w:rsidRPr="00C86D59">
        <w:rPr>
          <w:rFonts w:eastAsia="Times New Roman" w:cs="Times New Roman"/>
          <w:lang w:val="en-GB"/>
        </w:rPr>
        <w:t>the</w:t>
      </w:r>
      <w:r w:rsidR="00162D6B" w:rsidRPr="00C86D59">
        <w:rPr>
          <w:rFonts w:eastAsia="Times New Roman" w:cs="Times New Roman"/>
          <w:lang w:val="en-GB"/>
        </w:rPr>
        <w:t xml:space="preserve"> </w:t>
      </w:r>
      <w:hyperlink r:id="rId14" w:history="1">
        <w:r w:rsidR="00162D6B" w:rsidRPr="00C86D59">
          <w:rPr>
            <w:rStyle w:val="Hyperlink"/>
            <w:rFonts w:eastAsia="Times New Roman" w:cs="Times New Roman"/>
            <w:lang w:val="en-GB"/>
          </w:rPr>
          <w:t>online tool</w:t>
        </w:r>
      </w:hyperlink>
      <w:r w:rsidR="00AD2A26">
        <w:rPr>
          <w:rFonts w:eastAsia="Times New Roman" w:cs="Times New Roman"/>
          <w:lang w:val="en-GB"/>
        </w:rPr>
        <w:t xml:space="preserve"> </w:t>
      </w:r>
      <w:r w:rsidR="00162D6B" w:rsidRPr="0055410B">
        <w:rPr>
          <w:rFonts w:eastAsia="Times New Roman" w:cs="Times New Roman"/>
          <w:lang w:val="en-GB"/>
        </w:rPr>
        <w:t>or alternatively by</w:t>
      </w:r>
      <w:r w:rsidR="00DB64B6">
        <w:rPr>
          <w:rFonts w:eastAsia="Times New Roman" w:cs="Times New Roman"/>
          <w:lang w:val="en-GB"/>
        </w:rPr>
        <w:t xml:space="preserve"> </w:t>
      </w:r>
      <w:r w:rsidR="00C86D59" w:rsidRPr="00C86D59">
        <w:rPr>
          <w:rFonts w:eastAsia="Times New Roman" w:cs="Times New Roman"/>
        </w:rPr>
        <w:t>completing and returning</w:t>
      </w:r>
      <w:r w:rsidR="00C86D59">
        <w:rPr>
          <w:rFonts w:eastAsia="Times New Roman" w:cs="Times New Roman"/>
        </w:rPr>
        <w:t xml:space="preserve"> </w:t>
      </w:r>
      <w:hyperlink w:anchor="AnnexA" w:history="1">
        <w:r w:rsidR="007F18C7" w:rsidRPr="00C86D59">
          <w:rPr>
            <w:rStyle w:val="Hyperlink"/>
            <w:rFonts w:eastAsia="Times New Roman" w:cs="Times New Roman"/>
            <w:lang w:val="en-GB"/>
          </w:rPr>
          <w:t xml:space="preserve">Annex </w:t>
        </w:r>
        <w:r w:rsidR="00C86D59" w:rsidRPr="00C86D59">
          <w:rPr>
            <w:rStyle w:val="Hyperlink"/>
            <w:rFonts w:eastAsia="Times New Roman" w:cs="Times New Roman"/>
            <w:lang w:val="en-GB"/>
          </w:rPr>
          <w:t>A</w:t>
        </w:r>
      </w:hyperlink>
      <w:r w:rsidR="00162D6B" w:rsidRPr="0055410B">
        <w:rPr>
          <w:rFonts w:eastAsia="Times New Roman" w:cs="Times New Roman"/>
          <w:lang w:val="en-GB"/>
        </w:rPr>
        <w:t xml:space="preserve"> </w:t>
      </w:r>
      <w:r w:rsidR="00DB64B6">
        <w:rPr>
          <w:rFonts w:eastAsia="Times New Roman" w:cs="Times New Roman"/>
          <w:lang w:val="en-GB"/>
        </w:rPr>
        <w:t xml:space="preserve">of this letter by </w:t>
      </w:r>
      <w:r w:rsidR="00963D5C" w:rsidRPr="0055410B">
        <w:rPr>
          <w:rFonts w:eastAsia="Times New Roman" w:cs="Times New Roman"/>
          <w:lang w:val="en-GB"/>
        </w:rPr>
        <w:t xml:space="preserve">e-mail to </w:t>
      </w:r>
      <w:hyperlink r:id="rId15" w:history="1">
        <w:r w:rsidR="00A552F9" w:rsidRPr="0055410B">
          <w:rPr>
            <w:rStyle w:val="Hyperlink"/>
            <w:rFonts w:eastAsia="Times New Roman" w:cs="Times New Roman"/>
            <w:lang w:val="en-GB"/>
          </w:rPr>
          <w:t>memberstates@itu.int</w:t>
        </w:r>
      </w:hyperlink>
      <w:r w:rsidR="00C86D59">
        <w:rPr>
          <w:rStyle w:val="Hyperlink"/>
          <w:rFonts w:eastAsia="Times New Roman" w:cs="Times New Roman"/>
          <w:lang w:val="en-GB"/>
        </w:rPr>
        <w:t xml:space="preserve"> </w:t>
      </w:r>
      <w:r w:rsidR="00230B3B" w:rsidRPr="00603BD6">
        <w:rPr>
          <w:rStyle w:val="Hyperlink"/>
          <w:rFonts w:eastAsia="Times New Roman" w:cs="Times New Roman"/>
          <w:b/>
          <w:bCs/>
          <w:color w:val="auto"/>
          <w:u w:val="none"/>
          <w:lang w:val="en-GB"/>
        </w:rPr>
        <w:t>no later than 31 August 2024</w:t>
      </w:r>
      <w:r w:rsidR="00230B3B" w:rsidRPr="00603BD6">
        <w:rPr>
          <w:rStyle w:val="Hyperlink"/>
          <w:rFonts w:eastAsia="Times New Roman" w:cs="Times New Roman"/>
          <w:color w:val="auto"/>
          <w:u w:val="none"/>
          <w:lang w:val="en-GB"/>
        </w:rPr>
        <w:t>, at which time the consultation period will conclude</w:t>
      </w:r>
      <w:r w:rsidR="00B3107C" w:rsidRPr="00603BD6">
        <w:rPr>
          <w:rStyle w:val="Hyperlink"/>
          <w:rFonts w:eastAsia="Times New Roman" w:cs="Times New Roman"/>
          <w:color w:val="auto"/>
          <w:u w:val="none"/>
          <w:lang w:val="en-GB"/>
        </w:rPr>
        <w:t>.</w:t>
      </w:r>
    </w:p>
    <w:p w14:paraId="7E54B0B5" w14:textId="06B49190" w:rsidR="003B7C53" w:rsidRPr="0055410B" w:rsidRDefault="002A3F40" w:rsidP="00603BD6">
      <w:pPr>
        <w:rPr>
          <w:rFonts w:eastAsia="Times New Roman" w:cs="Times New Roman"/>
          <w:szCs w:val="18"/>
          <w:lang w:val="en-GB"/>
        </w:rPr>
      </w:pPr>
      <w:r w:rsidRPr="0055410B">
        <w:rPr>
          <w:rFonts w:eastAsia="Times New Roman" w:cs="Times New Roman"/>
          <w:szCs w:val="18"/>
          <w:lang w:val="en-GB"/>
        </w:rPr>
        <w:t>Council Member States’ response</w:t>
      </w:r>
      <w:r w:rsidR="0066198E" w:rsidRPr="0055410B">
        <w:rPr>
          <w:rFonts w:eastAsia="Times New Roman" w:cs="Times New Roman"/>
          <w:szCs w:val="18"/>
          <w:lang w:val="en-GB"/>
        </w:rPr>
        <w:t>s</w:t>
      </w:r>
      <w:r w:rsidRPr="0055410B">
        <w:rPr>
          <w:rFonts w:eastAsia="Times New Roman" w:cs="Times New Roman"/>
          <w:szCs w:val="18"/>
          <w:lang w:val="en-GB"/>
        </w:rPr>
        <w:t xml:space="preserve"> will be considered as positive with regard to this consultation, unless otherwise notified by the Councillor</w:t>
      </w:r>
      <w:r w:rsidR="00A0200D" w:rsidRPr="0055410B">
        <w:rPr>
          <w:rFonts w:eastAsia="Times New Roman" w:cs="Times New Roman"/>
          <w:szCs w:val="18"/>
          <w:lang w:val="en-GB"/>
        </w:rPr>
        <w:t>s</w:t>
      </w:r>
      <w:r w:rsidRPr="0055410B">
        <w:rPr>
          <w:rFonts w:eastAsia="Times New Roman" w:cs="Times New Roman"/>
          <w:szCs w:val="18"/>
          <w:lang w:val="en-GB"/>
        </w:rPr>
        <w:t xml:space="preserve"> or the Administration Focal Point</w:t>
      </w:r>
      <w:r w:rsidR="003B7C53" w:rsidRPr="0055410B">
        <w:rPr>
          <w:rFonts w:eastAsia="Times New Roman" w:cs="Times New Roman"/>
          <w:szCs w:val="18"/>
          <w:lang w:val="en-GB"/>
        </w:rPr>
        <w:t xml:space="preserve">s </w:t>
      </w:r>
      <w:r w:rsidR="00603BD6" w:rsidRPr="004312B3">
        <w:rPr>
          <w:rFonts w:hint="eastAsia"/>
          <w:spacing w:val="2"/>
        </w:rPr>
        <w:t xml:space="preserve">in </w:t>
      </w:r>
      <w:r w:rsidR="00603BD6" w:rsidRPr="004312B3">
        <w:rPr>
          <w:spacing w:val="-2"/>
        </w:rPr>
        <w:t xml:space="preserve">writing by e-mail to </w:t>
      </w:r>
      <w:hyperlink r:id="rId16" w:history="1">
        <w:r w:rsidR="00603BD6" w:rsidRPr="004312B3">
          <w:rPr>
            <w:rStyle w:val="Hyperlink"/>
            <w:spacing w:val="-2"/>
          </w:rPr>
          <w:t>memberstates@itu.int</w:t>
        </w:r>
      </w:hyperlink>
      <w:r w:rsidR="00603BD6" w:rsidRPr="004312B3">
        <w:rPr>
          <w:spacing w:val="-2"/>
        </w:rPr>
        <w:t xml:space="preserve"> also using the form in </w:t>
      </w:r>
      <w:hyperlink w:anchor="AnnexA" w:history="1">
        <w:r w:rsidR="00603BD6" w:rsidRPr="00C86D59">
          <w:rPr>
            <w:rStyle w:val="Hyperlink"/>
            <w:spacing w:val="-2"/>
          </w:rPr>
          <w:t>Annex A</w:t>
        </w:r>
      </w:hyperlink>
      <w:r w:rsidR="00603BD6">
        <w:rPr>
          <w:spacing w:val="-2"/>
        </w:rPr>
        <w:t>.</w:t>
      </w:r>
    </w:p>
    <w:p w14:paraId="4A10934B" w14:textId="3EE27697" w:rsidR="007118AA" w:rsidRPr="0055410B" w:rsidRDefault="0052159D" w:rsidP="000337B9">
      <w:pPr>
        <w:rPr>
          <w:rFonts w:eastAsia="Times New Roman" w:cs="Times New Roman"/>
          <w:szCs w:val="18"/>
          <w:lang w:val="en-GB"/>
        </w:rPr>
      </w:pPr>
      <w:r w:rsidRPr="0055410B">
        <w:rPr>
          <w:rFonts w:eastAsia="Times New Roman" w:cs="Times New Roman"/>
          <w:szCs w:val="18"/>
          <w:lang w:val="en-GB"/>
        </w:rPr>
        <w:t>I l</w:t>
      </w:r>
      <w:r w:rsidR="00E23693" w:rsidRPr="0055410B">
        <w:rPr>
          <w:rFonts w:eastAsia="Times New Roman" w:cs="Times New Roman"/>
          <w:szCs w:val="18"/>
          <w:lang w:val="en-GB"/>
        </w:rPr>
        <w:t xml:space="preserve">ook forward to receiving your </w:t>
      </w:r>
      <w:r w:rsidR="00A0200D" w:rsidRPr="0055410B">
        <w:rPr>
          <w:rFonts w:eastAsia="Times New Roman" w:cs="Times New Roman"/>
          <w:szCs w:val="18"/>
          <w:lang w:val="en-GB"/>
        </w:rPr>
        <w:t>response</w:t>
      </w:r>
      <w:r w:rsidR="00E23693" w:rsidRPr="0055410B">
        <w:rPr>
          <w:rFonts w:eastAsia="Times New Roman" w:cs="Times New Roman"/>
          <w:szCs w:val="18"/>
          <w:lang w:val="en-GB"/>
        </w:rPr>
        <w:t xml:space="preserve">. </w:t>
      </w:r>
    </w:p>
    <w:p w14:paraId="4EC934AA" w14:textId="54DD54F1" w:rsidR="002C6C3A" w:rsidRPr="0055410B" w:rsidRDefault="002E0CC6" w:rsidP="000337B9">
      <w:pPr>
        <w:rPr>
          <w:rFonts w:eastAsia="Times New Roman" w:cs="Times New Roman"/>
          <w:szCs w:val="18"/>
          <w:lang w:val="en-GB"/>
        </w:rPr>
      </w:pPr>
      <w:r w:rsidRPr="0055410B">
        <w:rPr>
          <w:rFonts w:eastAsia="Times New Roman" w:cs="Times New Roman"/>
          <w:szCs w:val="18"/>
          <w:lang w:val="en-GB"/>
        </w:rPr>
        <w:t xml:space="preserve">Yours </w:t>
      </w:r>
      <w:r w:rsidR="008F6BC3" w:rsidRPr="0055410B">
        <w:rPr>
          <w:rFonts w:eastAsia="Times New Roman" w:cs="Times New Roman"/>
          <w:szCs w:val="18"/>
          <w:lang w:val="en-GB"/>
        </w:rPr>
        <w:t>faithfully,</w:t>
      </w:r>
    </w:p>
    <w:p w14:paraId="38C4116D" w14:textId="43932A47" w:rsidR="007118AA" w:rsidRDefault="00BD3744" w:rsidP="00771C87">
      <w:pPr>
        <w:spacing w:before="240"/>
      </w:pPr>
      <w:bookmarkStart w:id="5" w:name="_Hlk140494891"/>
      <w:r w:rsidRPr="004D369C">
        <w:t>(</w:t>
      </w:r>
      <w:r w:rsidRPr="00DD2388">
        <w:rPr>
          <w:i/>
          <w:iCs/>
        </w:rPr>
        <w:t>signed</w:t>
      </w:r>
      <w:r w:rsidRPr="004D369C">
        <w:t>)</w:t>
      </w:r>
    </w:p>
    <w:p w14:paraId="7346B453" w14:textId="08372FBA" w:rsidR="00774B97" w:rsidRDefault="001F31B3" w:rsidP="00771C87">
      <w:pPr>
        <w:spacing w:before="240"/>
      </w:pPr>
      <w:r>
        <w:t>Doreen Bogdan</w:t>
      </w:r>
      <w:r w:rsidR="00D739BD">
        <w:t>-</w:t>
      </w:r>
      <w:r>
        <w:t xml:space="preserve">Martin </w:t>
      </w:r>
    </w:p>
    <w:bookmarkEnd w:id="5"/>
    <w:p w14:paraId="774524F2" w14:textId="77777777" w:rsidR="00B710AA" w:rsidRDefault="00FE3EF5" w:rsidP="00B710AA">
      <w:pPr>
        <w:contextualSpacing/>
      </w:pPr>
      <w:r>
        <w:t>Secretary-General</w:t>
      </w:r>
    </w:p>
    <w:p w14:paraId="59C3DF05" w14:textId="22D78FA9" w:rsidR="00B710AA" w:rsidRDefault="00B710AA" w:rsidP="00B710AA">
      <w:pPr>
        <w:contextualSpacing/>
      </w:pPr>
    </w:p>
    <w:p w14:paraId="42AF0A21" w14:textId="77777777" w:rsidR="00546E06" w:rsidRDefault="00546E06" w:rsidP="00B710AA">
      <w:pPr>
        <w:contextualSpacing/>
      </w:pPr>
    </w:p>
    <w:p w14:paraId="7A6FC273" w14:textId="5589D62D" w:rsidR="00AC332C" w:rsidRPr="0072446C" w:rsidRDefault="00D256E0" w:rsidP="00B710AA">
      <w:pPr>
        <w:contextualSpacing/>
      </w:pPr>
      <w:r w:rsidRPr="0072446C">
        <w:rPr>
          <w:b/>
          <w:bCs/>
          <w:lang w:val="en-GB"/>
        </w:rPr>
        <w:t>Annex</w:t>
      </w:r>
      <w:r w:rsidR="00F57FCA" w:rsidRPr="0072446C">
        <w:rPr>
          <w:b/>
          <w:bCs/>
          <w:lang w:val="en-GB"/>
        </w:rPr>
        <w:t>es</w:t>
      </w:r>
      <w:r w:rsidRPr="0072446C">
        <w:rPr>
          <w:b/>
          <w:bCs/>
          <w:lang w:val="en-GB"/>
        </w:rPr>
        <w:t xml:space="preserve">: </w:t>
      </w:r>
      <w:r w:rsidR="0066198E">
        <w:rPr>
          <w:b/>
          <w:bCs/>
          <w:lang w:val="en-GB"/>
        </w:rPr>
        <w:t>5</w:t>
      </w:r>
    </w:p>
    <w:p w14:paraId="00C6A205" w14:textId="69A49ACA" w:rsidR="00886020" w:rsidRPr="00886020" w:rsidRDefault="00886020" w:rsidP="00886020">
      <w:pPr>
        <w:rPr>
          <w:lang w:val="en-GB"/>
        </w:rPr>
        <w:sectPr w:rsidR="00886020" w:rsidRPr="00886020" w:rsidSect="00126EA3">
          <w:headerReference w:type="even" r:id="rId17"/>
          <w:headerReference w:type="default" r:id="rId18"/>
          <w:headerReference w:type="first" r:id="rId19"/>
          <w:footerReference w:type="first" r:id="rId20"/>
          <w:footnotePr>
            <w:numFmt w:val="chicago"/>
          </w:footnotePr>
          <w:pgSz w:w="11907" w:h="16834" w:code="9"/>
          <w:pgMar w:top="1134" w:right="1134" w:bottom="1134" w:left="1134" w:header="567" w:footer="567" w:gutter="0"/>
          <w:paperSrc w:first="4" w:other="4"/>
          <w:cols w:space="720"/>
          <w:titlePg/>
          <w:docGrid w:linePitch="299"/>
        </w:sectPr>
      </w:pPr>
    </w:p>
    <w:p w14:paraId="3E6431EF" w14:textId="7A5452B0" w:rsidR="00A44165" w:rsidRPr="002B71DE" w:rsidRDefault="00196BDD" w:rsidP="00204C2B">
      <w:pPr>
        <w:spacing w:before="0" w:line="240" w:lineRule="auto"/>
        <w:ind w:left="142"/>
        <w:jc w:val="center"/>
        <w:rPr>
          <w:b/>
          <w:bCs/>
          <w:color w:val="000000" w:themeColor="text1"/>
          <w:sz w:val="28"/>
          <w:szCs w:val="28"/>
        </w:rPr>
      </w:pPr>
      <w:bookmarkStart w:id="6" w:name="OpenAt"/>
      <w:bookmarkStart w:id="7" w:name="Annex1"/>
      <w:bookmarkStart w:id="8" w:name="AnnexA"/>
      <w:bookmarkEnd w:id="6"/>
      <w:r w:rsidRPr="002B71DE">
        <w:rPr>
          <w:b/>
          <w:bCs/>
          <w:color w:val="000000" w:themeColor="text1"/>
          <w:sz w:val="28"/>
          <w:szCs w:val="28"/>
        </w:rPr>
        <w:lastRenderedPageBreak/>
        <w:t>A</w:t>
      </w:r>
      <w:r w:rsidR="00204C2B">
        <w:rPr>
          <w:b/>
          <w:bCs/>
          <w:color w:val="000000" w:themeColor="text1"/>
          <w:sz w:val="28"/>
          <w:szCs w:val="28"/>
        </w:rPr>
        <w:t>NNEX</w:t>
      </w:r>
      <w:r w:rsidR="00F57FCA">
        <w:rPr>
          <w:b/>
          <w:bCs/>
          <w:color w:val="000000" w:themeColor="text1"/>
          <w:sz w:val="28"/>
          <w:szCs w:val="28"/>
        </w:rPr>
        <w:t xml:space="preserve"> </w:t>
      </w:r>
      <w:r w:rsidR="00AC332C">
        <w:rPr>
          <w:b/>
          <w:bCs/>
          <w:color w:val="000000" w:themeColor="text1"/>
          <w:sz w:val="28"/>
          <w:szCs w:val="28"/>
        </w:rPr>
        <w:t>A</w:t>
      </w:r>
    </w:p>
    <w:bookmarkEnd w:id="7"/>
    <w:bookmarkEnd w:id="8"/>
    <w:p w14:paraId="3049BCB6" w14:textId="318E0D2A" w:rsidR="00EA1AFE" w:rsidRPr="0005504F" w:rsidRDefault="000744EB" w:rsidP="00EA1AFE">
      <w:pPr>
        <w:pStyle w:val="Annextitle"/>
        <w:rPr>
          <w:bCs/>
        </w:rPr>
      </w:pPr>
      <w:r w:rsidRPr="000744EB">
        <w:rPr>
          <w:rFonts w:cs="Arial"/>
          <w:bCs/>
          <w:color w:val="000000" w:themeColor="text1"/>
          <w:szCs w:val="28"/>
        </w:rPr>
        <w:t>Member States</w:t>
      </w:r>
      <w:r w:rsidR="00A552F9">
        <w:rPr>
          <w:rFonts w:cs="Arial"/>
          <w:bCs/>
          <w:color w:val="000000" w:themeColor="text1"/>
          <w:szCs w:val="28"/>
        </w:rPr>
        <w:t>’</w:t>
      </w:r>
      <w:r w:rsidRPr="000744EB">
        <w:rPr>
          <w:rFonts w:cs="Arial"/>
          <w:bCs/>
          <w:color w:val="000000" w:themeColor="text1"/>
          <w:szCs w:val="28"/>
        </w:rPr>
        <w:t xml:space="preserve"> consultation on the </w:t>
      </w:r>
      <w:r w:rsidR="00A552F9">
        <w:rPr>
          <w:rFonts w:cs="Arial"/>
          <w:bCs/>
          <w:color w:val="000000" w:themeColor="text1"/>
          <w:szCs w:val="28"/>
        </w:rPr>
        <w:t>P</w:t>
      </w:r>
      <w:r w:rsidRPr="000744EB">
        <w:rPr>
          <w:rFonts w:cs="Arial"/>
          <w:bCs/>
          <w:color w:val="000000" w:themeColor="text1"/>
          <w:szCs w:val="28"/>
        </w:rPr>
        <w:t xml:space="preserve">recise place, exact dates, and </w:t>
      </w:r>
      <w:r w:rsidR="00127940">
        <w:rPr>
          <w:rFonts w:cs="Arial"/>
          <w:bCs/>
          <w:color w:val="000000" w:themeColor="text1"/>
          <w:szCs w:val="28"/>
        </w:rPr>
        <w:t xml:space="preserve">draft </w:t>
      </w:r>
      <w:r w:rsidRPr="000744EB">
        <w:rPr>
          <w:rFonts w:cs="Arial"/>
          <w:bCs/>
          <w:color w:val="000000" w:themeColor="text1"/>
          <w:szCs w:val="28"/>
        </w:rPr>
        <w:t>Agenda of WTDC-25</w:t>
      </w:r>
      <w:r w:rsidR="00A552F9">
        <w:rPr>
          <w:rFonts w:cs="Arial"/>
          <w:bCs/>
          <w:color w:val="000000" w:themeColor="text1"/>
          <w:szCs w:val="28"/>
        </w:rPr>
        <w:t>;</w:t>
      </w:r>
      <w:r w:rsidRPr="000744EB">
        <w:rPr>
          <w:rFonts w:cs="Arial"/>
          <w:bCs/>
          <w:color w:val="000000" w:themeColor="text1"/>
          <w:szCs w:val="28"/>
        </w:rPr>
        <w:t xml:space="preserve"> Agenda of WRC-27</w:t>
      </w:r>
      <w:r w:rsidR="00A552F9">
        <w:rPr>
          <w:rFonts w:cs="Arial"/>
          <w:bCs/>
          <w:color w:val="000000" w:themeColor="text1"/>
          <w:szCs w:val="28"/>
        </w:rPr>
        <w:t>;</w:t>
      </w:r>
      <w:r w:rsidRPr="000744EB">
        <w:rPr>
          <w:rFonts w:cs="Arial"/>
          <w:bCs/>
          <w:color w:val="000000" w:themeColor="text1"/>
          <w:szCs w:val="28"/>
        </w:rPr>
        <w:t xml:space="preserve"> </w:t>
      </w:r>
      <w:r w:rsidRPr="00A552F9">
        <w:rPr>
          <w:rFonts w:cs="Arial"/>
          <w:bCs/>
          <w:color w:val="000000" w:themeColor="text1"/>
          <w:szCs w:val="28"/>
        </w:rPr>
        <w:t xml:space="preserve">and </w:t>
      </w:r>
      <w:r w:rsidR="00EA1AFE" w:rsidRPr="0055410B">
        <w:rPr>
          <w:rFonts w:cs="Arial"/>
          <w:bCs/>
          <w:color w:val="000000" w:themeColor="text1"/>
          <w:szCs w:val="28"/>
        </w:rPr>
        <w:t xml:space="preserve">on the </w:t>
      </w:r>
      <w:r w:rsidR="00EA1AFE" w:rsidRPr="00A552F9">
        <w:rPr>
          <w:bCs/>
        </w:rPr>
        <w:t>Alternative</w:t>
      </w:r>
      <w:r w:rsidR="00EA1AFE" w:rsidRPr="0005504F">
        <w:t xml:space="preserve"> reassessed project for ITU’s headquarters premises</w:t>
      </w:r>
    </w:p>
    <w:p w14:paraId="3A042517" w14:textId="1195EF08" w:rsidR="00A44165" w:rsidRPr="0086733F" w:rsidRDefault="00A44165" w:rsidP="0000168D">
      <w:pPr>
        <w:tabs>
          <w:tab w:val="clear" w:pos="794"/>
          <w:tab w:val="clear" w:pos="1191"/>
          <w:tab w:val="clear" w:pos="1588"/>
          <w:tab w:val="clear" w:pos="1985"/>
          <w:tab w:val="right" w:leader="dot" w:pos="9072"/>
        </w:tabs>
        <w:spacing w:before="480" w:after="120" w:line="240" w:lineRule="auto"/>
        <w:ind w:left="-454"/>
        <w:jc w:val="left"/>
        <w:rPr>
          <w:b/>
          <w:bCs/>
          <w:color w:val="000000" w:themeColor="text1"/>
          <w:sz w:val="26"/>
          <w:szCs w:val="26"/>
        </w:rPr>
      </w:pPr>
      <w:r w:rsidRPr="0086733F">
        <w:rPr>
          <w:b/>
          <w:bCs/>
          <w:color w:val="000000" w:themeColor="text1"/>
          <w:sz w:val="26"/>
          <w:szCs w:val="26"/>
        </w:rPr>
        <w:t xml:space="preserve">Name of </w:t>
      </w:r>
      <w:r w:rsidR="00E951F7">
        <w:rPr>
          <w:b/>
          <w:bCs/>
          <w:color w:val="000000" w:themeColor="text1"/>
          <w:sz w:val="26"/>
          <w:szCs w:val="26"/>
        </w:rPr>
        <w:t xml:space="preserve">the </w:t>
      </w:r>
      <w:r w:rsidR="00D10E3E">
        <w:rPr>
          <w:b/>
          <w:bCs/>
          <w:color w:val="000000" w:themeColor="text1"/>
          <w:sz w:val="26"/>
          <w:szCs w:val="26"/>
        </w:rPr>
        <w:t xml:space="preserve">ITU </w:t>
      </w:r>
      <w:r w:rsidRPr="0086733F">
        <w:rPr>
          <w:b/>
          <w:bCs/>
          <w:color w:val="000000" w:themeColor="text1"/>
          <w:sz w:val="26"/>
          <w:szCs w:val="26"/>
        </w:rPr>
        <w:t xml:space="preserve">Member State: </w:t>
      </w:r>
    </w:p>
    <w:tbl>
      <w:tblPr>
        <w:tblStyle w:val="TableGrid"/>
        <w:tblW w:w="10349"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9"/>
      </w:tblGrid>
      <w:tr w:rsidR="00A44165" w14:paraId="13AEAF45" w14:textId="77777777" w:rsidTr="00C01237">
        <w:trPr>
          <w:trHeight w:val="510"/>
        </w:trPr>
        <w:tc>
          <w:tcPr>
            <w:tcW w:w="10349" w:type="dxa"/>
            <w:vAlign w:val="center"/>
          </w:tcPr>
          <w:p w14:paraId="4C0FC2BD" w14:textId="77777777" w:rsidR="00A44165" w:rsidRDefault="00A44165" w:rsidP="007276E7">
            <w:pPr>
              <w:spacing w:before="0" w:line="240" w:lineRule="auto"/>
              <w:jc w:val="left"/>
              <w:rPr>
                <w:b/>
                <w:bCs/>
                <w:color w:val="000000" w:themeColor="text1"/>
                <w:sz w:val="20"/>
                <w:szCs w:val="20"/>
              </w:rPr>
            </w:pPr>
          </w:p>
        </w:tc>
      </w:tr>
    </w:tbl>
    <w:p w14:paraId="49AB292E" w14:textId="77777777" w:rsidR="00DA3D24" w:rsidRDefault="00DA3D24" w:rsidP="00DA3D24">
      <w:pPr>
        <w:spacing w:before="40" w:after="40"/>
        <w:ind w:left="-426"/>
      </w:pPr>
    </w:p>
    <w:p w14:paraId="41CD58BE" w14:textId="77777777" w:rsidR="00912D8C" w:rsidRPr="00912D8C" w:rsidRDefault="00912D8C" w:rsidP="00912D8C">
      <w:pPr>
        <w:spacing w:before="40" w:after="40"/>
        <w:ind w:left="-426"/>
        <w:rPr>
          <w:rFonts w:eastAsia="Times New Roman"/>
        </w:rPr>
      </w:pPr>
    </w:p>
    <w:tbl>
      <w:tblPr>
        <w:tblStyle w:val="TableGrid"/>
        <w:tblW w:w="10344" w:type="dxa"/>
        <w:jc w:val="center"/>
        <w:tblLook w:val="04A0" w:firstRow="1" w:lastRow="0" w:firstColumn="1" w:lastColumn="0" w:noHBand="0" w:noVBand="1"/>
      </w:tblPr>
      <w:tblGrid>
        <w:gridCol w:w="2216"/>
        <w:gridCol w:w="1718"/>
        <w:gridCol w:w="3915"/>
        <w:gridCol w:w="651"/>
        <w:gridCol w:w="617"/>
        <w:gridCol w:w="1227"/>
      </w:tblGrid>
      <w:tr w:rsidR="002A0AEA" w14:paraId="0BADDD40" w14:textId="77777777" w:rsidTr="00EF7830">
        <w:trPr>
          <w:jc w:val="center"/>
        </w:trPr>
        <w:tc>
          <w:tcPr>
            <w:tcW w:w="2239" w:type="dxa"/>
            <w:vAlign w:val="center"/>
          </w:tcPr>
          <w:p w14:paraId="065AA98F" w14:textId="78DF5A32" w:rsidR="002A0AEA" w:rsidRPr="00320863" w:rsidRDefault="004761DB" w:rsidP="00B03072">
            <w:pPr>
              <w:spacing w:before="40" w:after="40"/>
              <w:jc w:val="center"/>
              <w:rPr>
                <w:b/>
                <w:bCs/>
              </w:rPr>
            </w:pPr>
            <w:r w:rsidRPr="00320863">
              <w:rPr>
                <w:b/>
                <w:bCs/>
              </w:rPr>
              <w:t>Subject</w:t>
            </w:r>
          </w:p>
        </w:tc>
        <w:tc>
          <w:tcPr>
            <w:tcW w:w="1725" w:type="dxa"/>
            <w:vAlign w:val="center"/>
          </w:tcPr>
          <w:p w14:paraId="5F277557" w14:textId="7180ADBE" w:rsidR="002A0AEA" w:rsidRDefault="004A73A5" w:rsidP="00B03072">
            <w:pPr>
              <w:spacing w:before="40" w:after="40"/>
              <w:jc w:val="center"/>
            </w:pPr>
            <w:r w:rsidRPr="004A73A5">
              <w:rPr>
                <w:b/>
                <w:bCs/>
              </w:rPr>
              <w:t>Reference document No.</w:t>
            </w:r>
          </w:p>
        </w:tc>
        <w:tc>
          <w:tcPr>
            <w:tcW w:w="3969" w:type="dxa"/>
            <w:vAlign w:val="center"/>
          </w:tcPr>
          <w:p w14:paraId="07CD72C2" w14:textId="077E0508" w:rsidR="002A0AEA" w:rsidRDefault="0018154C" w:rsidP="00B03072">
            <w:pPr>
              <w:spacing w:before="40" w:after="40"/>
              <w:jc w:val="center"/>
            </w:pPr>
            <w:r w:rsidRPr="0018154C">
              <w:rPr>
                <w:b/>
                <w:bCs/>
              </w:rPr>
              <w:t>Proposal</w:t>
            </w:r>
          </w:p>
        </w:tc>
        <w:tc>
          <w:tcPr>
            <w:tcW w:w="655" w:type="dxa"/>
            <w:vAlign w:val="center"/>
          </w:tcPr>
          <w:p w14:paraId="6FB84262" w14:textId="5CFDC628" w:rsidR="002A0AEA" w:rsidRPr="00320863" w:rsidRDefault="00320863" w:rsidP="00B03072">
            <w:pPr>
              <w:spacing w:before="40" w:after="40"/>
              <w:jc w:val="center"/>
              <w:rPr>
                <w:b/>
                <w:bCs/>
              </w:rPr>
            </w:pPr>
            <w:r w:rsidRPr="00320863">
              <w:rPr>
                <w:b/>
                <w:bCs/>
              </w:rPr>
              <w:t>Yes</w:t>
            </w:r>
          </w:p>
        </w:tc>
        <w:tc>
          <w:tcPr>
            <w:tcW w:w="621" w:type="dxa"/>
            <w:vAlign w:val="center"/>
          </w:tcPr>
          <w:p w14:paraId="0AD79580" w14:textId="721CAEDB" w:rsidR="002A0AEA" w:rsidRPr="00320863" w:rsidRDefault="00320863" w:rsidP="00B03072">
            <w:pPr>
              <w:spacing w:before="40" w:after="40"/>
              <w:jc w:val="center"/>
              <w:rPr>
                <w:b/>
                <w:bCs/>
              </w:rPr>
            </w:pPr>
            <w:r w:rsidRPr="00320863">
              <w:rPr>
                <w:b/>
                <w:bCs/>
              </w:rPr>
              <w:t>No</w:t>
            </w:r>
          </w:p>
        </w:tc>
        <w:tc>
          <w:tcPr>
            <w:tcW w:w="1135" w:type="dxa"/>
            <w:vAlign w:val="center"/>
          </w:tcPr>
          <w:p w14:paraId="0B8F188F" w14:textId="2498C355" w:rsidR="002A0AEA" w:rsidRPr="00320863" w:rsidRDefault="00320863" w:rsidP="00B03072">
            <w:pPr>
              <w:spacing w:before="40" w:after="40"/>
              <w:jc w:val="center"/>
              <w:rPr>
                <w:b/>
                <w:bCs/>
              </w:rPr>
            </w:pPr>
            <w:r w:rsidRPr="00320863">
              <w:rPr>
                <w:b/>
                <w:bCs/>
              </w:rPr>
              <w:t>Abstention</w:t>
            </w:r>
          </w:p>
        </w:tc>
      </w:tr>
      <w:tr w:rsidR="002A0AEA" w14:paraId="14EB196E" w14:textId="77777777" w:rsidTr="00EF7830">
        <w:trPr>
          <w:jc w:val="center"/>
        </w:trPr>
        <w:tc>
          <w:tcPr>
            <w:tcW w:w="2239" w:type="dxa"/>
            <w:vAlign w:val="center"/>
          </w:tcPr>
          <w:p w14:paraId="280D95AD" w14:textId="4D9CA01D" w:rsidR="002A0AEA" w:rsidRDefault="007118AA" w:rsidP="007118AA">
            <w:pPr>
              <w:spacing w:before="40" w:after="40"/>
              <w:jc w:val="left"/>
            </w:pPr>
            <w:r w:rsidRPr="007118AA">
              <w:t>Precise place</w:t>
            </w:r>
            <w:r w:rsidR="00B221E4">
              <w:t xml:space="preserve">, </w:t>
            </w:r>
            <w:r w:rsidRPr="007118AA">
              <w:t>exact dates of WTDC-25</w:t>
            </w:r>
          </w:p>
        </w:tc>
        <w:tc>
          <w:tcPr>
            <w:tcW w:w="1725" w:type="dxa"/>
            <w:vAlign w:val="center"/>
          </w:tcPr>
          <w:p w14:paraId="2C33D4E2" w14:textId="2CC64C53" w:rsidR="002A0AEA" w:rsidRDefault="00000000" w:rsidP="00992491">
            <w:pPr>
              <w:spacing w:before="40" w:after="40"/>
              <w:jc w:val="center"/>
            </w:pPr>
            <w:hyperlink r:id="rId21" w:history="1">
              <w:r w:rsidR="00B221E4" w:rsidRPr="00B221E4">
                <w:rPr>
                  <w:rStyle w:val="Hyperlink"/>
                </w:rPr>
                <w:t>Decision 637</w:t>
              </w:r>
            </w:hyperlink>
            <w:r w:rsidR="00B221E4">
              <w:t xml:space="preserve"> </w:t>
            </w:r>
          </w:p>
        </w:tc>
        <w:tc>
          <w:tcPr>
            <w:tcW w:w="3969" w:type="dxa"/>
            <w:vAlign w:val="center"/>
          </w:tcPr>
          <w:p w14:paraId="5B7A9D12" w14:textId="6AA62069" w:rsidR="002A0AEA" w:rsidRPr="00B9505B" w:rsidRDefault="00EF7830" w:rsidP="00B9505B">
            <w:pPr>
              <w:spacing w:before="40" w:after="40"/>
            </w:pPr>
            <w:r w:rsidRPr="00B9505B">
              <w:t>T</w:t>
            </w:r>
            <w:r w:rsidR="007118AA" w:rsidRPr="00B9505B">
              <w:t>he next World</w:t>
            </w:r>
            <w:r w:rsidR="00B9505B">
              <w:t xml:space="preserve"> </w:t>
            </w:r>
            <w:r w:rsidR="007118AA" w:rsidRPr="00B9505B">
              <w:t xml:space="preserve">Telecommunication Development Conference </w:t>
            </w:r>
            <w:r w:rsidR="009D18E3">
              <w:t xml:space="preserve">2025 </w:t>
            </w:r>
            <w:r w:rsidR="007118AA" w:rsidRPr="00B9505B">
              <w:t>(WTDC-25) will take place in Baku, Republic of Azerbaijan, from 17 to 28 November 2025</w:t>
            </w:r>
            <w:r w:rsidR="00605AA3" w:rsidRPr="00B9505B">
              <w:t xml:space="preserve">. </w:t>
            </w:r>
          </w:p>
        </w:tc>
        <w:tc>
          <w:tcPr>
            <w:tcW w:w="655" w:type="dxa"/>
            <w:vAlign w:val="center"/>
          </w:tcPr>
          <w:p w14:paraId="09E89382" w14:textId="77777777" w:rsidR="002A0AEA" w:rsidRDefault="002A0AEA" w:rsidP="00DA3D24">
            <w:pPr>
              <w:spacing w:before="40" w:after="40"/>
            </w:pPr>
          </w:p>
        </w:tc>
        <w:tc>
          <w:tcPr>
            <w:tcW w:w="621" w:type="dxa"/>
            <w:vAlign w:val="center"/>
          </w:tcPr>
          <w:p w14:paraId="3A6F9F25" w14:textId="77777777" w:rsidR="002A0AEA" w:rsidRDefault="002A0AEA" w:rsidP="00DA3D24">
            <w:pPr>
              <w:spacing w:before="40" w:after="40"/>
            </w:pPr>
          </w:p>
        </w:tc>
        <w:tc>
          <w:tcPr>
            <w:tcW w:w="1135" w:type="dxa"/>
            <w:vAlign w:val="center"/>
          </w:tcPr>
          <w:p w14:paraId="67391BC4" w14:textId="77777777" w:rsidR="002A0AEA" w:rsidRDefault="002A0AEA" w:rsidP="00DA3D24">
            <w:pPr>
              <w:spacing w:before="40" w:after="40"/>
            </w:pPr>
          </w:p>
        </w:tc>
      </w:tr>
      <w:tr w:rsidR="00B23CA9" w14:paraId="2A28CDA3" w14:textId="77777777" w:rsidTr="0055410B">
        <w:trPr>
          <w:trHeight w:val="795"/>
          <w:jc w:val="center"/>
        </w:trPr>
        <w:tc>
          <w:tcPr>
            <w:tcW w:w="2239" w:type="dxa"/>
            <w:vAlign w:val="center"/>
          </w:tcPr>
          <w:p w14:paraId="2EB80C93" w14:textId="2D5B6111" w:rsidR="00B23CA9" w:rsidRPr="007118AA" w:rsidRDefault="00B23CA9" w:rsidP="007118AA">
            <w:pPr>
              <w:spacing w:before="40" w:after="40"/>
              <w:jc w:val="left"/>
            </w:pPr>
            <w:r>
              <w:t>Draft agenda of WTD</w:t>
            </w:r>
            <w:r w:rsidR="0098078F">
              <w:t>C-25</w:t>
            </w:r>
          </w:p>
        </w:tc>
        <w:tc>
          <w:tcPr>
            <w:tcW w:w="1725" w:type="dxa"/>
            <w:vAlign w:val="center"/>
          </w:tcPr>
          <w:p w14:paraId="65C71D05" w14:textId="7AA9D231" w:rsidR="00B23CA9" w:rsidRDefault="00000000" w:rsidP="00992491">
            <w:pPr>
              <w:spacing w:before="40" w:after="40"/>
              <w:jc w:val="center"/>
            </w:pPr>
            <w:hyperlink r:id="rId22" w:history="1">
              <w:r w:rsidR="0098078F">
                <w:rPr>
                  <w:rStyle w:val="Hyperlink"/>
                </w:rPr>
                <w:t>C</w:t>
              </w:r>
              <w:r w:rsidR="0098078F" w:rsidRPr="00B221E4">
                <w:rPr>
                  <w:rStyle w:val="Hyperlink"/>
                </w:rPr>
                <w:t>24/30(Rev</w:t>
              </w:r>
              <w:r w:rsidR="00A552F9">
                <w:rPr>
                  <w:rStyle w:val="Hyperlink"/>
                </w:rPr>
                <w:t>.</w:t>
              </w:r>
              <w:r w:rsidR="0098078F" w:rsidRPr="00B221E4">
                <w:rPr>
                  <w:rStyle w:val="Hyperlink"/>
                </w:rPr>
                <w:t>1)</w:t>
              </w:r>
            </w:hyperlink>
          </w:p>
        </w:tc>
        <w:tc>
          <w:tcPr>
            <w:tcW w:w="3969" w:type="dxa"/>
            <w:vAlign w:val="center"/>
          </w:tcPr>
          <w:p w14:paraId="22B13CCF" w14:textId="2ADEDA70" w:rsidR="00B23CA9" w:rsidRPr="00B9505B" w:rsidRDefault="00342CDA" w:rsidP="00B9505B">
            <w:pPr>
              <w:spacing w:before="40" w:after="40"/>
            </w:pPr>
            <w:r>
              <w:t>Approve the d</w:t>
            </w:r>
            <w:r w:rsidR="00D770D0">
              <w:t>raft Agenda of WTDC</w:t>
            </w:r>
            <w:r w:rsidR="00A552F9">
              <w:t>-25</w:t>
            </w:r>
            <w:r w:rsidR="00D770D0">
              <w:t xml:space="preserve"> </w:t>
            </w:r>
          </w:p>
        </w:tc>
        <w:tc>
          <w:tcPr>
            <w:tcW w:w="655" w:type="dxa"/>
            <w:vAlign w:val="center"/>
          </w:tcPr>
          <w:p w14:paraId="04768B93" w14:textId="77777777" w:rsidR="00B23CA9" w:rsidRDefault="00B23CA9" w:rsidP="00DA3D24">
            <w:pPr>
              <w:spacing w:before="40" w:after="40"/>
            </w:pPr>
          </w:p>
        </w:tc>
        <w:tc>
          <w:tcPr>
            <w:tcW w:w="621" w:type="dxa"/>
            <w:vAlign w:val="center"/>
          </w:tcPr>
          <w:p w14:paraId="52D5269F" w14:textId="77777777" w:rsidR="00B23CA9" w:rsidRDefault="00B23CA9" w:rsidP="00DA3D24">
            <w:pPr>
              <w:spacing w:before="40" w:after="40"/>
            </w:pPr>
          </w:p>
        </w:tc>
        <w:tc>
          <w:tcPr>
            <w:tcW w:w="1135" w:type="dxa"/>
            <w:vAlign w:val="center"/>
          </w:tcPr>
          <w:p w14:paraId="56377FA5" w14:textId="77777777" w:rsidR="00B23CA9" w:rsidRDefault="00B23CA9" w:rsidP="00DA3D24">
            <w:pPr>
              <w:spacing w:before="40" w:after="40"/>
            </w:pPr>
          </w:p>
        </w:tc>
      </w:tr>
      <w:tr w:rsidR="002A0AEA" w14:paraId="55AE5B5C" w14:textId="77777777" w:rsidTr="0055410B">
        <w:trPr>
          <w:trHeight w:val="1047"/>
          <w:jc w:val="center"/>
        </w:trPr>
        <w:tc>
          <w:tcPr>
            <w:tcW w:w="2239" w:type="dxa"/>
            <w:vAlign w:val="center"/>
          </w:tcPr>
          <w:p w14:paraId="1A3B41AB" w14:textId="6B2AE88D" w:rsidR="002A0AEA" w:rsidRDefault="007118AA" w:rsidP="00DA3D24">
            <w:pPr>
              <w:spacing w:before="40" w:after="40"/>
            </w:pPr>
            <w:r w:rsidRPr="007118AA">
              <w:t>Agenda of WRC-27</w:t>
            </w:r>
          </w:p>
        </w:tc>
        <w:tc>
          <w:tcPr>
            <w:tcW w:w="1725" w:type="dxa"/>
            <w:vAlign w:val="center"/>
          </w:tcPr>
          <w:p w14:paraId="6E52F324" w14:textId="16D8AF36" w:rsidR="002A0AEA" w:rsidRDefault="00000000" w:rsidP="006D2408">
            <w:pPr>
              <w:spacing w:before="40" w:after="40"/>
              <w:jc w:val="center"/>
            </w:pPr>
            <w:hyperlink r:id="rId23" w:history="1">
              <w:r w:rsidR="00B221E4" w:rsidRPr="00B221E4">
                <w:rPr>
                  <w:rStyle w:val="Hyperlink"/>
                </w:rPr>
                <w:t>Resolution 1422</w:t>
              </w:r>
            </w:hyperlink>
          </w:p>
        </w:tc>
        <w:tc>
          <w:tcPr>
            <w:tcW w:w="3969" w:type="dxa"/>
            <w:vAlign w:val="center"/>
          </w:tcPr>
          <w:p w14:paraId="7F46AADA" w14:textId="228F0BA9" w:rsidR="002A0AEA" w:rsidRDefault="00342CDA" w:rsidP="006D728B">
            <w:pPr>
              <w:spacing w:before="40" w:after="40"/>
              <w:jc w:val="left"/>
            </w:pPr>
            <w:r>
              <w:t xml:space="preserve">Approve the </w:t>
            </w:r>
            <w:r w:rsidR="00EF7830" w:rsidRPr="00EF7830">
              <w:t>Agenda of the World Radiocommunication Conference 2027 (WRC-27)</w:t>
            </w:r>
          </w:p>
        </w:tc>
        <w:tc>
          <w:tcPr>
            <w:tcW w:w="655" w:type="dxa"/>
            <w:vAlign w:val="center"/>
          </w:tcPr>
          <w:p w14:paraId="55157A49" w14:textId="77777777" w:rsidR="002A0AEA" w:rsidRDefault="002A0AEA" w:rsidP="00DA3D24">
            <w:pPr>
              <w:spacing w:before="40" w:after="40"/>
            </w:pPr>
          </w:p>
        </w:tc>
        <w:tc>
          <w:tcPr>
            <w:tcW w:w="621" w:type="dxa"/>
            <w:vAlign w:val="center"/>
          </w:tcPr>
          <w:p w14:paraId="34011D8F" w14:textId="77777777" w:rsidR="002A0AEA" w:rsidRDefault="002A0AEA" w:rsidP="00DA3D24">
            <w:pPr>
              <w:spacing w:before="40" w:after="40"/>
            </w:pPr>
          </w:p>
        </w:tc>
        <w:tc>
          <w:tcPr>
            <w:tcW w:w="1135" w:type="dxa"/>
            <w:vAlign w:val="center"/>
          </w:tcPr>
          <w:p w14:paraId="29D7C507" w14:textId="77777777" w:rsidR="002A0AEA" w:rsidRDefault="002A0AEA" w:rsidP="00DA3D24">
            <w:pPr>
              <w:spacing w:before="40" w:after="40"/>
            </w:pPr>
          </w:p>
        </w:tc>
      </w:tr>
      <w:tr w:rsidR="002A0AEA" w14:paraId="6076FF18" w14:textId="77777777" w:rsidTr="00EF7830">
        <w:trPr>
          <w:jc w:val="center"/>
        </w:trPr>
        <w:tc>
          <w:tcPr>
            <w:tcW w:w="2239" w:type="dxa"/>
            <w:vAlign w:val="center"/>
          </w:tcPr>
          <w:p w14:paraId="1CF3ACA5" w14:textId="036ABBCD" w:rsidR="002A0AEA" w:rsidRDefault="007118AA" w:rsidP="007118AA">
            <w:pPr>
              <w:spacing w:before="40" w:after="40"/>
              <w:jc w:val="left"/>
            </w:pPr>
            <w:r>
              <w:t>N</w:t>
            </w:r>
            <w:r w:rsidRPr="007118AA">
              <w:t>ew Union's Headquarters Premises Project</w:t>
            </w:r>
          </w:p>
        </w:tc>
        <w:tc>
          <w:tcPr>
            <w:tcW w:w="1725" w:type="dxa"/>
            <w:vAlign w:val="center"/>
          </w:tcPr>
          <w:p w14:paraId="4B32EFB6" w14:textId="71989017" w:rsidR="002A0AEA" w:rsidRPr="00596C11" w:rsidRDefault="00000000" w:rsidP="00415070">
            <w:pPr>
              <w:spacing w:before="40" w:after="40"/>
              <w:jc w:val="center"/>
              <w:rPr>
                <w:i/>
                <w:iCs/>
              </w:rPr>
            </w:pPr>
            <w:hyperlink r:id="rId24" w:history="1">
              <w:r w:rsidR="00B221E4" w:rsidRPr="00B221E4">
                <w:rPr>
                  <w:rStyle w:val="Hyperlink"/>
                </w:rPr>
                <w:t>Decision 640</w:t>
              </w:r>
            </w:hyperlink>
          </w:p>
        </w:tc>
        <w:tc>
          <w:tcPr>
            <w:tcW w:w="3969" w:type="dxa"/>
            <w:vAlign w:val="center"/>
          </w:tcPr>
          <w:p w14:paraId="7C22F4AD" w14:textId="50EA0B2E" w:rsidR="002A0AEA" w:rsidRPr="00B221E4" w:rsidRDefault="00342CDA" w:rsidP="00DD0725">
            <w:pPr>
              <w:spacing w:before="40" w:after="40"/>
              <w:jc w:val="left"/>
            </w:pPr>
            <w:r>
              <w:t>Approve t</w:t>
            </w:r>
            <w:r w:rsidR="00AE0791">
              <w:t xml:space="preserve">he </w:t>
            </w:r>
            <w:r w:rsidR="00AE0791" w:rsidRPr="00AE0791">
              <w:t>alternative reassessed project for ITU’s headquarters premises</w:t>
            </w:r>
          </w:p>
        </w:tc>
        <w:tc>
          <w:tcPr>
            <w:tcW w:w="655" w:type="dxa"/>
            <w:vAlign w:val="center"/>
          </w:tcPr>
          <w:p w14:paraId="64118FB3" w14:textId="77777777" w:rsidR="002A0AEA" w:rsidRDefault="002A0AEA" w:rsidP="00DA3D24">
            <w:pPr>
              <w:spacing w:before="40" w:after="40"/>
            </w:pPr>
          </w:p>
        </w:tc>
        <w:tc>
          <w:tcPr>
            <w:tcW w:w="621" w:type="dxa"/>
            <w:vAlign w:val="center"/>
          </w:tcPr>
          <w:p w14:paraId="10C2B3CD" w14:textId="77777777" w:rsidR="002A0AEA" w:rsidRDefault="002A0AEA" w:rsidP="00DA3D24">
            <w:pPr>
              <w:spacing w:before="40" w:after="40"/>
            </w:pPr>
          </w:p>
        </w:tc>
        <w:tc>
          <w:tcPr>
            <w:tcW w:w="1135" w:type="dxa"/>
            <w:vAlign w:val="center"/>
          </w:tcPr>
          <w:p w14:paraId="187876EC" w14:textId="77777777" w:rsidR="002A0AEA" w:rsidRDefault="002A0AEA" w:rsidP="00DA3D24">
            <w:pPr>
              <w:spacing w:before="40" w:after="40"/>
            </w:pPr>
          </w:p>
        </w:tc>
      </w:tr>
    </w:tbl>
    <w:p w14:paraId="604331B4" w14:textId="77777777" w:rsidR="00DA3D24" w:rsidRPr="00DA3D24" w:rsidRDefault="00DA3D24" w:rsidP="00DA3D24">
      <w:pPr>
        <w:spacing w:before="40" w:after="40"/>
        <w:ind w:left="-426"/>
        <w:rPr>
          <w:rFonts w:eastAsia="Times New Roman"/>
        </w:rPr>
      </w:pPr>
    </w:p>
    <w:p w14:paraId="64034A12" w14:textId="0A63AE91" w:rsidR="00126EA3" w:rsidRDefault="00E23693" w:rsidP="00DA3D24">
      <w:pPr>
        <w:spacing w:before="600"/>
        <w:ind w:left="-284"/>
        <w:rPr>
          <w:rFonts w:asciiTheme="minorHAnsi" w:hAnsiTheme="minorHAnsi" w:cstheme="minorHAnsi"/>
          <w:color w:val="000000" w:themeColor="text1"/>
        </w:rPr>
      </w:pPr>
      <w:r w:rsidRPr="00774B97">
        <w:rPr>
          <w:rFonts w:asciiTheme="minorHAnsi" w:hAnsiTheme="minorHAnsi" w:cstheme="minorHAnsi"/>
          <w:color w:val="000000" w:themeColor="text1"/>
        </w:rPr>
        <w:t xml:space="preserve">Focal </w:t>
      </w:r>
      <w:r w:rsidR="00DE2935">
        <w:rPr>
          <w:rFonts w:asciiTheme="minorHAnsi" w:hAnsiTheme="minorHAnsi" w:cstheme="minorHAnsi"/>
          <w:color w:val="000000" w:themeColor="text1"/>
        </w:rPr>
        <w:t>P</w:t>
      </w:r>
      <w:r w:rsidRPr="00774B97">
        <w:rPr>
          <w:rFonts w:asciiTheme="minorHAnsi" w:hAnsiTheme="minorHAnsi" w:cstheme="minorHAnsi"/>
          <w:color w:val="000000" w:themeColor="text1"/>
        </w:rPr>
        <w:t>oints</w:t>
      </w:r>
      <w:r w:rsidR="0083274A" w:rsidRPr="00774B97">
        <w:rPr>
          <w:rFonts w:asciiTheme="minorHAnsi" w:hAnsiTheme="minorHAnsi" w:cstheme="minorHAnsi"/>
          <w:color w:val="000000" w:themeColor="text1"/>
        </w:rPr>
        <w:t xml:space="preserve"> </w:t>
      </w:r>
      <w:r w:rsidR="0074001A" w:rsidRPr="00DD593F">
        <w:rPr>
          <w:rFonts w:asciiTheme="minorHAnsi" w:hAnsiTheme="minorHAnsi" w:cstheme="minorHAnsi"/>
          <w:color w:val="000000" w:themeColor="text1"/>
        </w:rPr>
        <w:t xml:space="preserve">are </w:t>
      </w:r>
      <w:r w:rsidR="00DA3D24">
        <w:rPr>
          <w:rFonts w:asciiTheme="minorHAnsi" w:hAnsiTheme="minorHAnsi" w:cstheme="minorHAnsi"/>
          <w:color w:val="000000" w:themeColor="text1"/>
        </w:rPr>
        <w:t xml:space="preserve">encouraged to use </w:t>
      </w:r>
      <w:r w:rsidR="0074001A">
        <w:rPr>
          <w:rFonts w:asciiTheme="minorHAnsi" w:hAnsiTheme="minorHAnsi" w:cstheme="minorHAnsi"/>
          <w:color w:val="000000" w:themeColor="text1"/>
        </w:rPr>
        <w:t xml:space="preserve">the </w:t>
      </w:r>
      <w:hyperlink r:id="rId25" w:history="1">
        <w:r w:rsidR="00D44C69" w:rsidRPr="00A01E9B">
          <w:rPr>
            <w:rStyle w:val="Hyperlink"/>
          </w:rPr>
          <w:t>online tool</w:t>
        </w:r>
        <w:r w:rsidR="009D7747" w:rsidRPr="00A01E9B">
          <w:rPr>
            <w:rStyle w:val="Hyperlink"/>
          </w:rPr>
          <w:t>,</w:t>
        </w:r>
      </w:hyperlink>
      <w:r w:rsidR="009D7747">
        <w:t xml:space="preserve"> </w:t>
      </w:r>
      <w:r w:rsidR="0074001A">
        <w:rPr>
          <w:rFonts w:asciiTheme="minorHAnsi" w:hAnsiTheme="minorHAnsi" w:cstheme="minorHAnsi"/>
          <w:color w:val="000000" w:themeColor="text1"/>
        </w:rPr>
        <w:t xml:space="preserve">or alternatively </w:t>
      </w:r>
      <w:r w:rsidR="00DA3D24" w:rsidRPr="00204C2B">
        <w:rPr>
          <w:rFonts w:asciiTheme="minorHAnsi" w:hAnsiTheme="minorHAnsi" w:cstheme="minorHAnsi"/>
          <w:color w:val="000000" w:themeColor="text1"/>
        </w:rPr>
        <w:t>send the</w:t>
      </w:r>
      <w:r w:rsidR="00DA3D24">
        <w:rPr>
          <w:rFonts w:asciiTheme="minorHAnsi" w:hAnsiTheme="minorHAnsi" w:cstheme="minorHAnsi"/>
          <w:color w:val="000000" w:themeColor="text1"/>
        </w:rPr>
        <w:t>ir</w:t>
      </w:r>
      <w:r w:rsidR="00DA3D24" w:rsidRPr="00204C2B">
        <w:rPr>
          <w:rFonts w:asciiTheme="minorHAnsi" w:hAnsiTheme="minorHAnsi" w:cstheme="minorHAnsi"/>
          <w:color w:val="000000" w:themeColor="text1"/>
        </w:rPr>
        <w:t xml:space="preserve"> </w:t>
      </w:r>
      <w:r w:rsidR="00DA3D24">
        <w:rPr>
          <w:rFonts w:asciiTheme="minorHAnsi" w:hAnsiTheme="minorHAnsi" w:cstheme="minorHAnsi"/>
          <w:color w:val="000000" w:themeColor="text1"/>
        </w:rPr>
        <w:t xml:space="preserve">response via </w:t>
      </w:r>
      <w:r w:rsidR="0074001A" w:rsidRPr="00204C2B">
        <w:rPr>
          <w:rFonts w:asciiTheme="minorHAnsi" w:hAnsiTheme="minorHAnsi" w:cstheme="minorHAnsi"/>
          <w:color w:val="000000" w:themeColor="text1"/>
        </w:rPr>
        <w:t>e-mail</w:t>
      </w:r>
      <w:r w:rsidR="0074001A" w:rsidRPr="00774B97" w:rsidDel="0074001A">
        <w:rPr>
          <w:rFonts w:asciiTheme="minorHAnsi" w:hAnsiTheme="minorHAnsi" w:cstheme="minorHAnsi"/>
          <w:color w:val="000000" w:themeColor="text1"/>
        </w:rPr>
        <w:t xml:space="preserve"> </w:t>
      </w:r>
      <w:r w:rsidR="0095403A" w:rsidRPr="00204C2B">
        <w:rPr>
          <w:rFonts w:asciiTheme="minorHAnsi" w:hAnsiTheme="minorHAnsi" w:cstheme="minorHAnsi"/>
          <w:color w:val="000000" w:themeColor="text1"/>
        </w:rPr>
        <w:t xml:space="preserve">to </w:t>
      </w:r>
      <w:hyperlink r:id="rId26" w:history="1">
        <w:r w:rsidR="0095403A" w:rsidRPr="00204C2B">
          <w:rPr>
            <w:rStyle w:val="Hyperlink"/>
            <w:rFonts w:asciiTheme="minorHAnsi" w:hAnsiTheme="minorHAnsi" w:cstheme="minorHAnsi"/>
          </w:rPr>
          <w:t>memberstates@itu.int</w:t>
        </w:r>
      </w:hyperlink>
      <w:r w:rsidR="0095403A" w:rsidRPr="00204C2B">
        <w:rPr>
          <w:rFonts w:asciiTheme="minorHAnsi" w:hAnsiTheme="minorHAnsi" w:cstheme="minorHAnsi"/>
          <w:color w:val="000000" w:themeColor="text1"/>
        </w:rPr>
        <w:t xml:space="preserve"> </w:t>
      </w:r>
      <w:r w:rsidR="00DA3D24">
        <w:rPr>
          <w:rFonts w:asciiTheme="minorHAnsi" w:hAnsiTheme="minorHAnsi" w:cstheme="minorHAnsi"/>
          <w:color w:val="000000" w:themeColor="text1"/>
        </w:rPr>
        <w:t xml:space="preserve">using this </w:t>
      </w:r>
      <w:hyperlink w:anchor="AnnexA" w:history="1">
        <w:r w:rsidR="00DA3D24" w:rsidRPr="00ED218A">
          <w:rPr>
            <w:rStyle w:val="Hyperlink"/>
            <w:rFonts w:asciiTheme="minorHAnsi" w:hAnsiTheme="minorHAnsi" w:cstheme="minorHAnsi"/>
          </w:rPr>
          <w:t>Annex</w:t>
        </w:r>
      </w:hyperlink>
      <w:r w:rsidR="00DA3D24">
        <w:rPr>
          <w:rFonts w:asciiTheme="minorHAnsi" w:hAnsiTheme="minorHAnsi" w:cstheme="minorHAnsi"/>
          <w:color w:val="000000" w:themeColor="text1"/>
        </w:rPr>
        <w:t xml:space="preserve">, </w:t>
      </w:r>
      <w:r w:rsidR="0095403A" w:rsidRPr="00204C2B">
        <w:rPr>
          <w:rFonts w:asciiTheme="minorHAnsi" w:hAnsiTheme="minorHAnsi" w:cstheme="minorHAnsi"/>
          <w:b/>
          <w:bCs/>
          <w:color w:val="000000" w:themeColor="text1"/>
        </w:rPr>
        <w:t xml:space="preserve">not later </w:t>
      </w:r>
      <w:r w:rsidR="0095403A" w:rsidRPr="00AA3BBA">
        <w:rPr>
          <w:rFonts w:asciiTheme="minorHAnsi" w:hAnsiTheme="minorHAnsi" w:cstheme="minorHAnsi"/>
          <w:b/>
          <w:bCs/>
          <w:color w:val="000000" w:themeColor="text1"/>
        </w:rPr>
        <w:t>than</w:t>
      </w:r>
      <w:r w:rsidR="008D22CC" w:rsidRPr="00596C11">
        <w:rPr>
          <w:rFonts w:asciiTheme="minorHAnsi" w:hAnsiTheme="minorHAnsi" w:cstheme="minorHAnsi"/>
          <w:b/>
          <w:bCs/>
          <w:i/>
          <w:iCs/>
          <w:color w:val="000000" w:themeColor="text1"/>
        </w:rPr>
        <w:t xml:space="preserve"> </w:t>
      </w:r>
      <w:r w:rsidR="00C40A03" w:rsidRPr="00AE0791">
        <w:rPr>
          <w:rFonts w:asciiTheme="minorHAnsi" w:hAnsiTheme="minorHAnsi" w:cstheme="minorHAnsi"/>
          <w:b/>
          <w:bCs/>
          <w:color w:val="000000" w:themeColor="text1"/>
        </w:rPr>
        <w:t>3</w:t>
      </w:r>
      <w:r w:rsidR="00C40A03">
        <w:rPr>
          <w:rFonts w:asciiTheme="minorHAnsi" w:hAnsiTheme="minorHAnsi" w:cstheme="minorHAnsi"/>
          <w:b/>
          <w:bCs/>
          <w:color w:val="000000" w:themeColor="text1"/>
        </w:rPr>
        <w:t>1</w:t>
      </w:r>
      <w:r w:rsidR="00C40A03" w:rsidRPr="00AE0791">
        <w:rPr>
          <w:rFonts w:asciiTheme="minorHAnsi" w:hAnsiTheme="minorHAnsi" w:cstheme="minorHAnsi"/>
          <w:b/>
          <w:bCs/>
          <w:color w:val="000000" w:themeColor="text1"/>
        </w:rPr>
        <w:t xml:space="preserve"> </w:t>
      </w:r>
      <w:r w:rsidR="00555D7B" w:rsidRPr="00AE0791">
        <w:rPr>
          <w:rFonts w:asciiTheme="minorHAnsi" w:hAnsiTheme="minorHAnsi" w:cstheme="minorHAnsi"/>
          <w:b/>
          <w:bCs/>
          <w:color w:val="000000" w:themeColor="text1"/>
        </w:rPr>
        <w:t>August</w:t>
      </w:r>
      <w:r w:rsidR="000337B9" w:rsidRPr="00AE0791">
        <w:rPr>
          <w:rFonts w:asciiTheme="minorHAnsi" w:hAnsiTheme="minorHAnsi" w:cstheme="minorHAnsi"/>
          <w:b/>
          <w:bCs/>
          <w:color w:val="000000" w:themeColor="text1"/>
        </w:rPr>
        <w:t xml:space="preserve"> </w:t>
      </w:r>
      <w:r w:rsidR="005D523B" w:rsidRPr="00AE0791">
        <w:rPr>
          <w:rFonts w:asciiTheme="minorHAnsi" w:hAnsiTheme="minorHAnsi" w:cstheme="minorHAnsi"/>
          <w:b/>
          <w:bCs/>
          <w:color w:val="000000" w:themeColor="text1"/>
        </w:rPr>
        <w:t>202</w:t>
      </w:r>
      <w:r w:rsidR="00B03072" w:rsidRPr="00AE0791">
        <w:rPr>
          <w:rFonts w:asciiTheme="minorHAnsi" w:hAnsiTheme="minorHAnsi" w:cstheme="minorHAnsi"/>
          <w:b/>
          <w:bCs/>
          <w:color w:val="000000" w:themeColor="text1"/>
        </w:rPr>
        <w:t>4</w:t>
      </w:r>
      <w:r w:rsidR="0095403A" w:rsidRPr="00596C11">
        <w:rPr>
          <w:rFonts w:asciiTheme="minorHAnsi" w:hAnsiTheme="minorHAnsi" w:cstheme="minorHAnsi"/>
          <w:i/>
          <w:iCs/>
          <w:color w:val="000000" w:themeColor="text1"/>
        </w:rPr>
        <w:t>.</w:t>
      </w:r>
    </w:p>
    <w:p w14:paraId="2F1C2332" w14:textId="657F0855" w:rsidR="00F57FCA" w:rsidRDefault="00F57FC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themeColor="text1"/>
        </w:rPr>
      </w:pPr>
      <w:r>
        <w:rPr>
          <w:rFonts w:asciiTheme="minorHAnsi" w:hAnsiTheme="minorHAnsi" w:cstheme="minorHAnsi"/>
          <w:color w:val="000000" w:themeColor="text1"/>
        </w:rPr>
        <w:br w:type="page"/>
      </w:r>
    </w:p>
    <w:p w14:paraId="556F968B" w14:textId="253C20A9" w:rsidR="00F57FCA" w:rsidRPr="00AC332C" w:rsidRDefault="00F57FCA" w:rsidP="00F57FCA">
      <w:pPr>
        <w:spacing w:before="600"/>
        <w:ind w:left="-284"/>
        <w:jc w:val="center"/>
        <w:rPr>
          <w:rFonts w:asciiTheme="minorHAnsi" w:hAnsiTheme="minorHAnsi" w:cstheme="minorHAnsi"/>
          <w:b/>
          <w:bCs/>
          <w:color w:val="000000" w:themeColor="text1"/>
          <w:sz w:val="28"/>
          <w:szCs w:val="28"/>
        </w:rPr>
      </w:pPr>
      <w:bookmarkStart w:id="9" w:name="Annex2"/>
      <w:bookmarkStart w:id="10" w:name="AnnexB"/>
      <w:r w:rsidRPr="00AC332C">
        <w:rPr>
          <w:rFonts w:asciiTheme="minorHAnsi" w:hAnsiTheme="minorHAnsi" w:cstheme="minorHAnsi"/>
          <w:b/>
          <w:bCs/>
          <w:color w:val="000000" w:themeColor="text1"/>
          <w:sz w:val="28"/>
          <w:szCs w:val="28"/>
        </w:rPr>
        <w:lastRenderedPageBreak/>
        <w:t xml:space="preserve">ANNEX </w:t>
      </w:r>
      <w:r w:rsidR="00AC332C" w:rsidRPr="00AC332C">
        <w:rPr>
          <w:rFonts w:asciiTheme="minorHAnsi" w:hAnsiTheme="minorHAnsi" w:cstheme="minorHAnsi"/>
          <w:b/>
          <w:bCs/>
          <w:color w:val="000000" w:themeColor="text1"/>
          <w:sz w:val="28"/>
          <w:szCs w:val="28"/>
        </w:rPr>
        <w:t>B</w:t>
      </w:r>
    </w:p>
    <w:bookmarkEnd w:id="9"/>
    <w:bookmarkEnd w:id="10"/>
    <w:p w14:paraId="4C3B40CA" w14:textId="77777777" w:rsidR="008701C2" w:rsidRDefault="008701C2" w:rsidP="008701C2">
      <w:pPr>
        <w:pStyle w:val="ResNo"/>
      </w:pPr>
    </w:p>
    <w:p w14:paraId="39BFD823" w14:textId="77777777" w:rsidR="008701C2" w:rsidRDefault="008701C2" w:rsidP="008701C2">
      <w:pPr>
        <w:pStyle w:val="ResNo"/>
      </w:pPr>
    </w:p>
    <w:p w14:paraId="0BAC3838" w14:textId="77777777" w:rsidR="003D0210" w:rsidRDefault="003D0210" w:rsidP="003D0210">
      <w:pPr>
        <w:pStyle w:val="ResNo"/>
      </w:pPr>
      <w:r>
        <w:t>DECISION 637</w:t>
      </w:r>
    </w:p>
    <w:p w14:paraId="68F57D74" w14:textId="77777777" w:rsidR="003D0210" w:rsidRPr="007673F2" w:rsidRDefault="003D0210" w:rsidP="003D0210">
      <w:pPr>
        <w:pStyle w:val="Resref"/>
      </w:pPr>
      <w:r w:rsidRPr="007673F2">
        <w:t xml:space="preserve">(adopted at the </w:t>
      </w:r>
      <w:r>
        <w:t>second</w:t>
      </w:r>
      <w:r w:rsidRPr="007673F2">
        <w:t xml:space="preserve"> Plenary meeting)</w:t>
      </w:r>
    </w:p>
    <w:p w14:paraId="2CDAC56D" w14:textId="77777777" w:rsidR="003D0210" w:rsidRPr="00300C42" w:rsidRDefault="003D0210" w:rsidP="003D0210">
      <w:pPr>
        <w:pStyle w:val="Restitle"/>
        <w:rPr>
          <w:sz w:val="24"/>
          <w:szCs w:val="24"/>
        </w:rPr>
      </w:pPr>
      <w:r>
        <w:t>Convening of the 2025 World Telecommunication Development Conference (WTDC-25)</w:t>
      </w:r>
    </w:p>
    <w:p w14:paraId="5FD4AADB" w14:textId="77777777" w:rsidR="003D0210" w:rsidRPr="0055410B" w:rsidRDefault="003D0210" w:rsidP="003D0210">
      <w:pPr>
        <w:pStyle w:val="Normalaftertitle0"/>
        <w:rPr>
          <w:rFonts w:asciiTheme="minorHAnsi" w:eastAsia="MS Mincho" w:hAnsiTheme="minorHAnsi" w:cstheme="minorHAnsi"/>
          <w:sz w:val="22"/>
          <w:szCs w:val="22"/>
          <w:lang w:val="en-US"/>
        </w:rPr>
      </w:pPr>
      <w:r w:rsidRPr="0055410B">
        <w:rPr>
          <w:rFonts w:asciiTheme="minorHAnsi" w:eastAsia="MS Mincho" w:hAnsiTheme="minorHAnsi" w:cstheme="minorHAnsi"/>
          <w:sz w:val="22"/>
          <w:szCs w:val="22"/>
          <w:lang w:val="en-US"/>
        </w:rPr>
        <w:t>The ITU Council,</w:t>
      </w:r>
    </w:p>
    <w:p w14:paraId="7CAB7F9A" w14:textId="77777777" w:rsidR="003D0210" w:rsidRPr="0074328D" w:rsidRDefault="003D0210" w:rsidP="003D0210">
      <w:pPr>
        <w:pStyle w:val="Call"/>
      </w:pPr>
      <w:r w:rsidRPr="0074328D">
        <w:t>noting</w:t>
      </w:r>
    </w:p>
    <w:p w14:paraId="5A4B344D" w14:textId="77777777" w:rsidR="003D0210" w:rsidRPr="00112321" w:rsidRDefault="003D0210" w:rsidP="003D0210">
      <w:pPr>
        <w:rPr>
          <w:rFonts w:asciiTheme="minorHAnsi" w:hAnsiTheme="minorHAnsi" w:cstheme="minorHAnsi"/>
        </w:rPr>
      </w:pPr>
      <w:r>
        <w:t xml:space="preserve">that WTDC-25 is scheduled to be held in the last quarter of 2025, in accordance with Resolution 77 (Rev. Bucharest, 2022) of the Plenipotentiary Conference on scheduling and </w:t>
      </w:r>
      <w:r w:rsidRPr="00112321">
        <w:rPr>
          <w:rFonts w:asciiTheme="minorHAnsi" w:hAnsiTheme="minorHAnsi" w:cstheme="minorHAnsi"/>
        </w:rPr>
        <w:t>duration of conferences, forums, assemblies and Council sessions of the Union (2023-2027),</w:t>
      </w:r>
    </w:p>
    <w:p w14:paraId="12224378" w14:textId="77777777" w:rsidR="003D0210" w:rsidRPr="00112321" w:rsidRDefault="003D0210" w:rsidP="003D0210">
      <w:pPr>
        <w:pStyle w:val="Call"/>
        <w:rPr>
          <w:rFonts w:asciiTheme="minorHAnsi" w:hAnsiTheme="minorHAnsi" w:cstheme="minorHAnsi"/>
        </w:rPr>
      </w:pPr>
      <w:r w:rsidRPr="00112321">
        <w:rPr>
          <w:rFonts w:asciiTheme="minorHAnsi" w:hAnsiTheme="minorHAnsi" w:cstheme="minorHAnsi"/>
        </w:rPr>
        <w:t>decides</w:t>
      </w:r>
    </w:p>
    <w:p w14:paraId="47830FBC" w14:textId="77777777" w:rsidR="003D0210" w:rsidRPr="00112321" w:rsidRDefault="003D0210" w:rsidP="003D0210">
      <w:pPr>
        <w:rPr>
          <w:rFonts w:asciiTheme="minorHAnsi" w:hAnsiTheme="minorHAnsi" w:cstheme="minorHAnsi"/>
        </w:rPr>
      </w:pPr>
      <w:r w:rsidRPr="00112321">
        <w:rPr>
          <w:rFonts w:asciiTheme="minorHAnsi" w:hAnsiTheme="minorHAnsi" w:cstheme="minorHAnsi"/>
        </w:rPr>
        <w:t>that, subject to the concurrence of the majority of the Member States of the Union, the next World Telecommunication Development Conference (WTDC-25) will take place in Baku, Republic of Azerbaijan, from 17 to 28 November 2025,</w:t>
      </w:r>
    </w:p>
    <w:p w14:paraId="09FF8188" w14:textId="77777777" w:rsidR="003D0210" w:rsidRPr="00112321" w:rsidRDefault="003D0210" w:rsidP="003D0210">
      <w:pPr>
        <w:pStyle w:val="Call"/>
        <w:rPr>
          <w:rFonts w:asciiTheme="minorHAnsi" w:hAnsiTheme="minorHAnsi" w:cstheme="minorHAnsi"/>
        </w:rPr>
      </w:pPr>
      <w:r w:rsidRPr="00112321">
        <w:rPr>
          <w:rFonts w:asciiTheme="minorHAnsi" w:hAnsiTheme="minorHAnsi" w:cstheme="minorHAnsi"/>
        </w:rPr>
        <w:t xml:space="preserve">instructs the </w:t>
      </w:r>
      <w:proofErr w:type="gramStart"/>
      <w:r w:rsidRPr="00112321">
        <w:rPr>
          <w:rFonts w:asciiTheme="minorHAnsi" w:hAnsiTheme="minorHAnsi" w:cstheme="minorHAnsi"/>
        </w:rPr>
        <w:t>Secretary-General</w:t>
      </w:r>
      <w:proofErr w:type="gramEnd"/>
    </w:p>
    <w:p w14:paraId="2A18F6E7" w14:textId="77777777" w:rsidR="003D0210" w:rsidRPr="00112321" w:rsidRDefault="003D0210" w:rsidP="003D0210">
      <w:pPr>
        <w:rPr>
          <w:rFonts w:asciiTheme="minorHAnsi" w:hAnsiTheme="minorHAnsi" w:cstheme="minorHAnsi"/>
        </w:rPr>
      </w:pPr>
      <w:r w:rsidRPr="00112321">
        <w:rPr>
          <w:rFonts w:asciiTheme="minorHAnsi" w:hAnsiTheme="minorHAnsi" w:cstheme="minorHAnsi"/>
        </w:rPr>
        <w:t>to undertake a site visit and report to the 2025 session of the Council.</w:t>
      </w:r>
    </w:p>
    <w:p w14:paraId="1AC4D41C" w14:textId="77777777" w:rsidR="003D0210" w:rsidRPr="00112321" w:rsidRDefault="003D0210" w:rsidP="003D0210">
      <w:pPr>
        <w:pStyle w:val="Reasons"/>
        <w:rPr>
          <w:rFonts w:asciiTheme="minorHAnsi" w:hAnsiTheme="minorHAnsi" w:cstheme="minorHAnsi"/>
          <w:lang w:val="en-GB"/>
        </w:rPr>
      </w:pPr>
    </w:p>
    <w:p w14:paraId="0C0A07FF" w14:textId="77777777" w:rsidR="003D0210" w:rsidRPr="00D8129A" w:rsidRDefault="003D0210" w:rsidP="003D0210">
      <w:pPr>
        <w:jc w:val="center"/>
      </w:pPr>
      <w:r w:rsidRPr="00112321">
        <w:rPr>
          <w:rFonts w:asciiTheme="minorHAnsi" w:hAnsiTheme="minorHAnsi" w:cstheme="minorHAnsi"/>
        </w:rPr>
        <w:t>______________</w:t>
      </w:r>
    </w:p>
    <w:p w14:paraId="4A4F82A0" w14:textId="306C63A5" w:rsidR="000C77A4" w:rsidRDefault="000C77A4" w:rsidP="003D0210">
      <w:pPr>
        <w:pStyle w:val="ResNo"/>
        <w:rPr>
          <w:rFonts w:asciiTheme="minorHAnsi" w:hAnsiTheme="minorHAnsi" w:cstheme="minorHAnsi"/>
          <w:b/>
          <w:bCs/>
          <w:color w:val="000000" w:themeColor="text1"/>
          <w:szCs w:val="28"/>
        </w:rPr>
      </w:pPr>
    </w:p>
    <w:p w14:paraId="49378490" w14:textId="77777777" w:rsidR="000C77A4" w:rsidRDefault="000C77A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caps/>
          <w:color w:val="000000" w:themeColor="text1"/>
          <w:sz w:val="28"/>
          <w:szCs w:val="28"/>
        </w:rPr>
      </w:pPr>
      <w:r>
        <w:rPr>
          <w:rFonts w:asciiTheme="minorHAnsi" w:hAnsiTheme="minorHAnsi" w:cstheme="minorHAnsi"/>
          <w:b/>
          <w:bCs/>
          <w:color w:val="000000" w:themeColor="text1"/>
          <w:szCs w:val="28"/>
        </w:rPr>
        <w:br w:type="page"/>
      </w:r>
    </w:p>
    <w:p w14:paraId="5D0BAA4E" w14:textId="1E1EDA85" w:rsidR="004622EF" w:rsidRDefault="004622EF" w:rsidP="000F11B1">
      <w:pPr>
        <w:pStyle w:val="AnnexNo"/>
        <w:rPr>
          <w:b/>
          <w:bCs/>
        </w:rPr>
      </w:pPr>
      <w:bookmarkStart w:id="11" w:name="AnnexC"/>
      <w:bookmarkStart w:id="12" w:name="Annex3"/>
      <w:r w:rsidRPr="00AC332C">
        <w:rPr>
          <w:b/>
          <w:bCs/>
        </w:rPr>
        <w:lastRenderedPageBreak/>
        <w:t xml:space="preserve">Annex </w:t>
      </w:r>
      <w:r w:rsidR="00AC332C" w:rsidRPr="00AC332C">
        <w:rPr>
          <w:b/>
          <w:bCs/>
        </w:rPr>
        <w:t>C</w:t>
      </w:r>
    </w:p>
    <w:bookmarkEnd w:id="11"/>
    <w:p w14:paraId="45615103" w14:textId="77777777" w:rsidR="00AC332C" w:rsidRPr="00AC332C" w:rsidRDefault="00AC332C" w:rsidP="00AC332C">
      <w:pPr>
        <w:rPr>
          <w:lang w:val="en-GB"/>
        </w:rPr>
      </w:pPr>
    </w:p>
    <w:bookmarkEnd w:id="12"/>
    <w:p w14:paraId="23915F82" w14:textId="77777777" w:rsidR="004622EF" w:rsidRDefault="004622EF" w:rsidP="004622EF">
      <w:pPr>
        <w:pStyle w:val="Annextitle"/>
      </w:pPr>
      <w:r>
        <w:t xml:space="preserve">Draft agenda of the 2025 World Telecommunication </w:t>
      </w:r>
      <w:r>
        <w:br/>
        <w:t>Development Conference (WTDC-25)</w:t>
      </w:r>
    </w:p>
    <w:p w14:paraId="1B09CAA8" w14:textId="77777777" w:rsidR="004622EF" w:rsidRDefault="004622EF" w:rsidP="004622EF">
      <w:pPr>
        <w:pStyle w:val="Annexref"/>
      </w:pPr>
    </w:p>
    <w:p w14:paraId="61B04CFF" w14:textId="77777777" w:rsidR="004622EF" w:rsidRPr="002C62F9" w:rsidRDefault="004622EF" w:rsidP="004622EF">
      <w:pPr>
        <w:keepNext/>
        <w:overflowPunct/>
        <w:autoSpaceDE/>
        <w:adjustRightInd/>
        <w:spacing w:before="240" w:after="120"/>
        <w:rPr>
          <w:rFonts w:eastAsia="Calibri" w:cs="Segoe UI"/>
          <w:b/>
          <w:bCs/>
        </w:rPr>
      </w:pPr>
      <w:r w:rsidRPr="1C665EF8">
        <w:rPr>
          <w:rFonts w:asciiTheme="minorHAnsi" w:eastAsia="Calibri" w:hAnsiTheme="minorHAnsi" w:cs="Segoe UI"/>
          <w:b/>
          <w:bCs/>
        </w:rPr>
        <w:t>I.</w:t>
      </w:r>
      <w:r>
        <w:tab/>
      </w:r>
      <w:r w:rsidRPr="1C665EF8">
        <w:rPr>
          <w:rFonts w:asciiTheme="minorHAnsi" w:eastAsia="Calibri" w:hAnsiTheme="minorHAnsi" w:cs="Segoe UI"/>
          <w:b/>
          <w:bCs/>
        </w:rPr>
        <w:t>Report on the implementation of the ITU-D Action Plans</w:t>
      </w:r>
    </w:p>
    <w:p w14:paraId="4386B4CB" w14:textId="77777777" w:rsidR="004622EF" w:rsidRPr="002C62F9" w:rsidRDefault="004622EF" w:rsidP="004622EF">
      <w:pPr>
        <w:spacing w:before="100" w:after="100"/>
        <w:ind w:left="567" w:hanging="567"/>
        <w:rPr>
          <w:rFonts w:asciiTheme="minorHAnsi" w:hAnsiTheme="minorHAnsi"/>
          <w:szCs w:val="24"/>
        </w:rPr>
      </w:pPr>
      <w:r w:rsidRPr="002C62F9">
        <w:rPr>
          <w:rFonts w:asciiTheme="minorHAnsi" w:hAnsiTheme="minorHAnsi"/>
          <w:szCs w:val="24"/>
        </w:rPr>
        <w:t xml:space="preserve">1. </w:t>
      </w:r>
      <w:r w:rsidRPr="002C62F9">
        <w:rPr>
          <w:rFonts w:asciiTheme="minorHAnsi" w:hAnsiTheme="minorHAnsi"/>
          <w:szCs w:val="24"/>
        </w:rPr>
        <w:tab/>
        <w:t>Update on global digital transformation and reporting on the implementation of the WTDC-17 Buenos Aires Action Plan and the WTDC-22 Kigali Action Plan (including the Regional Initiatives), contribution to the implementation of the WSIS Plan of Action and the Sustainable Development Goals (SDGs)</w:t>
      </w:r>
    </w:p>
    <w:p w14:paraId="21D2A7A4" w14:textId="77777777"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 xml:space="preserve">2. </w:t>
      </w:r>
      <w:r w:rsidRPr="002C62F9">
        <w:rPr>
          <w:rFonts w:asciiTheme="minorHAnsi" w:hAnsiTheme="minorHAnsi"/>
          <w:szCs w:val="24"/>
        </w:rPr>
        <w:tab/>
        <w:t>Report of the Telecommunication Development Advisory Group</w:t>
      </w:r>
    </w:p>
    <w:p w14:paraId="2975F487" w14:textId="3DBBC1D2"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3. Report of Study Groups</w:t>
      </w:r>
    </w:p>
    <w:p w14:paraId="2D32B07E" w14:textId="77777777" w:rsidR="004622EF" w:rsidRPr="002C62F9" w:rsidRDefault="004622EF" w:rsidP="004622EF">
      <w:pPr>
        <w:spacing w:before="100" w:after="100"/>
        <w:ind w:left="567" w:hanging="567"/>
        <w:rPr>
          <w:rFonts w:asciiTheme="minorHAnsi" w:hAnsiTheme="minorHAnsi"/>
          <w:szCs w:val="24"/>
        </w:rPr>
      </w:pPr>
      <w:r w:rsidRPr="002C62F9">
        <w:rPr>
          <w:rFonts w:asciiTheme="minorHAnsi" w:hAnsiTheme="minorHAnsi"/>
          <w:szCs w:val="24"/>
        </w:rPr>
        <w:t xml:space="preserve">4. </w:t>
      </w:r>
      <w:r w:rsidRPr="002C62F9">
        <w:rPr>
          <w:rFonts w:asciiTheme="minorHAnsi" w:hAnsiTheme="minorHAnsi"/>
          <w:szCs w:val="24"/>
        </w:rPr>
        <w:tab/>
        <w:t>Report on the implementation of outcomes of other ITU Conferences, Assemblies and meetings related to ITU-D work:</w:t>
      </w:r>
    </w:p>
    <w:p w14:paraId="0CA99643" w14:textId="77777777" w:rsidR="004622EF" w:rsidRPr="002C62F9" w:rsidRDefault="004622EF" w:rsidP="004622EF">
      <w:pPr>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a. </w:t>
      </w:r>
      <w:r w:rsidRPr="002C62F9">
        <w:rPr>
          <w:rFonts w:asciiTheme="minorHAnsi" w:eastAsia="Calibri" w:hAnsiTheme="minorHAnsi" w:cs="Segoe UI"/>
          <w:szCs w:val="24"/>
        </w:rPr>
        <w:tab/>
        <w:t>Plenipotentiary Conference (PP-22)</w:t>
      </w:r>
    </w:p>
    <w:p w14:paraId="60F63C90" w14:textId="77777777" w:rsidR="004622EF" w:rsidRPr="002C62F9" w:rsidRDefault="004622EF" w:rsidP="004622EF">
      <w:pPr>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b. </w:t>
      </w:r>
      <w:r w:rsidRPr="002C62F9">
        <w:rPr>
          <w:rFonts w:asciiTheme="minorHAnsi" w:eastAsia="Calibri" w:hAnsiTheme="minorHAnsi" w:cs="Segoe UI"/>
          <w:szCs w:val="24"/>
        </w:rPr>
        <w:tab/>
        <w:t>Radiocommunication Assembly (RA-23)/World Radiocommunication Conference (WRC-23)</w:t>
      </w:r>
    </w:p>
    <w:p w14:paraId="617E514D" w14:textId="77777777" w:rsidR="004622EF" w:rsidRPr="002C62F9" w:rsidRDefault="004622EF" w:rsidP="004622EF">
      <w:pPr>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c. </w:t>
      </w:r>
      <w:r w:rsidRPr="002C62F9">
        <w:rPr>
          <w:rFonts w:asciiTheme="minorHAnsi" w:eastAsia="Calibri" w:hAnsiTheme="minorHAnsi" w:cs="Segoe UI"/>
          <w:szCs w:val="24"/>
        </w:rPr>
        <w:tab/>
        <w:t>World Telecommunication Standardization Assembly (WTSA-24)</w:t>
      </w:r>
    </w:p>
    <w:p w14:paraId="4601F3E1" w14:textId="77777777" w:rsidR="004622EF" w:rsidRPr="002C62F9" w:rsidRDefault="004622EF" w:rsidP="004622EF">
      <w:pPr>
        <w:keepNext/>
        <w:overflowPunct/>
        <w:autoSpaceDE/>
        <w:adjustRightInd/>
        <w:spacing w:before="240" w:after="100"/>
        <w:outlineLvl w:val="0"/>
        <w:rPr>
          <w:rFonts w:asciiTheme="minorHAnsi" w:hAnsiTheme="minorHAnsi"/>
          <w:b/>
          <w:bCs/>
          <w:szCs w:val="24"/>
          <w:lang w:eastAsia="zh-CN"/>
        </w:rPr>
      </w:pPr>
      <w:r w:rsidRPr="002C62F9">
        <w:rPr>
          <w:rFonts w:asciiTheme="minorHAnsi" w:hAnsiTheme="minorHAnsi"/>
          <w:b/>
          <w:szCs w:val="24"/>
          <w:lang w:eastAsia="zh-CN"/>
        </w:rPr>
        <w:t xml:space="preserve">II. </w:t>
      </w:r>
      <w:r w:rsidRPr="002C62F9">
        <w:rPr>
          <w:rFonts w:asciiTheme="minorHAnsi" w:hAnsiTheme="minorHAnsi"/>
          <w:b/>
          <w:szCs w:val="24"/>
          <w:lang w:eastAsia="zh-CN"/>
        </w:rPr>
        <w:tab/>
        <w:t>Policy and strategy for digital transformation</w:t>
      </w:r>
    </w:p>
    <w:p w14:paraId="53F5D0B5" w14:textId="77777777"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 xml:space="preserve">5. </w:t>
      </w:r>
      <w:r w:rsidRPr="002C62F9">
        <w:rPr>
          <w:rFonts w:asciiTheme="minorHAnsi" w:hAnsiTheme="minorHAnsi"/>
          <w:szCs w:val="24"/>
        </w:rPr>
        <w:tab/>
        <w:t>Ministerial and Industry leaders’ roundtables and policy statements</w:t>
      </w:r>
    </w:p>
    <w:p w14:paraId="1854A505" w14:textId="77777777" w:rsidR="004622EF" w:rsidRPr="002C62F9" w:rsidRDefault="004622EF" w:rsidP="004622EF">
      <w:pPr>
        <w:keepNext/>
        <w:overflowPunct/>
        <w:autoSpaceDE/>
        <w:adjustRightInd/>
        <w:spacing w:before="240" w:after="100"/>
        <w:outlineLvl w:val="0"/>
        <w:rPr>
          <w:rFonts w:asciiTheme="minorHAnsi" w:hAnsiTheme="minorHAnsi"/>
          <w:b/>
          <w:bCs/>
          <w:szCs w:val="24"/>
          <w:lang w:eastAsia="zh-CN"/>
        </w:rPr>
      </w:pPr>
      <w:r w:rsidRPr="002C62F9">
        <w:rPr>
          <w:rFonts w:asciiTheme="minorHAnsi" w:hAnsiTheme="minorHAnsi"/>
          <w:b/>
          <w:szCs w:val="24"/>
          <w:lang w:eastAsia="zh-CN"/>
        </w:rPr>
        <w:t xml:space="preserve">III. </w:t>
      </w:r>
      <w:r w:rsidRPr="002C62F9">
        <w:rPr>
          <w:rFonts w:asciiTheme="minorHAnsi" w:hAnsiTheme="minorHAnsi"/>
          <w:b/>
          <w:szCs w:val="24"/>
          <w:lang w:eastAsia="zh-CN"/>
        </w:rPr>
        <w:tab/>
        <w:t>ITU-D work plan for 2026-2029</w:t>
      </w:r>
    </w:p>
    <w:p w14:paraId="024B6E90" w14:textId="77777777"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 xml:space="preserve">6. </w:t>
      </w:r>
      <w:r w:rsidRPr="002C62F9">
        <w:rPr>
          <w:rFonts w:asciiTheme="minorHAnsi" w:hAnsiTheme="minorHAnsi"/>
          <w:szCs w:val="24"/>
        </w:rPr>
        <w:tab/>
        <w:t>Outcomes of Regional Preparatory Meetings for WTDC</w:t>
      </w:r>
    </w:p>
    <w:p w14:paraId="22DD3134" w14:textId="77777777"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 xml:space="preserve">7. </w:t>
      </w:r>
      <w:r w:rsidRPr="002C62F9">
        <w:rPr>
          <w:rFonts w:asciiTheme="minorHAnsi" w:hAnsiTheme="minorHAnsi"/>
          <w:szCs w:val="24"/>
        </w:rPr>
        <w:tab/>
        <w:t>ITU-D contribution to the ITU Strategic Plan for 2028-2031</w:t>
      </w:r>
    </w:p>
    <w:p w14:paraId="1AB555C9" w14:textId="77777777"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 xml:space="preserve">8. </w:t>
      </w:r>
      <w:r w:rsidRPr="002C62F9">
        <w:rPr>
          <w:rFonts w:asciiTheme="minorHAnsi" w:hAnsiTheme="minorHAnsi"/>
          <w:szCs w:val="24"/>
        </w:rPr>
        <w:tab/>
        <w:t>ITU-D Priorities</w:t>
      </w:r>
    </w:p>
    <w:p w14:paraId="39A8CBD9" w14:textId="77777777"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 xml:space="preserve">9. </w:t>
      </w:r>
      <w:r w:rsidRPr="002C62F9">
        <w:rPr>
          <w:rFonts w:asciiTheme="minorHAnsi" w:hAnsiTheme="minorHAnsi"/>
          <w:szCs w:val="24"/>
        </w:rPr>
        <w:tab/>
        <w:t>ITU-D Action Plan for the following cycle</w:t>
      </w:r>
    </w:p>
    <w:p w14:paraId="1BA116C8" w14:textId="77777777"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 xml:space="preserve">10. </w:t>
      </w:r>
      <w:r w:rsidRPr="002C62F9">
        <w:rPr>
          <w:rFonts w:asciiTheme="minorHAnsi" w:hAnsiTheme="minorHAnsi"/>
          <w:szCs w:val="24"/>
        </w:rPr>
        <w:tab/>
        <w:t>WTDC Declaration</w:t>
      </w:r>
    </w:p>
    <w:p w14:paraId="0DF3AD0F" w14:textId="77777777" w:rsidR="004622EF" w:rsidRPr="002C62F9" w:rsidRDefault="004622EF" w:rsidP="004622EF">
      <w:pPr>
        <w:keepNext/>
        <w:spacing w:before="100" w:after="100"/>
        <w:ind w:left="794" w:hanging="794"/>
        <w:rPr>
          <w:rFonts w:asciiTheme="minorHAnsi" w:hAnsiTheme="minorHAnsi"/>
          <w:szCs w:val="24"/>
        </w:rPr>
      </w:pPr>
      <w:r w:rsidRPr="002C62F9">
        <w:rPr>
          <w:rFonts w:asciiTheme="minorHAnsi" w:hAnsiTheme="minorHAnsi"/>
          <w:szCs w:val="24"/>
        </w:rPr>
        <w:t xml:space="preserve">11. </w:t>
      </w:r>
      <w:r w:rsidRPr="002C62F9">
        <w:rPr>
          <w:rFonts w:asciiTheme="minorHAnsi" w:hAnsiTheme="minorHAnsi"/>
          <w:szCs w:val="24"/>
        </w:rPr>
        <w:tab/>
        <w:t>Telecommunication Development Advisory Group</w:t>
      </w:r>
    </w:p>
    <w:p w14:paraId="5842C6FB" w14:textId="77777777" w:rsidR="004622EF" w:rsidRPr="002C62F9" w:rsidRDefault="004622EF" w:rsidP="004622EF">
      <w:pPr>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a. </w:t>
      </w:r>
      <w:r w:rsidRPr="002C62F9">
        <w:rPr>
          <w:rFonts w:asciiTheme="minorHAnsi" w:eastAsia="Calibri" w:hAnsiTheme="minorHAnsi" w:cs="Segoe UI"/>
          <w:szCs w:val="24"/>
        </w:rPr>
        <w:tab/>
        <w:t>Authorization for the Telecommunication Development Advisory Group to act between world telecommunication development conferences (Resolution 24, Rev. Dubai, 2014)</w:t>
      </w:r>
    </w:p>
    <w:p w14:paraId="14D85D4F" w14:textId="77777777" w:rsidR="004622EF" w:rsidRPr="002C62F9" w:rsidRDefault="004622EF" w:rsidP="004622EF">
      <w:pPr>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b. </w:t>
      </w:r>
      <w:r w:rsidRPr="002C62F9">
        <w:rPr>
          <w:rFonts w:asciiTheme="minorHAnsi" w:eastAsia="Calibri" w:hAnsiTheme="minorHAnsi" w:cs="Segoe UI"/>
          <w:szCs w:val="24"/>
        </w:rPr>
        <w:tab/>
        <w:t>Structure and working methods</w:t>
      </w:r>
    </w:p>
    <w:p w14:paraId="4B80562C" w14:textId="77777777"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 xml:space="preserve">12. </w:t>
      </w:r>
      <w:r w:rsidRPr="002C62F9">
        <w:rPr>
          <w:rFonts w:asciiTheme="minorHAnsi" w:hAnsiTheme="minorHAnsi"/>
          <w:szCs w:val="24"/>
        </w:rPr>
        <w:tab/>
        <w:t>Study Groups</w:t>
      </w:r>
    </w:p>
    <w:p w14:paraId="1576B1D9" w14:textId="77777777" w:rsidR="004622EF" w:rsidRPr="002C62F9" w:rsidRDefault="004622EF" w:rsidP="004622EF">
      <w:pPr>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a.</w:t>
      </w:r>
      <w:r w:rsidRPr="002C62F9">
        <w:rPr>
          <w:rFonts w:asciiTheme="minorHAnsi" w:eastAsia="Calibri" w:hAnsiTheme="minorHAnsi" w:cs="Segoe UI"/>
          <w:szCs w:val="24"/>
        </w:rPr>
        <w:tab/>
        <w:t>Study Questions</w:t>
      </w:r>
    </w:p>
    <w:p w14:paraId="05919FD6" w14:textId="77777777" w:rsidR="004622EF" w:rsidRDefault="004622EF" w:rsidP="004622EF">
      <w:pPr>
        <w:overflowPunct/>
        <w:autoSpaceDE/>
        <w:adjustRightInd/>
        <w:spacing w:before="100" w:after="100"/>
        <w:ind w:left="1134" w:hanging="567"/>
        <w:rPr>
          <w:rFonts w:asciiTheme="minorHAnsi" w:eastAsia="Calibri" w:hAnsiTheme="minorHAnsi" w:cs="Segoe UI"/>
          <w:szCs w:val="24"/>
        </w:rPr>
      </w:pPr>
      <w:r w:rsidRPr="002C62F9">
        <w:rPr>
          <w:rFonts w:asciiTheme="minorHAnsi" w:eastAsia="Calibri" w:hAnsiTheme="minorHAnsi" w:cs="Segoe UI"/>
          <w:szCs w:val="24"/>
        </w:rPr>
        <w:t xml:space="preserve">b. </w:t>
      </w:r>
      <w:r w:rsidRPr="002C62F9">
        <w:rPr>
          <w:rFonts w:asciiTheme="minorHAnsi" w:eastAsia="Calibri" w:hAnsiTheme="minorHAnsi" w:cs="Segoe UI"/>
          <w:szCs w:val="24"/>
        </w:rPr>
        <w:tab/>
        <w:t>Structure and working methods</w:t>
      </w:r>
    </w:p>
    <w:p w14:paraId="3EAD8B97" w14:textId="77777777" w:rsidR="004622EF" w:rsidRPr="006F7717" w:rsidRDefault="004622EF" w:rsidP="004622EF">
      <w:pPr>
        <w:overflowPunct/>
        <w:autoSpaceDE/>
        <w:adjustRightInd/>
        <w:spacing w:before="100" w:after="100"/>
        <w:ind w:left="567" w:hanging="567"/>
        <w:rPr>
          <w:rFonts w:asciiTheme="minorHAnsi" w:hAnsiTheme="minorHAnsi"/>
          <w:szCs w:val="24"/>
        </w:rPr>
      </w:pPr>
      <w:r>
        <w:rPr>
          <w:rFonts w:asciiTheme="minorHAnsi" w:hAnsiTheme="minorHAnsi"/>
          <w:szCs w:val="24"/>
        </w:rPr>
        <w:t>13.</w:t>
      </w:r>
      <w:r>
        <w:rPr>
          <w:rFonts w:asciiTheme="minorHAnsi" w:hAnsiTheme="minorHAnsi"/>
          <w:szCs w:val="24"/>
        </w:rPr>
        <w:tab/>
      </w:r>
      <w:r w:rsidRPr="006F7717">
        <w:rPr>
          <w:rFonts w:asciiTheme="minorHAnsi" w:hAnsiTheme="minorHAnsi"/>
          <w:szCs w:val="24"/>
        </w:rPr>
        <w:t>Regional Initiatives</w:t>
      </w:r>
    </w:p>
    <w:p w14:paraId="22D0F833" w14:textId="77777777" w:rsidR="004622EF" w:rsidRPr="002C62F9" w:rsidRDefault="004622EF" w:rsidP="004622EF">
      <w:pPr>
        <w:spacing w:before="100" w:after="100"/>
        <w:ind w:left="794" w:hanging="794"/>
        <w:rPr>
          <w:rFonts w:asciiTheme="minorHAnsi" w:hAnsiTheme="minorHAnsi"/>
          <w:szCs w:val="24"/>
        </w:rPr>
      </w:pPr>
      <w:r w:rsidRPr="002C62F9">
        <w:rPr>
          <w:rFonts w:asciiTheme="minorHAnsi" w:hAnsiTheme="minorHAnsi"/>
          <w:szCs w:val="24"/>
        </w:rPr>
        <w:t>1</w:t>
      </w:r>
      <w:r>
        <w:rPr>
          <w:rFonts w:asciiTheme="minorHAnsi" w:hAnsiTheme="minorHAnsi"/>
          <w:szCs w:val="24"/>
        </w:rPr>
        <w:t>4</w:t>
      </w:r>
      <w:r w:rsidRPr="002C62F9">
        <w:rPr>
          <w:rFonts w:asciiTheme="minorHAnsi" w:hAnsiTheme="minorHAnsi"/>
          <w:szCs w:val="24"/>
        </w:rPr>
        <w:t xml:space="preserve">. </w:t>
      </w:r>
      <w:r w:rsidRPr="002C62F9">
        <w:rPr>
          <w:rFonts w:asciiTheme="minorHAnsi" w:hAnsiTheme="minorHAnsi"/>
          <w:szCs w:val="24"/>
        </w:rPr>
        <w:tab/>
        <w:t>Resolutions and recommendations</w:t>
      </w:r>
    </w:p>
    <w:p w14:paraId="45CE75EC" w14:textId="77777777" w:rsidR="004622EF" w:rsidRPr="00211846" w:rsidRDefault="004622EF" w:rsidP="004622EF">
      <w:pPr>
        <w:spacing w:before="0"/>
        <w:jc w:val="center"/>
      </w:pPr>
      <w:r w:rsidRPr="002C62F9">
        <w:rPr>
          <w:rFonts w:asciiTheme="minorHAnsi" w:hAnsiTheme="minorHAnsi"/>
        </w:rPr>
        <w:t>_______________</w:t>
      </w:r>
    </w:p>
    <w:p w14:paraId="1FC97359" w14:textId="20A059EB" w:rsidR="005B37ED" w:rsidRPr="00211846" w:rsidRDefault="0001798C" w:rsidP="008C063F">
      <w:pPr>
        <w:overflowPunct/>
        <w:autoSpaceDE/>
        <w:autoSpaceDN/>
        <w:adjustRightInd/>
        <w:spacing w:before="0"/>
        <w:textAlignment w:val="auto"/>
      </w:pPr>
      <w:r>
        <w:rPr>
          <w:szCs w:val="24"/>
        </w:rPr>
        <w:br w:type="page"/>
      </w:r>
    </w:p>
    <w:p w14:paraId="223FFB6B" w14:textId="6148BEDD" w:rsidR="001C2E05" w:rsidRPr="00AC332C" w:rsidRDefault="001C2E05" w:rsidP="001C2E05">
      <w:pPr>
        <w:pStyle w:val="AnnexNo"/>
        <w:rPr>
          <w:b/>
          <w:bCs/>
        </w:rPr>
      </w:pPr>
      <w:bookmarkStart w:id="13" w:name="ANNEX4"/>
      <w:bookmarkStart w:id="14" w:name="ANNEXD"/>
      <w:r w:rsidRPr="00AC332C">
        <w:rPr>
          <w:b/>
          <w:bCs/>
        </w:rPr>
        <w:lastRenderedPageBreak/>
        <w:t xml:space="preserve">Annex </w:t>
      </w:r>
      <w:r w:rsidR="00AC332C" w:rsidRPr="00AC332C">
        <w:rPr>
          <w:b/>
          <w:bCs/>
        </w:rPr>
        <w:t>D</w:t>
      </w:r>
    </w:p>
    <w:bookmarkEnd w:id="13"/>
    <w:bookmarkEnd w:id="14"/>
    <w:p w14:paraId="28A42964" w14:textId="1C6D2563" w:rsidR="001C2E05" w:rsidRDefault="001C2E05" w:rsidP="001C2E05">
      <w:pPr>
        <w:pStyle w:val="AnnexNo"/>
      </w:pPr>
      <w:r w:rsidRPr="00B74796">
        <w:t>RESOLUTION</w:t>
      </w:r>
      <w:r>
        <w:t xml:space="preserve"> 1422</w:t>
      </w:r>
    </w:p>
    <w:p w14:paraId="3CD4A8E3" w14:textId="77777777" w:rsidR="001C2E05" w:rsidRPr="00044A0C" w:rsidRDefault="001C2E05" w:rsidP="001C2E05">
      <w:pPr>
        <w:pStyle w:val="Restitle"/>
        <w:rPr>
          <w:rFonts w:eastAsia="Calibri"/>
          <w:b w:val="0"/>
          <w:bCs/>
          <w:sz w:val="24"/>
          <w:szCs w:val="24"/>
        </w:rPr>
      </w:pPr>
      <w:r w:rsidRPr="00044A0C">
        <w:rPr>
          <w:b w:val="0"/>
          <w:bCs/>
          <w:sz w:val="24"/>
          <w:szCs w:val="24"/>
        </w:rPr>
        <w:t>(adopted at the fifth Plenary meeting)</w:t>
      </w:r>
    </w:p>
    <w:p w14:paraId="455FD1D9" w14:textId="77777777" w:rsidR="001C2E05" w:rsidRPr="00B74796" w:rsidRDefault="001C2E05" w:rsidP="001C2E05">
      <w:pPr>
        <w:pStyle w:val="Annextitle"/>
      </w:pPr>
      <w:r w:rsidRPr="00B74796">
        <w:t>Agenda of the World Radiocommunication Conference 2027</w:t>
      </w:r>
      <w:r w:rsidRPr="00B74796">
        <w:br/>
        <w:t>(WRC-27)</w:t>
      </w:r>
    </w:p>
    <w:p w14:paraId="08025351" w14:textId="77777777" w:rsidR="001C2E05" w:rsidRPr="00B74796" w:rsidRDefault="001C2E05" w:rsidP="001C2E05">
      <w:pPr>
        <w:pStyle w:val="Normalaftertitle0"/>
      </w:pPr>
      <w:r w:rsidRPr="0055410B">
        <w:rPr>
          <w:rFonts w:ascii="Calibri" w:eastAsia="MS Mincho" w:hAnsi="Calibri" w:cs="Calibri"/>
          <w:sz w:val="22"/>
          <w:szCs w:val="22"/>
          <w:lang w:val="en-US"/>
        </w:rPr>
        <w:t>The ITU Council</w:t>
      </w:r>
      <w:r w:rsidRPr="00B74796">
        <w:t>,</w:t>
      </w:r>
    </w:p>
    <w:p w14:paraId="5C4309F7" w14:textId="77777777" w:rsidR="001C2E05" w:rsidRPr="00B74796" w:rsidRDefault="001C2E05" w:rsidP="001C2E05">
      <w:pPr>
        <w:pStyle w:val="Call"/>
      </w:pPr>
      <w:r w:rsidRPr="00B74796">
        <w:t>noting</w:t>
      </w:r>
    </w:p>
    <w:p w14:paraId="12E223C5" w14:textId="77777777" w:rsidR="001C2E05" w:rsidRPr="00B74796" w:rsidRDefault="001C2E05" w:rsidP="001C2E05">
      <w:r w:rsidRPr="00B74796">
        <w:t>that Resolution 813 of the World Radiocommunication Conference (Dubai, 2023):</w:t>
      </w:r>
    </w:p>
    <w:p w14:paraId="08830AA5" w14:textId="77777777" w:rsidR="001C2E05" w:rsidRPr="00B74796" w:rsidRDefault="001C2E05" w:rsidP="001C2E05">
      <w:r w:rsidRPr="00B74796">
        <w:rPr>
          <w:i/>
          <w:iCs/>
        </w:rPr>
        <w:t>a)</w:t>
      </w:r>
      <w:r w:rsidRPr="00B74796">
        <w:tab/>
        <w:t xml:space="preserve">resolved to recommend to the Council that a world radiocommunication conference be held in 2027 for a maximum period of four </w:t>
      </w:r>
      <w:proofErr w:type="gramStart"/>
      <w:r w:rsidRPr="00B74796">
        <w:t>weeks;</w:t>
      </w:r>
      <w:proofErr w:type="gramEnd"/>
    </w:p>
    <w:p w14:paraId="263C19C2" w14:textId="77777777" w:rsidR="001C2E05" w:rsidRPr="00B74796" w:rsidRDefault="001C2E05" w:rsidP="001C2E05">
      <w:r w:rsidRPr="00B74796">
        <w:rPr>
          <w:i/>
          <w:iCs/>
        </w:rPr>
        <w:t>b)</w:t>
      </w:r>
      <w:r w:rsidRPr="00B74796">
        <w:tab/>
        <w:t>recommended its agenda, and invited the Council to finalize the agenda and arrange for the convening of WRC</w:t>
      </w:r>
      <w:r>
        <w:t>-</w:t>
      </w:r>
      <w:r w:rsidRPr="00B74796">
        <w:t>27 and to initiate as soon as possible the necessary consultation with Member States,</w:t>
      </w:r>
    </w:p>
    <w:p w14:paraId="6AB4FBB2" w14:textId="77777777" w:rsidR="001C2E05" w:rsidRPr="00B74796" w:rsidRDefault="001C2E05" w:rsidP="001C2E05">
      <w:pPr>
        <w:pStyle w:val="Call"/>
      </w:pPr>
      <w:r w:rsidRPr="00B74796">
        <w:t>resolves</w:t>
      </w:r>
    </w:p>
    <w:p w14:paraId="3C28BBCC" w14:textId="77777777" w:rsidR="001C2E05" w:rsidRPr="00B74796" w:rsidRDefault="001C2E05" w:rsidP="001C2E05">
      <w:r w:rsidRPr="00B74796">
        <w:t>to convene a World Radiocommunication Conference (WRC</w:t>
      </w:r>
      <w:r w:rsidRPr="00B74796">
        <w:noBreakHyphen/>
        <w:t>27) in 2027, preceded by the Radiocommunication Assembly, with the following agenda:</w:t>
      </w:r>
    </w:p>
    <w:p w14:paraId="01B95CAD" w14:textId="77777777" w:rsidR="001C2E05" w:rsidRPr="00B74796" w:rsidRDefault="001C2E05" w:rsidP="001C2E05">
      <w:r w:rsidRPr="00B74796">
        <w:t>1</w:t>
      </w:r>
      <w:r w:rsidRPr="00B74796">
        <w:tab/>
      </w:r>
      <w:proofErr w:type="gramStart"/>
      <w:r w:rsidRPr="00B74796">
        <w:t>on the basis of</w:t>
      </w:r>
      <w:proofErr w:type="gramEnd"/>
      <w:r w:rsidRPr="00B74796">
        <w:t xml:space="preserve"> proposals from administrations, taking into account of the results of WRC</w:t>
      </w:r>
      <w:r w:rsidRPr="00B74796">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3F250AFA" w14:textId="77777777" w:rsidR="001C2E05" w:rsidRPr="00B74796" w:rsidRDefault="001C2E05" w:rsidP="001C2E05">
      <w:pPr>
        <w:rPr>
          <w:lang w:eastAsia="zh-CN"/>
        </w:rPr>
      </w:pPr>
      <w:r w:rsidRPr="00B74796">
        <w:rPr>
          <w:rFonts w:eastAsiaTheme="minorEastAsia"/>
        </w:rPr>
        <w:t>1.1</w:t>
      </w:r>
      <w:r w:rsidRPr="00B74796">
        <w:rPr>
          <w:rFonts w:eastAsiaTheme="minorEastAsia"/>
        </w:rPr>
        <w:tab/>
      </w:r>
      <w:r w:rsidRPr="00B74796">
        <w:rPr>
          <w:lang w:eastAsia="zh-CN"/>
        </w:rPr>
        <w:t xml:space="preserve">to consider the technical and operational conditions for the use of the frequency bands </w:t>
      </w:r>
      <w:r w:rsidRPr="00B74796">
        <w:t>47.2-50.2 GHz and 50.4-51.4 GHz (Earth-to-space), or parts thereof,</w:t>
      </w:r>
      <w:r w:rsidRPr="00B74796">
        <w:rPr>
          <w:lang w:eastAsia="zh-CN"/>
        </w:rPr>
        <w:t xml:space="preserve"> by aeronautical and maritime earth stations in motion communicating with space stations in the fixed-satellite service and develop regulatory measures, as appropriate, to facilitate the use of the frequency bands </w:t>
      </w:r>
      <w:r w:rsidRPr="00B74796">
        <w:t>47.2-50.2 GHz and 50.4-51.4 GHz (Earth-to-space), or parts thereof,</w:t>
      </w:r>
      <w:r w:rsidRPr="00B74796">
        <w:rPr>
          <w:lang w:eastAsia="zh-CN"/>
        </w:rPr>
        <w:t xml:space="preserve"> by aeronautical and maritime earth stations in motion communicating with geostationary space stations and non-geostationary space stations in the fixed-satellite service, in accordance with Resolution </w:t>
      </w:r>
      <w:r w:rsidRPr="00B74796">
        <w:rPr>
          <w:b/>
          <w:bCs/>
          <w:lang w:eastAsia="zh-CN"/>
        </w:rPr>
        <w:t>176 (Rev.WRC-23)</w:t>
      </w:r>
      <w:r w:rsidRPr="00B74796">
        <w:rPr>
          <w:lang w:eastAsia="zh-CN"/>
        </w:rPr>
        <w:t>;</w:t>
      </w:r>
    </w:p>
    <w:p w14:paraId="0B22E028" w14:textId="77777777" w:rsidR="001C2E05" w:rsidRPr="00B74796" w:rsidRDefault="001C2E05" w:rsidP="001C2E05">
      <w:pPr>
        <w:rPr>
          <w:rFonts w:asciiTheme="minorHAnsi" w:eastAsiaTheme="minorEastAsia" w:hAnsiTheme="minorHAnsi" w:cstheme="minorHAnsi"/>
        </w:rPr>
      </w:pPr>
      <w:r w:rsidRPr="00B74796">
        <w:rPr>
          <w:rFonts w:asciiTheme="minorHAnsi" w:eastAsiaTheme="minorEastAsia" w:hAnsiTheme="minorHAnsi" w:cstheme="minorHAnsi"/>
        </w:rPr>
        <w:t>1.2</w:t>
      </w:r>
      <w:r w:rsidRPr="00B74796">
        <w:rPr>
          <w:rFonts w:asciiTheme="minorHAnsi" w:eastAsiaTheme="minorEastAsia" w:hAnsiTheme="minorHAnsi" w:cstheme="minorHAnsi"/>
        </w:rPr>
        <w:tab/>
      </w:r>
      <w:r w:rsidRPr="00B74796">
        <w:rPr>
          <w:rFonts w:asciiTheme="minorHAnsi" w:hAnsiTheme="minorHAnsi" w:cstheme="minorHAnsi"/>
        </w:rPr>
        <w:t>to consider possible revisions of sharing conditions in the frequency band 13.75-14 GHz to allow the use of uplink fixed-satellite service earth stations with smaller antenna sizes, in accordance with Resolution </w:t>
      </w:r>
      <w:r w:rsidRPr="00B74796">
        <w:rPr>
          <w:rFonts w:asciiTheme="minorHAnsi" w:hAnsiTheme="minorHAnsi" w:cstheme="minorHAnsi"/>
          <w:b/>
          <w:bCs/>
        </w:rPr>
        <w:t>129 (WRC-23</w:t>
      </w:r>
      <w:proofErr w:type="gramStart"/>
      <w:r w:rsidRPr="00B74796">
        <w:rPr>
          <w:rFonts w:asciiTheme="minorHAnsi" w:hAnsiTheme="minorHAnsi" w:cstheme="minorHAnsi"/>
          <w:b/>
          <w:bCs/>
        </w:rPr>
        <w:t>)</w:t>
      </w:r>
      <w:r w:rsidRPr="00B74796">
        <w:rPr>
          <w:rFonts w:asciiTheme="minorHAnsi" w:eastAsiaTheme="minorEastAsia" w:hAnsiTheme="minorHAnsi" w:cstheme="minorHAnsi"/>
        </w:rPr>
        <w:t>;</w:t>
      </w:r>
      <w:proofErr w:type="gramEnd"/>
    </w:p>
    <w:p w14:paraId="53FE2603" w14:textId="77777777" w:rsidR="001C2E05" w:rsidRPr="00B74796" w:rsidRDefault="001C2E05" w:rsidP="001C2E05">
      <w:pPr>
        <w:rPr>
          <w:rFonts w:asciiTheme="minorHAnsi" w:eastAsiaTheme="minorEastAsia" w:hAnsiTheme="minorHAnsi" w:cstheme="minorHAnsi"/>
        </w:rPr>
      </w:pPr>
      <w:r w:rsidRPr="00B74796">
        <w:rPr>
          <w:rFonts w:asciiTheme="minorHAnsi" w:eastAsiaTheme="minorEastAsia" w:hAnsiTheme="minorHAnsi" w:cstheme="minorHAnsi"/>
        </w:rPr>
        <w:t>1.3</w:t>
      </w:r>
      <w:r w:rsidRPr="00B74796">
        <w:rPr>
          <w:rFonts w:asciiTheme="minorHAnsi" w:eastAsiaTheme="minorEastAsia" w:hAnsiTheme="minorHAnsi" w:cstheme="minorHAnsi"/>
        </w:rPr>
        <w:tab/>
      </w:r>
      <w:r w:rsidRPr="00B74796">
        <w:rPr>
          <w:rFonts w:asciiTheme="minorHAnsi" w:hAnsiTheme="minorHAnsi" w:cstheme="minorHAnsi"/>
        </w:rPr>
        <w:t>to consider studies relating to the use of the frequency band 51.4-52.4 GHz to enable use by gateway earth stations transmitting to non-geostationary-satellite orbit systems in the fixed-satellite service (Earth-to-space), in accordance with Resolution </w:t>
      </w:r>
      <w:r w:rsidRPr="00B74796">
        <w:rPr>
          <w:rFonts w:asciiTheme="minorHAnsi" w:hAnsiTheme="minorHAnsi" w:cstheme="minorHAnsi"/>
          <w:b/>
          <w:bCs/>
        </w:rPr>
        <w:t>130 (WRC</w:t>
      </w:r>
      <w:r>
        <w:rPr>
          <w:rFonts w:asciiTheme="minorHAnsi" w:hAnsiTheme="minorHAnsi" w:cstheme="minorHAnsi"/>
          <w:b/>
          <w:bCs/>
        </w:rPr>
        <w:t>-</w:t>
      </w:r>
      <w:r w:rsidRPr="00B74796">
        <w:rPr>
          <w:rFonts w:asciiTheme="minorHAnsi" w:hAnsiTheme="minorHAnsi" w:cstheme="minorHAnsi"/>
          <w:b/>
          <w:bCs/>
        </w:rPr>
        <w:t>23</w:t>
      </w:r>
      <w:proofErr w:type="gramStart"/>
      <w:r w:rsidRPr="00B74796">
        <w:rPr>
          <w:rFonts w:asciiTheme="minorHAnsi" w:hAnsiTheme="minorHAnsi" w:cstheme="minorHAnsi"/>
          <w:b/>
          <w:bCs/>
        </w:rPr>
        <w:t>)</w:t>
      </w:r>
      <w:r w:rsidRPr="00B74796">
        <w:rPr>
          <w:rFonts w:asciiTheme="minorHAnsi" w:eastAsiaTheme="minorEastAsia" w:hAnsiTheme="minorHAnsi" w:cstheme="minorHAnsi"/>
        </w:rPr>
        <w:t>;</w:t>
      </w:r>
      <w:proofErr w:type="gramEnd"/>
    </w:p>
    <w:p w14:paraId="580525DE" w14:textId="77777777" w:rsidR="001C2E05" w:rsidRPr="00B74796" w:rsidRDefault="001C2E05" w:rsidP="001C2E05">
      <w:pPr>
        <w:rPr>
          <w:rFonts w:eastAsiaTheme="minorEastAsia"/>
        </w:rPr>
      </w:pPr>
      <w:r w:rsidRPr="00B74796">
        <w:rPr>
          <w:rFonts w:eastAsiaTheme="minorEastAsia"/>
        </w:rPr>
        <w:t>1.4</w:t>
      </w:r>
      <w:r w:rsidRPr="00B74796">
        <w:rPr>
          <w:rFonts w:eastAsiaTheme="minorEastAsia"/>
        </w:rPr>
        <w:tab/>
      </w:r>
      <w:r w:rsidRPr="00B74796">
        <w:rPr>
          <w:rFonts w:eastAsiaTheme="minorHAnsi"/>
        </w:rPr>
        <w:t>to consider a possible new primary allocation to the fixed-satellite service</w:t>
      </w:r>
      <w:r w:rsidRPr="00B74796">
        <w:rPr>
          <w:lang w:eastAsia="ja-JP"/>
        </w:rPr>
        <w:t xml:space="preserve"> </w:t>
      </w:r>
      <w:r w:rsidRPr="00B74796">
        <w:rPr>
          <w:rFonts w:eastAsiaTheme="minorHAnsi"/>
        </w:rPr>
        <w:t xml:space="preserve">(space-to-Earth) in the frequency band 17.3-17.7 GHz and a possible new primary allocation to the broadcasting-satellite service (space-to-Earth) in the frequency band 17.3-17.8 GHz in Region 3, while ensuring the protection of existing primary allocations in the same and adjacent frequency bands, and to consider equivalent power flux-density </w:t>
      </w:r>
      <w:r w:rsidRPr="00B74796">
        <w:rPr>
          <w:rFonts w:eastAsiaTheme="minorHAnsi"/>
        </w:rPr>
        <w:lastRenderedPageBreak/>
        <w:t>limits to be applied in Regions 1 and 3 to non-geostationary-satellite systems in the fixed-satellite service (space-to-Earth) in the frequency band 17.3</w:t>
      </w:r>
      <w:r w:rsidRPr="00B74796">
        <w:rPr>
          <w:rFonts w:eastAsiaTheme="minorHAnsi"/>
        </w:rPr>
        <w:noBreakHyphen/>
        <w:t xml:space="preserve">17.7 GHz, in accordance with </w:t>
      </w:r>
      <w:r w:rsidRPr="00B74796">
        <w:t>Resolution </w:t>
      </w:r>
      <w:r w:rsidRPr="00B74796">
        <w:rPr>
          <w:b/>
        </w:rPr>
        <w:t>726 (WRC</w:t>
      </w:r>
      <w:r>
        <w:rPr>
          <w:b/>
        </w:rPr>
        <w:t>-</w:t>
      </w:r>
      <w:r w:rsidRPr="00B74796">
        <w:rPr>
          <w:b/>
        </w:rPr>
        <w:t>23)</w:t>
      </w:r>
      <w:r w:rsidRPr="00B74796">
        <w:rPr>
          <w:rFonts w:eastAsiaTheme="minorEastAsia"/>
        </w:rPr>
        <w:t>;</w:t>
      </w:r>
    </w:p>
    <w:p w14:paraId="588A9B40" w14:textId="77777777" w:rsidR="001C2E05" w:rsidRPr="00B74796" w:rsidRDefault="001C2E05" w:rsidP="001C2E05">
      <w:r w:rsidRPr="00B74796">
        <w:rPr>
          <w:rFonts w:eastAsiaTheme="minorEastAsia"/>
        </w:rPr>
        <w:t>1.5</w:t>
      </w:r>
      <w:r w:rsidRPr="00B74796">
        <w:rPr>
          <w:rFonts w:eastAsiaTheme="minorEastAsia"/>
        </w:rPr>
        <w:tab/>
      </w:r>
      <w:r w:rsidRPr="00B74796">
        <w:rPr>
          <w:rFonts w:eastAsiaTheme="minorHAnsi"/>
        </w:rPr>
        <w:t>to consider</w:t>
      </w:r>
      <w:r w:rsidRPr="00B74796">
        <w:t xml:space="preserve"> regulatory measures, and </w:t>
      </w:r>
      <w:proofErr w:type="spellStart"/>
      <w:r w:rsidRPr="00B74796">
        <w:t>implementability</w:t>
      </w:r>
      <w:proofErr w:type="spellEnd"/>
      <w:r w:rsidRPr="00B74796">
        <w:t xml:space="preserve"> thereof, to limit the unauthorized operations of non-geostationary-satellite orbit earth stations in the fixed-satellite and mobile-satellite services and associated issues related to the service area of non-geostationary-satellite orbit satellite systems in the fixed-satellite and mobile-satellite services, in accordance with Resolution </w:t>
      </w:r>
      <w:r w:rsidRPr="00B74796">
        <w:rPr>
          <w:b/>
          <w:bCs/>
        </w:rPr>
        <w:t>14 (WRC</w:t>
      </w:r>
      <w:r>
        <w:rPr>
          <w:b/>
          <w:bCs/>
        </w:rPr>
        <w:t>-</w:t>
      </w:r>
      <w:r w:rsidRPr="00B74796">
        <w:rPr>
          <w:b/>
          <w:bCs/>
        </w:rPr>
        <w:t>23</w:t>
      </w:r>
      <w:proofErr w:type="gramStart"/>
      <w:r w:rsidRPr="00B74796">
        <w:rPr>
          <w:b/>
          <w:bCs/>
        </w:rPr>
        <w:t>)</w:t>
      </w:r>
      <w:r w:rsidRPr="00B74796">
        <w:t>;</w:t>
      </w:r>
      <w:proofErr w:type="gramEnd"/>
    </w:p>
    <w:p w14:paraId="5872CBC7" w14:textId="77777777" w:rsidR="001C2E05" w:rsidRPr="00B74796" w:rsidRDefault="001C2E05" w:rsidP="001C2E05">
      <w:pPr>
        <w:rPr>
          <w:rFonts w:eastAsiaTheme="minorEastAsia"/>
        </w:rPr>
      </w:pPr>
      <w:r w:rsidRPr="00B74796">
        <w:rPr>
          <w:rFonts w:eastAsiaTheme="minorEastAsia"/>
        </w:rPr>
        <w:t>1.6</w:t>
      </w:r>
      <w:r w:rsidRPr="00B74796">
        <w:rPr>
          <w:rFonts w:eastAsiaTheme="minorEastAsia"/>
        </w:rPr>
        <w:tab/>
      </w:r>
      <w:r w:rsidRPr="00B74796">
        <w:t>to consider technical and regulatory measures for fixed-satellite service satellite networks/systems in the frequency bands 37.5-42.5 GHz (space-to-Earth), 42.5-43.5 GHz (Earth-to-space), 47.2-50.2 GHz (Earth-to-space) and 50.4-51.4 GHz (Earth-to-space) for equitable access to these frequency bands, in accordance with Resolution </w:t>
      </w:r>
      <w:r w:rsidRPr="00B74796">
        <w:rPr>
          <w:b/>
          <w:bCs/>
        </w:rPr>
        <w:t>131</w:t>
      </w:r>
      <w:r w:rsidRPr="00B74796">
        <w:rPr>
          <w:b/>
        </w:rPr>
        <w:t xml:space="preserve"> (WRC</w:t>
      </w:r>
      <w:r>
        <w:rPr>
          <w:b/>
        </w:rPr>
        <w:t>-</w:t>
      </w:r>
      <w:r w:rsidRPr="00B74796">
        <w:rPr>
          <w:b/>
        </w:rPr>
        <w:t>23</w:t>
      </w:r>
      <w:proofErr w:type="gramStart"/>
      <w:r w:rsidRPr="00B74796">
        <w:rPr>
          <w:b/>
        </w:rPr>
        <w:t>)</w:t>
      </w:r>
      <w:r w:rsidRPr="00B74796">
        <w:rPr>
          <w:rFonts w:eastAsiaTheme="minorEastAsia"/>
        </w:rPr>
        <w:t>;</w:t>
      </w:r>
      <w:proofErr w:type="gramEnd"/>
    </w:p>
    <w:p w14:paraId="47006FDA" w14:textId="77777777" w:rsidR="001C2E05" w:rsidRPr="00B74796" w:rsidRDefault="001C2E05" w:rsidP="001C2E05">
      <w:pPr>
        <w:rPr>
          <w:rFonts w:eastAsiaTheme="minorEastAsia"/>
        </w:rPr>
      </w:pPr>
      <w:r w:rsidRPr="00B74796">
        <w:rPr>
          <w:rFonts w:eastAsiaTheme="minorEastAsia"/>
        </w:rPr>
        <w:t>1.7</w:t>
      </w:r>
      <w:r w:rsidRPr="00B74796">
        <w:rPr>
          <w:rFonts w:eastAsiaTheme="minorEastAsia"/>
        </w:rPr>
        <w:tab/>
      </w:r>
      <w:r w:rsidRPr="00B74796">
        <w:t>to consider studies on sharing and compatibility and develop technical conditions for the use of International Mobile Telecommunications (IMT) in the frequency bands 4 400-4 800 MHz and 7 125-8 400 MHz (or parts thereof), and 14.8-15.35 GHz taking into account existing primary services operating in these, and adjacent, frequency bands, in accordance with Resolution </w:t>
      </w:r>
      <w:r w:rsidRPr="00B74796">
        <w:rPr>
          <w:b/>
        </w:rPr>
        <w:t>256 (WRC</w:t>
      </w:r>
      <w:r>
        <w:rPr>
          <w:b/>
        </w:rPr>
        <w:t>-</w:t>
      </w:r>
      <w:r w:rsidRPr="00B74796">
        <w:rPr>
          <w:b/>
        </w:rPr>
        <w:t>23</w:t>
      </w:r>
      <w:proofErr w:type="gramStart"/>
      <w:r w:rsidRPr="00B74796">
        <w:rPr>
          <w:b/>
        </w:rPr>
        <w:t>)</w:t>
      </w:r>
      <w:r w:rsidRPr="00B74796">
        <w:rPr>
          <w:rFonts w:eastAsiaTheme="minorEastAsia"/>
        </w:rPr>
        <w:t>;</w:t>
      </w:r>
      <w:proofErr w:type="gramEnd"/>
    </w:p>
    <w:p w14:paraId="76CFE0DF" w14:textId="77777777" w:rsidR="001C2E05" w:rsidRPr="00B74796" w:rsidRDefault="001C2E05" w:rsidP="001C2E05">
      <w:pPr>
        <w:rPr>
          <w:rFonts w:eastAsiaTheme="minorEastAsia"/>
        </w:rPr>
      </w:pPr>
      <w:r w:rsidRPr="00B74796">
        <w:rPr>
          <w:rFonts w:eastAsiaTheme="minorEastAsia"/>
        </w:rPr>
        <w:t>1.8</w:t>
      </w:r>
      <w:r w:rsidRPr="00B74796">
        <w:rPr>
          <w:rFonts w:eastAsiaTheme="minorEastAsia"/>
        </w:rPr>
        <w:tab/>
      </w:r>
      <w:r w:rsidRPr="00B74796">
        <w:t>to consider possible additional spectrum allocations to the radiolocation service on a primary basis in the frequency range 231.5-275 GHz and possible new identifications for radiolocation service applications in frequency bands within the frequency range 275-700 GHz for millimetric and sub</w:t>
      </w:r>
      <w:r w:rsidRPr="00B74796">
        <w:noBreakHyphen/>
        <w:t>millimetric wave imaging systems, in accordance with Resolution </w:t>
      </w:r>
      <w:r w:rsidRPr="00B74796">
        <w:rPr>
          <w:rStyle w:val="Strong"/>
          <w:rFonts w:asciiTheme="minorHAnsi" w:hAnsiTheme="minorHAnsi" w:cstheme="minorHAnsi"/>
        </w:rPr>
        <w:t>663 (Rev.WRC</w:t>
      </w:r>
      <w:r>
        <w:rPr>
          <w:rStyle w:val="Strong"/>
          <w:rFonts w:asciiTheme="minorHAnsi" w:hAnsiTheme="minorHAnsi" w:cstheme="minorHAnsi"/>
        </w:rPr>
        <w:t>-</w:t>
      </w:r>
      <w:r w:rsidRPr="00B74796">
        <w:rPr>
          <w:rStyle w:val="Strong"/>
          <w:rFonts w:asciiTheme="minorHAnsi" w:hAnsiTheme="minorHAnsi" w:cstheme="minorHAnsi"/>
        </w:rPr>
        <w:t>23</w:t>
      </w:r>
      <w:proofErr w:type="gramStart"/>
      <w:r w:rsidRPr="00B74796">
        <w:rPr>
          <w:rStyle w:val="Strong"/>
          <w:rFonts w:asciiTheme="minorHAnsi" w:hAnsiTheme="minorHAnsi" w:cstheme="minorHAnsi"/>
        </w:rPr>
        <w:t>)</w:t>
      </w:r>
      <w:r w:rsidRPr="00B74796">
        <w:rPr>
          <w:rFonts w:eastAsiaTheme="minorEastAsia"/>
        </w:rPr>
        <w:t>;</w:t>
      </w:r>
      <w:proofErr w:type="gramEnd"/>
    </w:p>
    <w:p w14:paraId="1FF2D3AF" w14:textId="77777777" w:rsidR="001C2E05" w:rsidRPr="00B74796" w:rsidRDefault="001C2E05" w:rsidP="001C2E05">
      <w:pPr>
        <w:rPr>
          <w:rFonts w:eastAsiaTheme="minorEastAsia"/>
        </w:rPr>
      </w:pPr>
      <w:r w:rsidRPr="00B74796">
        <w:rPr>
          <w:rFonts w:eastAsiaTheme="minorEastAsia"/>
        </w:rPr>
        <w:t>1.9</w:t>
      </w:r>
      <w:r w:rsidRPr="00B74796">
        <w:rPr>
          <w:rFonts w:eastAsiaTheme="minorEastAsia"/>
        </w:rPr>
        <w:tab/>
      </w:r>
      <w:r w:rsidRPr="00B74796">
        <w:rPr>
          <w:szCs w:val="24"/>
        </w:rPr>
        <w:t xml:space="preserve">to consider appropriate </w:t>
      </w:r>
      <w:r w:rsidRPr="00B74796">
        <w:t>regulatory actions to update Appendix </w:t>
      </w:r>
      <w:r w:rsidRPr="00B74796">
        <w:rPr>
          <w:b/>
          <w:bCs/>
        </w:rPr>
        <w:t>26</w:t>
      </w:r>
      <w:r w:rsidRPr="00B74796">
        <w:t xml:space="preserve"> to the Radio Regulations in support of aeronautical mobile (OR) high frequency modernization, </w:t>
      </w:r>
      <w:r w:rsidRPr="00B74796">
        <w:rPr>
          <w:szCs w:val="24"/>
        </w:rPr>
        <w:t>in accordance with Resolution </w:t>
      </w:r>
      <w:r w:rsidRPr="00B74796">
        <w:rPr>
          <w:b/>
          <w:bCs/>
          <w:szCs w:val="24"/>
        </w:rPr>
        <w:t>411</w:t>
      </w:r>
      <w:r w:rsidRPr="00B74796">
        <w:rPr>
          <w:szCs w:val="24"/>
        </w:rPr>
        <w:t xml:space="preserve"> (</w:t>
      </w:r>
      <w:r w:rsidRPr="00B74796">
        <w:rPr>
          <w:b/>
          <w:szCs w:val="24"/>
        </w:rPr>
        <w:t>WRC</w:t>
      </w:r>
      <w:r>
        <w:rPr>
          <w:b/>
          <w:szCs w:val="24"/>
        </w:rPr>
        <w:t>-</w:t>
      </w:r>
      <w:r w:rsidRPr="00B74796">
        <w:rPr>
          <w:b/>
          <w:szCs w:val="24"/>
        </w:rPr>
        <w:t>23</w:t>
      </w:r>
      <w:proofErr w:type="gramStart"/>
      <w:r w:rsidRPr="00B74796">
        <w:rPr>
          <w:b/>
          <w:szCs w:val="24"/>
        </w:rPr>
        <w:t>)</w:t>
      </w:r>
      <w:r w:rsidRPr="00B74796">
        <w:rPr>
          <w:rFonts w:eastAsiaTheme="minorEastAsia"/>
        </w:rPr>
        <w:t>;</w:t>
      </w:r>
      <w:proofErr w:type="gramEnd"/>
    </w:p>
    <w:p w14:paraId="41AFA00A" w14:textId="77777777" w:rsidR="001C2E05" w:rsidRPr="00B74796" w:rsidRDefault="001C2E05" w:rsidP="001C2E05">
      <w:pPr>
        <w:rPr>
          <w:rFonts w:eastAsiaTheme="minorEastAsia"/>
        </w:rPr>
      </w:pPr>
      <w:r w:rsidRPr="00B74796">
        <w:rPr>
          <w:rFonts w:eastAsiaTheme="minorEastAsia"/>
        </w:rPr>
        <w:t>1.10</w:t>
      </w:r>
      <w:r w:rsidRPr="00B74796">
        <w:rPr>
          <w:rFonts w:eastAsiaTheme="minorEastAsia"/>
        </w:rPr>
        <w:tab/>
      </w:r>
      <w:r w:rsidRPr="00B74796">
        <w:t>to consider developing power flux</w:t>
      </w:r>
      <w:r w:rsidRPr="00B74796">
        <w:noBreakHyphen/>
        <w:t xml:space="preserve">density and equivalent </w:t>
      </w:r>
      <w:proofErr w:type="spellStart"/>
      <w:r w:rsidRPr="00B74796">
        <w:t>isotropically</w:t>
      </w:r>
      <w:proofErr w:type="spellEnd"/>
      <w:r w:rsidRPr="00B74796">
        <w:t xml:space="preserve"> radiated power limits for inclusion in Article </w:t>
      </w:r>
      <w:r w:rsidRPr="00B74796">
        <w:rPr>
          <w:b/>
          <w:bCs/>
        </w:rPr>
        <w:t>21</w:t>
      </w:r>
      <w:r w:rsidRPr="00B74796">
        <w:t xml:space="preserve"> of the Radio Regulations for the fixed-satellite, mobile-satellite and broadcasting-satellite services to protect the fixed and mobile services in the frequency bands 71-76 GHz and 81-86 GHz, in accordance with Resolution </w:t>
      </w:r>
      <w:r w:rsidRPr="00B74796">
        <w:rPr>
          <w:b/>
        </w:rPr>
        <w:t>775 (Rev.WRC</w:t>
      </w:r>
      <w:r>
        <w:rPr>
          <w:b/>
        </w:rPr>
        <w:t>-</w:t>
      </w:r>
      <w:r w:rsidRPr="00B74796">
        <w:rPr>
          <w:b/>
        </w:rPr>
        <w:t>23</w:t>
      </w:r>
      <w:proofErr w:type="gramStart"/>
      <w:r w:rsidRPr="00B74796">
        <w:rPr>
          <w:b/>
        </w:rPr>
        <w:t>)</w:t>
      </w:r>
      <w:r w:rsidRPr="00B74796">
        <w:rPr>
          <w:rFonts w:eastAsiaTheme="minorEastAsia"/>
        </w:rPr>
        <w:t>;</w:t>
      </w:r>
      <w:proofErr w:type="gramEnd"/>
    </w:p>
    <w:p w14:paraId="099B73B5" w14:textId="77777777" w:rsidR="001C2E05" w:rsidRPr="00B74796" w:rsidRDefault="001C2E05" w:rsidP="001C2E05">
      <w:pPr>
        <w:rPr>
          <w:rFonts w:asciiTheme="minorHAnsi" w:eastAsiaTheme="minorEastAsia" w:hAnsiTheme="minorHAnsi" w:cstheme="minorHAnsi"/>
        </w:rPr>
      </w:pPr>
      <w:r w:rsidRPr="00B74796">
        <w:rPr>
          <w:rFonts w:eastAsiaTheme="minorEastAsia"/>
        </w:rPr>
        <w:t>1.11</w:t>
      </w:r>
      <w:r w:rsidRPr="00B74796">
        <w:rPr>
          <w:rFonts w:eastAsiaTheme="minorEastAsia"/>
        </w:rPr>
        <w:tab/>
      </w:r>
      <w:r w:rsidRPr="00B74796">
        <w:t>to consider the technical and operational issues, and regulatory provisions, for space-to-space links among non-geostationary and geostationary satellites in the frequency bands 1 518-1 544 MHz, 1 545-1 559 MHz, 1 610-1 645.5 MHz, 1 646.5-1 660 MHz, 1 670-1 675 MHz and 2 483.5-2 500 MHz allocated to the mobile-satellite service, in accordance with Resolution </w:t>
      </w:r>
      <w:r w:rsidRPr="00B74796">
        <w:rPr>
          <w:b/>
          <w:bCs/>
        </w:rPr>
        <w:t>249</w:t>
      </w:r>
      <w:r w:rsidRPr="00B74796">
        <w:t> </w:t>
      </w:r>
      <w:r w:rsidRPr="00B74796">
        <w:rPr>
          <w:b/>
        </w:rPr>
        <w:t>(Rev.WRC</w:t>
      </w:r>
      <w:r>
        <w:rPr>
          <w:b/>
        </w:rPr>
        <w:t>-</w:t>
      </w:r>
      <w:r w:rsidRPr="00B74796">
        <w:rPr>
          <w:b/>
        </w:rPr>
        <w:t>23</w:t>
      </w:r>
      <w:proofErr w:type="gramStart"/>
      <w:r w:rsidRPr="00B74796">
        <w:rPr>
          <w:b/>
        </w:rPr>
        <w:t>)</w:t>
      </w:r>
      <w:r w:rsidRPr="00B74796">
        <w:rPr>
          <w:rFonts w:eastAsiaTheme="minorEastAsia"/>
        </w:rPr>
        <w:t>;</w:t>
      </w:r>
      <w:proofErr w:type="gramEnd"/>
    </w:p>
    <w:p w14:paraId="2BB29297" w14:textId="77777777" w:rsidR="001C2E05" w:rsidRPr="00B74796" w:rsidRDefault="001C2E05" w:rsidP="001C2E05">
      <w:pPr>
        <w:rPr>
          <w:rFonts w:eastAsiaTheme="minorEastAsia"/>
        </w:rPr>
      </w:pPr>
      <w:r w:rsidRPr="00B74796">
        <w:rPr>
          <w:rFonts w:eastAsiaTheme="minorEastAsia"/>
        </w:rPr>
        <w:t>1.12</w:t>
      </w:r>
      <w:r w:rsidRPr="00B74796">
        <w:rPr>
          <w:rFonts w:eastAsiaTheme="minorEastAsia"/>
        </w:rPr>
        <w:tab/>
      </w:r>
      <w:r w:rsidRPr="00B74796">
        <w:t>to consider, based on the results of studies, possible new allocations to the mobile</w:t>
      </w:r>
      <w:r w:rsidRPr="00B74796">
        <w:noBreakHyphen/>
        <w:t>satellite service and possible regulatory actions in the frequency bands 1 427-1 432 MHz (space-to-Earth), 1 645.5-1 646.5 MHz (space-to-Earth) (Earth-to-space), 1 880-1 920 MHz (space-to-Earth) (Earth-to-space) and 2 010-2 025 MHz (space-to-Earth) (Earth-to-space) required for the future development of low-data-rate non-geostationary mobile</w:t>
      </w:r>
      <w:r w:rsidRPr="00B74796">
        <w:noBreakHyphen/>
        <w:t>satellite systems, in accordance with Resolution </w:t>
      </w:r>
      <w:r w:rsidRPr="00B74796">
        <w:rPr>
          <w:b/>
        </w:rPr>
        <w:t>252 (WRC</w:t>
      </w:r>
      <w:r>
        <w:rPr>
          <w:b/>
        </w:rPr>
        <w:t>-</w:t>
      </w:r>
      <w:r w:rsidRPr="00B74796">
        <w:rPr>
          <w:b/>
        </w:rPr>
        <w:t>23)</w:t>
      </w:r>
      <w:r w:rsidRPr="00B74796">
        <w:rPr>
          <w:rFonts w:eastAsiaTheme="minorEastAsia"/>
        </w:rPr>
        <w:t>;</w:t>
      </w:r>
    </w:p>
    <w:p w14:paraId="7CAE684B" w14:textId="77777777" w:rsidR="001C2E05" w:rsidRPr="00B74796" w:rsidRDefault="001C2E05" w:rsidP="001C2E05">
      <w:pPr>
        <w:rPr>
          <w:rFonts w:eastAsiaTheme="minorEastAsia"/>
        </w:rPr>
      </w:pPr>
      <w:r w:rsidRPr="00B74796">
        <w:rPr>
          <w:rFonts w:eastAsiaTheme="minorEastAsia"/>
        </w:rPr>
        <w:t>1.13</w:t>
      </w:r>
      <w:r w:rsidRPr="00B74796">
        <w:rPr>
          <w:rFonts w:eastAsiaTheme="minorEastAsia"/>
        </w:rPr>
        <w:tab/>
        <w:t xml:space="preserve">to consider </w:t>
      </w:r>
      <w:r w:rsidRPr="00B74796">
        <w:t>studies on possible new allocations to the mobile-satellite service for direct connectivity between space stations and International Mobile Telecommunications (IMT) user equipment to complement terrestrial IMT network coverage, in accordance with Resolution </w:t>
      </w:r>
      <w:r w:rsidRPr="00B74796">
        <w:rPr>
          <w:b/>
          <w:bCs/>
        </w:rPr>
        <w:t>253 (WRC-23</w:t>
      </w:r>
      <w:proofErr w:type="gramStart"/>
      <w:r w:rsidRPr="00B74796">
        <w:rPr>
          <w:b/>
          <w:bCs/>
        </w:rPr>
        <w:t>)</w:t>
      </w:r>
      <w:r w:rsidRPr="00B74796">
        <w:rPr>
          <w:rFonts w:eastAsiaTheme="minorEastAsia"/>
        </w:rPr>
        <w:t>;</w:t>
      </w:r>
      <w:proofErr w:type="gramEnd"/>
    </w:p>
    <w:p w14:paraId="49E4035A" w14:textId="77777777" w:rsidR="001C2E05" w:rsidRPr="00B74796" w:rsidRDefault="001C2E05" w:rsidP="001C2E05">
      <w:pPr>
        <w:rPr>
          <w:rFonts w:eastAsiaTheme="minorEastAsia"/>
        </w:rPr>
      </w:pPr>
      <w:r w:rsidRPr="00B74796">
        <w:rPr>
          <w:rFonts w:eastAsiaTheme="minorEastAsia"/>
        </w:rPr>
        <w:t>1.14</w:t>
      </w:r>
      <w:r w:rsidRPr="00B74796">
        <w:rPr>
          <w:rFonts w:eastAsiaTheme="minorEastAsia"/>
        </w:rPr>
        <w:tab/>
      </w:r>
      <w:r w:rsidRPr="00B74796">
        <w:t>to consider possible additional allocations to the mobile-satellite service, in accordance with Resolution </w:t>
      </w:r>
      <w:r w:rsidRPr="00B74796">
        <w:rPr>
          <w:b/>
        </w:rPr>
        <w:t>254 (WRC</w:t>
      </w:r>
      <w:r>
        <w:rPr>
          <w:b/>
        </w:rPr>
        <w:t>-</w:t>
      </w:r>
      <w:r w:rsidRPr="00B74796">
        <w:rPr>
          <w:b/>
        </w:rPr>
        <w:t>23</w:t>
      </w:r>
      <w:proofErr w:type="gramStart"/>
      <w:r w:rsidRPr="00B74796">
        <w:rPr>
          <w:b/>
        </w:rPr>
        <w:t>)</w:t>
      </w:r>
      <w:r w:rsidRPr="00B74796">
        <w:rPr>
          <w:rFonts w:eastAsiaTheme="minorEastAsia"/>
        </w:rPr>
        <w:t>;</w:t>
      </w:r>
      <w:proofErr w:type="gramEnd"/>
    </w:p>
    <w:p w14:paraId="4B616225" w14:textId="77777777" w:rsidR="001C2E05" w:rsidRPr="00B74796" w:rsidRDefault="001C2E05" w:rsidP="001C2E05">
      <w:pPr>
        <w:rPr>
          <w:rFonts w:eastAsiaTheme="minorEastAsia"/>
        </w:rPr>
      </w:pPr>
      <w:r w:rsidRPr="00B74796">
        <w:rPr>
          <w:rFonts w:eastAsiaTheme="minorEastAsia"/>
        </w:rPr>
        <w:t>1.15</w:t>
      </w:r>
      <w:r w:rsidRPr="00B74796">
        <w:rPr>
          <w:rFonts w:eastAsiaTheme="minorEastAsia"/>
        </w:rPr>
        <w:tab/>
      </w:r>
      <w:r w:rsidRPr="00B74796">
        <w:rPr>
          <w:szCs w:val="24"/>
        </w:rPr>
        <w:t xml:space="preserve">to consider studies on frequency-related matters, including possible new or modified space research service </w:t>
      </w:r>
      <w:r w:rsidRPr="00B74796">
        <w:rPr>
          <w:bCs/>
          <w:szCs w:val="24"/>
        </w:rPr>
        <w:t xml:space="preserve">(space-to-space) </w:t>
      </w:r>
      <w:r w:rsidRPr="00B74796">
        <w:rPr>
          <w:szCs w:val="24"/>
        </w:rPr>
        <w:t xml:space="preserve">allocations, for future development of communications on the lunar surface and between </w:t>
      </w:r>
      <w:r w:rsidRPr="00B74796">
        <w:rPr>
          <w:rStyle w:val="ui-provider"/>
          <w:rFonts w:asciiTheme="minorHAnsi" w:hAnsiTheme="minorHAnsi" w:cstheme="minorHAnsi"/>
          <w:szCs w:val="24"/>
        </w:rPr>
        <w:t>lunar orbit and the lunar surface,</w:t>
      </w:r>
      <w:r w:rsidRPr="00B74796">
        <w:rPr>
          <w:szCs w:val="24"/>
        </w:rPr>
        <w:t xml:space="preserve"> in accordance with Resolution </w:t>
      </w:r>
      <w:r w:rsidRPr="00B74796">
        <w:rPr>
          <w:b/>
          <w:bCs/>
          <w:szCs w:val="24"/>
        </w:rPr>
        <w:t>680 (WRC</w:t>
      </w:r>
      <w:r>
        <w:rPr>
          <w:b/>
          <w:bCs/>
          <w:szCs w:val="24"/>
        </w:rPr>
        <w:t>-</w:t>
      </w:r>
      <w:r w:rsidRPr="00B74796">
        <w:rPr>
          <w:b/>
          <w:bCs/>
          <w:szCs w:val="24"/>
        </w:rPr>
        <w:t>23</w:t>
      </w:r>
      <w:proofErr w:type="gramStart"/>
      <w:r w:rsidRPr="00B74796">
        <w:rPr>
          <w:b/>
          <w:bCs/>
          <w:szCs w:val="24"/>
        </w:rPr>
        <w:t>)</w:t>
      </w:r>
      <w:r w:rsidRPr="00B74796">
        <w:rPr>
          <w:rFonts w:eastAsiaTheme="minorEastAsia"/>
        </w:rPr>
        <w:t>;</w:t>
      </w:r>
      <w:proofErr w:type="gramEnd"/>
    </w:p>
    <w:p w14:paraId="71FF0619" w14:textId="77777777" w:rsidR="001C2E05" w:rsidRPr="00B74796" w:rsidRDefault="001C2E05" w:rsidP="001C2E05">
      <w:r w:rsidRPr="00B74796">
        <w:rPr>
          <w:rFonts w:eastAsiaTheme="minorEastAsia"/>
        </w:rPr>
        <w:lastRenderedPageBreak/>
        <w:t>1.16</w:t>
      </w:r>
      <w:r w:rsidRPr="00B74796">
        <w:rPr>
          <w:rFonts w:eastAsiaTheme="minorEastAsia"/>
        </w:rPr>
        <w:tab/>
      </w:r>
      <w:r w:rsidRPr="00B74796">
        <w:rPr>
          <w:rFonts w:eastAsiaTheme="minorHAnsi"/>
          <w:bCs/>
        </w:rPr>
        <w:t>to consider</w:t>
      </w:r>
      <w:r w:rsidRPr="00B74796">
        <w:rPr>
          <w:rFonts w:eastAsiaTheme="minorHAnsi"/>
          <w:b/>
        </w:rPr>
        <w:t xml:space="preserve"> </w:t>
      </w:r>
      <w:r w:rsidRPr="00B74796">
        <w:t xml:space="preserve">studies on the technical and regulatory provisions necessary to protect radio astronomy operating in specific Radio Quiet Zones, and in frequency bands allocated to the radio astronomy service on a primary basis globally, from aggregate radio-frequency interference caused by non-geostationary-satellite orbit systems, in accordance with </w:t>
      </w:r>
      <w:r w:rsidRPr="00B74796">
        <w:rPr>
          <w:bCs/>
        </w:rPr>
        <w:t>Resolution</w:t>
      </w:r>
      <w:r w:rsidRPr="00B74796">
        <w:rPr>
          <w:b/>
        </w:rPr>
        <w:t> 681 (WRC</w:t>
      </w:r>
      <w:r>
        <w:rPr>
          <w:b/>
        </w:rPr>
        <w:t>-</w:t>
      </w:r>
      <w:r w:rsidRPr="00B74796">
        <w:rPr>
          <w:b/>
        </w:rPr>
        <w:t>23</w:t>
      </w:r>
      <w:proofErr w:type="gramStart"/>
      <w:r w:rsidRPr="00B74796">
        <w:rPr>
          <w:b/>
        </w:rPr>
        <w:t>)</w:t>
      </w:r>
      <w:r w:rsidRPr="00B74796">
        <w:rPr>
          <w:rFonts w:eastAsiaTheme="minorEastAsia"/>
        </w:rPr>
        <w:t>;</w:t>
      </w:r>
      <w:proofErr w:type="gramEnd"/>
    </w:p>
    <w:p w14:paraId="5F99D30F" w14:textId="77777777" w:rsidR="001C2E05" w:rsidRPr="00B74796" w:rsidRDefault="001C2E05" w:rsidP="001C2E05">
      <w:pPr>
        <w:rPr>
          <w:rFonts w:eastAsiaTheme="minorEastAsia"/>
        </w:rPr>
      </w:pPr>
      <w:r w:rsidRPr="00B74796">
        <w:rPr>
          <w:rFonts w:eastAsiaTheme="minorEastAsia"/>
        </w:rPr>
        <w:t>1.17</w:t>
      </w:r>
      <w:r w:rsidRPr="00B74796">
        <w:rPr>
          <w:rFonts w:eastAsiaTheme="minorEastAsia"/>
        </w:rPr>
        <w:tab/>
      </w:r>
      <w:r w:rsidRPr="00B74796">
        <w:rPr>
          <w:szCs w:val="24"/>
        </w:rPr>
        <w:t>to consider regulatory provisions for receive-only</w:t>
      </w:r>
      <w:r w:rsidRPr="00B74796">
        <w:t xml:space="preserve"> </w:t>
      </w:r>
      <w:r w:rsidRPr="00B74796">
        <w:rPr>
          <w:szCs w:val="24"/>
        </w:rPr>
        <w:t>space weather sensors and their protection in the Radio Regulations, taking into account the results of ITU Radiocommunication Sector studies, in accordance with Resolution </w:t>
      </w:r>
      <w:r w:rsidRPr="00B74796">
        <w:rPr>
          <w:b/>
          <w:bCs/>
          <w:szCs w:val="24"/>
        </w:rPr>
        <w:t>682 (WRC</w:t>
      </w:r>
      <w:r>
        <w:rPr>
          <w:b/>
          <w:bCs/>
          <w:szCs w:val="24"/>
        </w:rPr>
        <w:t>-</w:t>
      </w:r>
      <w:r w:rsidRPr="00B74796">
        <w:rPr>
          <w:b/>
          <w:bCs/>
          <w:szCs w:val="24"/>
        </w:rPr>
        <w:t>23</w:t>
      </w:r>
      <w:proofErr w:type="gramStart"/>
      <w:r w:rsidRPr="00B74796">
        <w:rPr>
          <w:b/>
          <w:bCs/>
          <w:szCs w:val="24"/>
        </w:rPr>
        <w:t>)</w:t>
      </w:r>
      <w:r w:rsidRPr="00B74796">
        <w:rPr>
          <w:rFonts w:eastAsiaTheme="minorEastAsia"/>
        </w:rPr>
        <w:t>;</w:t>
      </w:r>
      <w:proofErr w:type="gramEnd"/>
    </w:p>
    <w:p w14:paraId="2B42C888" w14:textId="77777777" w:rsidR="001C2E05" w:rsidRPr="00B74796" w:rsidRDefault="001C2E05" w:rsidP="001C2E05">
      <w:pPr>
        <w:rPr>
          <w:rFonts w:eastAsiaTheme="minorEastAsia"/>
        </w:rPr>
      </w:pPr>
      <w:r w:rsidRPr="00B74796">
        <w:rPr>
          <w:rFonts w:eastAsiaTheme="minorEastAsia"/>
        </w:rPr>
        <w:t>1.18</w:t>
      </w:r>
      <w:r w:rsidRPr="00B74796">
        <w:rPr>
          <w:rFonts w:eastAsiaTheme="minorEastAsia"/>
        </w:rPr>
        <w:tab/>
      </w:r>
      <w:r w:rsidRPr="00B74796">
        <w:t xml:space="preserve"> to consider, based on the results of </w:t>
      </w:r>
      <w:r w:rsidRPr="00B74796">
        <w:rPr>
          <w:szCs w:val="24"/>
        </w:rPr>
        <w:t>ITU Radiocommunication Sector</w:t>
      </w:r>
      <w:r w:rsidRPr="00B74796">
        <w:t xml:space="preserve"> studies, possible regulatory measures regarding the protection of the Earth exploration-satellite service (passive) and the radio astronomy service in certain frequency bands above 76 GHz from unwanted emissions of active services, in accordance with Resolution </w:t>
      </w:r>
      <w:r w:rsidRPr="00B74796">
        <w:rPr>
          <w:b/>
          <w:bCs/>
        </w:rPr>
        <w:t>712 (WRC-23</w:t>
      </w:r>
      <w:proofErr w:type="gramStart"/>
      <w:r w:rsidRPr="00B74796">
        <w:rPr>
          <w:b/>
          <w:bCs/>
        </w:rPr>
        <w:t>)</w:t>
      </w:r>
      <w:r w:rsidRPr="00B74796">
        <w:rPr>
          <w:rFonts w:eastAsiaTheme="minorEastAsia"/>
        </w:rPr>
        <w:t>;</w:t>
      </w:r>
      <w:proofErr w:type="gramEnd"/>
    </w:p>
    <w:p w14:paraId="3C13DA54" w14:textId="77777777" w:rsidR="001C2E05" w:rsidRPr="00B74796" w:rsidRDefault="001C2E05" w:rsidP="001C2E05">
      <w:pPr>
        <w:rPr>
          <w:b/>
          <w:bCs/>
        </w:rPr>
      </w:pPr>
      <w:r w:rsidRPr="00B74796">
        <w:rPr>
          <w:rFonts w:eastAsiaTheme="minorEastAsia"/>
        </w:rPr>
        <w:t>1.19</w:t>
      </w:r>
      <w:r w:rsidRPr="00B74796">
        <w:rPr>
          <w:rFonts w:eastAsiaTheme="minorEastAsia"/>
        </w:rPr>
        <w:tab/>
      </w:r>
      <w:r w:rsidRPr="00B74796">
        <w:t xml:space="preserve">to consider possible primary allocations in all Regions to the Earth exploration-satellite service (passive) in the frequency bands 4 200-4 400 MHz and 8 400-8 500 MHz, in accordance with Resolution </w:t>
      </w:r>
      <w:r w:rsidRPr="00B74796">
        <w:rPr>
          <w:b/>
          <w:bCs/>
        </w:rPr>
        <w:t>674 (WRC-23</w:t>
      </w:r>
      <w:proofErr w:type="gramStart"/>
      <w:r w:rsidRPr="00B74796">
        <w:rPr>
          <w:b/>
          <w:bCs/>
        </w:rPr>
        <w:t>)</w:t>
      </w:r>
      <w:r>
        <w:t>;</w:t>
      </w:r>
      <w:proofErr w:type="gramEnd"/>
    </w:p>
    <w:p w14:paraId="60ABA8F2" w14:textId="77777777" w:rsidR="001C2E05" w:rsidRPr="00B74796" w:rsidRDefault="001C2E05" w:rsidP="001C2E05">
      <w:r w:rsidRPr="00B74796">
        <w:t>2</w:t>
      </w:r>
      <w:r w:rsidRPr="00B74796">
        <w:tab/>
        <w:t xml:space="preserve">to examine the revised </w:t>
      </w:r>
      <w:r w:rsidRPr="00B74796">
        <w:rPr>
          <w:szCs w:val="24"/>
        </w:rPr>
        <w:t>ITU Radiocommunication Sector</w:t>
      </w:r>
      <w:r w:rsidRPr="00B74796">
        <w:t xml:space="preserve"> Recommendations incorporated by reference in the Radio Regulations</w:t>
      </w:r>
      <w:r w:rsidRPr="00B74796">
        <w:rPr>
          <w:sz w:val="18"/>
          <w:szCs w:val="18"/>
        </w:rPr>
        <w:t xml:space="preserve"> </w:t>
      </w:r>
      <w:r w:rsidRPr="00B74796">
        <w:t>communicated</w:t>
      </w:r>
      <w:r w:rsidRPr="00B74796">
        <w:rPr>
          <w:sz w:val="18"/>
          <w:szCs w:val="18"/>
        </w:rPr>
        <w:t xml:space="preserve"> </w:t>
      </w:r>
      <w:r w:rsidRPr="00B74796">
        <w:t>by</w:t>
      </w:r>
      <w:r w:rsidRPr="00B74796">
        <w:rPr>
          <w:sz w:val="18"/>
          <w:szCs w:val="18"/>
        </w:rPr>
        <w:t xml:space="preserve"> </w:t>
      </w:r>
      <w:r w:rsidRPr="00B74796">
        <w:t>the</w:t>
      </w:r>
      <w:r w:rsidRPr="00B74796">
        <w:rPr>
          <w:sz w:val="18"/>
          <w:szCs w:val="18"/>
        </w:rPr>
        <w:t xml:space="preserve"> </w:t>
      </w:r>
      <w:r w:rsidRPr="00B74796">
        <w:t>Radiocommunication</w:t>
      </w:r>
      <w:r w:rsidRPr="00B74796">
        <w:rPr>
          <w:sz w:val="18"/>
          <w:szCs w:val="18"/>
        </w:rPr>
        <w:t xml:space="preserve"> </w:t>
      </w:r>
      <w:r w:rsidRPr="00B74796">
        <w:t>Assembly,</w:t>
      </w:r>
      <w:r w:rsidRPr="00B74796">
        <w:rPr>
          <w:sz w:val="18"/>
          <w:szCs w:val="18"/>
        </w:rPr>
        <w:t xml:space="preserve"> </w:t>
      </w:r>
      <w:r w:rsidRPr="00B74796">
        <w:t>in</w:t>
      </w:r>
      <w:r w:rsidRPr="00B74796">
        <w:rPr>
          <w:sz w:val="18"/>
          <w:szCs w:val="18"/>
        </w:rPr>
        <w:t xml:space="preserve"> </w:t>
      </w:r>
      <w:r w:rsidRPr="00B74796">
        <w:t>accordance</w:t>
      </w:r>
      <w:r w:rsidRPr="00B74796">
        <w:rPr>
          <w:sz w:val="18"/>
          <w:szCs w:val="18"/>
        </w:rPr>
        <w:t xml:space="preserve"> </w:t>
      </w:r>
      <w:r w:rsidRPr="00B74796">
        <w:t xml:space="preserve">with </w:t>
      </w:r>
      <w:r w:rsidRPr="00B74796">
        <w:rPr>
          <w:i/>
          <w:iCs/>
        </w:rPr>
        <w:t>further</w:t>
      </w:r>
      <w:r w:rsidRPr="00B74796">
        <w:t xml:space="preserve"> </w:t>
      </w:r>
      <w:r w:rsidRPr="00B74796">
        <w:rPr>
          <w:i/>
          <w:iCs/>
        </w:rPr>
        <w:t xml:space="preserve">resolves </w:t>
      </w:r>
      <w:r w:rsidRPr="00B74796">
        <w:t>of Resolution </w:t>
      </w:r>
      <w:r w:rsidRPr="00B74796">
        <w:rPr>
          <w:b/>
          <w:bCs/>
        </w:rPr>
        <w:t>27</w:t>
      </w:r>
      <w:r w:rsidRPr="00B74796">
        <w:rPr>
          <w:b/>
        </w:rPr>
        <w:t xml:space="preserve"> (Rev.WRC</w:t>
      </w:r>
      <w:r>
        <w:rPr>
          <w:b/>
        </w:rPr>
        <w:t>-</w:t>
      </w:r>
      <w:r w:rsidRPr="00B74796">
        <w:rPr>
          <w:b/>
        </w:rPr>
        <w:t>19)</w:t>
      </w:r>
      <w:r w:rsidRPr="00B74796">
        <w:t xml:space="preserve">, and to decide whether or not to update the corresponding references in the Radio Regulations, in accordance with the principles contained in </w:t>
      </w:r>
      <w:r w:rsidRPr="00B74796">
        <w:rPr>
          <w:i/>
          <w:iCs/>
        </w:rPr>
        <w:t>resolves</w:t>
      </w:r>
      <w:r w:rsidRPr="00B74796">
        <w:t xml:space="preserve"> of that </w:t>
      </w:r>
      <w:proofErr w:type="gramStart"/>
      <w:r w:rsidRPr="00B74796">
        <w:t>Resolution;</w:t>
      </w:r>
      <w:proofErr w:type="gramEnd"/>
    </w:p>
    <w:p w14:paraId="347D435A" w14:textId="77777777" w:rsidR="001C2E05" w:rsidRPr="00B74796" w:rsidRDefault="001C2E05" w:rsidP="001C2E05">
      <w:r w:rsidRPr="00B74796">
        <w:t>3</w:t>
      </w:r>
      <w:r w:rsidRPr="00B74796">
        <w:tab/>
        <w:t xml:space="preserve">to consider such consequential changes and amendments to the Radio Regulations as may be necessitated by the decisions of the </w:t>
      </w:r>
      <w:proofErr w:type="gramStart"/>
      <w:r w:rsidRPr="00B74796">
        <w:t>conference;</w:t>
      </w:r>
      <w:proofErr w:type="gramEnd"/>
    </w:p>
    <w:p w14:paraId="448D9BB4" w14:textId="77777777" w:rsidR="001C2E05" w:rsidRPr="00B74796" w:rsidRDefault="001C2E05" w:rsidP="001C2E05">
      <w:r w:rsidRPr="00B74796">
        <w:t>4</w:t>
      </w:r>
      <w:r w:rsidRPr="00B74796">
        <w:tab/>
        <w:t>in accordance with Resolution </w:t>
      </w:r>
      <w:r w:rsidRPr="00B74796">
        <w:rPr>
          <w:b/>
          <w:bCs/>
        </w:rPr>
        <w:t>95 (Rev.WRC</w:t>
      </w:r>
      <w:r>
        <w:rPr>
          <w:b/>
          <w:bCs/>
        </w:rPr>
        <w:t>-</w:t>
      </w:r>
      <w:r w:rsidRPr="00B74796">
        <w:rPr>
          <w:b/>
          <w:bCs/>
        </w:rPr>
        <w:t>19)</w:t>
      </w:r>
      <w:r w:rsidRPr="00B74796">
        <w:t xml:space="preserve">, to review the resolutions and recommendations of previous conferences with a view to their possible revision, replacement or </w:t>
      </w:r>
      <w:proofErr w:type="gramStart"/>
      <w:r w:rsidRPr="00B74796">
        <w:t>abrogation;</w:t>
      </w:r>
      <w:proofErr w:type="gramEnd"/>
    </w:p>
    <w:p w14:paraId="079B113A" w14:textId="77777777" w:rsidR="001C2E05" w:rsidRPr="00B74796" w:rsidRDefault="001C2E05" w:rsidP="001C2E05">
      <w:pPr>
        <w:rPr>
          <w:rFonts w:asciiTheme="minorHAnsi" w:hAnsiTheme="minorHAnsi" w:cstheme="minorHAnsi"/>
        </w:rPr>
      </w:pPr>
      <w:r w:rsidRPr="00B74796">
        <w:rPr>
          <w:rFonts w:asciiTheme="minorHAnsi" w:hAnsiTheme="minorHAnsi" w:cstheme="minorHAnsi"/>
        </w:rPr>
        <w:t>5</w:t>
      </w:r>
      <w:r w:rsidRPr="00B74796">
        <w:rPr>
          <w:rFonts w:asciiTheme="minorHAnsi" w:hAnsiTheme="minorHAnsi" w:cstheme="minorHAnsi"/>
        </w:rPr>
        <w:tab/>
        <w:t xml:space="preserve">to review, and take appropriate action on, the Report from the Radiocommunication Assembly submitted in accordance with Nos. 135 and 136 of the ITU </w:t>
      </w:r>
      <w:proofErr w:type="gramStart"/>
      <w:r w:rsidRPr="00B74796">
        <w:rPr>
          <w:rFonts w:asciiTheme="minorHAnsi" w:hAnsiTheme="minorHAnsi" w:cstheme="minorHAnsi"/>
        </w:rPr>
        <w:t>Convention;</w:t>
      </w:r>
      <w:proofErr w:type="gramEnd"/>
    </w:p>
    <w:p w14:paraId="62F08076" w14:textId="77777777" w:rsidR="001C2E05" w:rsidRPr="00B74796" w:rsidRDefault="001C2E05" w:rsidP="001C2E05">
      <w:pPr>
        <w:rPr>
          <w:rFonts w:asciiTheme="minorHAnsi" w:hAnsiTheme="minorHAnsi" w:cstheme="minorHAnsi"/>
        </w:rPr>
      </w:pPr>
      <w:r w:rsidRPr="00B74796">
        <w:rPr>
          <w:rFonts w:asciiTheme="minorHAnsi" w:hAnsiTheme="minorHAnsi" w:cstheme="minorHAnsi"/>
        </w:rPr>
        <w:t>6</w:t>
      </w:r>
      <w:r w:rsidRPr="00B74796">
        <w:rPr>
          <w:rFonts w:asciiTheme="minorHAnsi" w:hAnsiTheme="minorHAnsi" w:cstheme="minorHAnsi"/>
        </w:rPr>
        <w:tab/>
        <w:t xml:space="preserve">to identify those items requiring urgent action by the radiocommunication study groups in preparation for the next world radiocommunication </w:t>
      </w:r>
      <w:proofErr w:type="gramStart"/>
      <w:r w:rsidRPr="00B74796">
        <w:rPr>
          <w:rFonts w:asciiTheme="minorHAnsi" w:hAnsiTheme="minorHAnsi" w:cstheme="minorHAnsi"/>
        </w:rPr>
        <w:t>conference;</w:t>
      </w:r>
      <w:proofErr w:type="gramEnd"/>
    </w:p>
    <w:p w14:paraId="3F7D1705" w14:textId="77777777" w:rsidR="001C2E05" w:rsidRPr="00B74796" w:rsidRDefault="001C2E05" w:rsidP="001C2E05">
      <w:pPr>
        <w:rPr>
          <w:rFonts w:asciiTheme="minorHAnsi" w:hAnsiTheme="minorHAnsi" w:cstheme="minorHAnsi"/>
        </w:rPr>
      </w:pPr>
      <w:r w:rsidRPr="00B74796">
        <w:rPr>
          <w:rFonts w:asciiTheme="minorHAnsi" w:hAnsiTheme="minorHAnsi" w:cstheme="minorHAnsi"/>
        </w:rPr>
        <w:t>7</w:t>
      </w:r>
      <w:r w:rsidRPr="00B74796">
        <w:rPr>
          <w:rFonts w:asciiTheme="minorHAnsi" w:hAnsiTheme="minorHAnsi" w:cstheme="minorHAnsi"/>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B74796">
        <w:rPr>
          <w:rFonts w:asciiTheme="minorHAnsi" w:hAnsiTheme="minorHAnsi" w:cstheme="minorHAnsi"/>
          <w:b/>
        </w:rPr>
        <w:t>86</w:t>
      </w:r>
      <w:r w:rsidRPr="00B74796">
        <w:rPr>
          <w:rFonts w:asciiTheme="minorHAnsi" w:hAnsiTheme="minorHAnsi" w:cstheme="minorHAnsi"/>
        </w:rPr>
        <w:t xml:space="preserve"> </w:t>
      </w:r>
      <w:r w:rsidRPr="00B74796">
        <w:rPr>
          <w:rFonts w:asciiTheme="minorHAnsi" w:hAnsiTheme="minorHAnsi" w:cstheme="minorHAnsi"/>
          <w:b/>
        </w:rPr>
        <w:t>(Rev.WRC</w:t>
      </w:r>
      <w:r>
        <w:rPr>
          <w:rFonts w:asciiTheme="minorHAnsi" w:hAnsiTheme="minorHAnsi" w:cstheme="minorHAnsi"/>
          <w:b/>
        </w:rPr>
        <w:t>-</w:t>
      </w:r>
      <w:r w:rsidRPr="00B74796">
        <w:rPr>
          <w:rFonts w:asciiTheme="minorHAnsi" w:hAnsiTheme="minorHAnsi" w:cstheme="minorHAnsi"/>
          <w:b/>
        </w:rPr>
        <w:t>07)</w:t>
      </w:r>
      <w:r w:rsidRPr="00B74796">
        <w:rPr>
          <w:rFonts w:asciiTheme="minorHAnsi" w:hAnsiTheme="minorHAnsi" w:cstheme="minorHAnsi"/>
          <w:bCs/>
        </w:rPr>
        <w:t xml:space="preserve">, in order to facilitate the rational, efficient and economical use of radio frequencies and any associated orbits, including the geostationary-satellite </w:t>
      </w:r>
      <w:proofErr w:type="gramStart"/>
      <w:r w:rsidRPr="00B74796">
        <w:rPr>
          <w:rFonts w:asciiTheme="minorHAnsi" w:hAnsiTheme="minorHAnsi" w:cstheme="minorHAnsi"/>
          <w:bCs/>
        </w:rPr>
        <w:t>orbit;</w:t>
      </w:r>
      <w:proofErr w:type="gramEnd"/>
    </w:p>
    <w:p w14:paraId="3CE8E0BA" w14:textId="77777777" w:rsidR="001C2E05" w:rsidRPr="00B74796" w:rsidRDefault="001C2E05" w:rsidP="001C2E05">
      <w:r w:rsidRPr="00B74796">
        <w:t>8</w:t>
      </w:r>
      <w:r w:rsidRPr="00B74796">
        <w:tab/>
        <w:t>to consider and take appropriate action on requests from administrations to delete their country footnotes or to have their country name deleted from footnotes, if no longer required, taking into account Resolution </w:t>
      </w:r>
      <w:r w:rsidRPr="00B74796">
        <w:rPr>
          <w:b/>
          <w:bCs/>
        </w:rPr>
        <w:t>26 (Rev.WRC</w:t>
      </w:r>
      <w:r>
        <w:rPr>
          <w:b/>
          <w:bCs/>
        </w:rPr>
        <w:t>-</w:t>
      </w:r>
      <w:r w:rsidRPr="00B74796">
        <w:rPr>
          <w:b/>
          <w:bCs/>
        </w:rPr>
        <w:t>23</w:t>
      </w:r>
      <w:proofErr w:type="gramStart"/>
      <w:r w:rsidRPr="00B74796">
        <w:rPr>
          <w:b/>
          <w:bCs/>
        </w:rPr>
        <w:t>)</w:t>
      </w:r>
      <w:r w:rsidRPr="00B74796">
        <w:rPr>
          <w:bCs/>
        </w:rPr>
        <w:t>;</w:t>
      </w:r>
      <w:proofErr w:type="gramEnd"/>
    </w:p>
    <w:p w14:paraId="4D02051A" w14:textId="77777777" w:rsidR="001C2E05" w:rsidRPr="00B74796" w:rsidRDefault="001C2E05" w:rsidP="001C2E05">
      <w:r w:rsidRPr="00B74796">
        <w:t>9</w:t>
      </w:r>
      <w:r w:rsidRPr="00B74796">
        <w:tab/>
        <w:t>to consider and approve the Report of the Director of the Radiocommunication Bureau, in accordance with Article 7 of the ITU Convention</w:t>
      </w:r>
      <w:r w:rsidRPr="00B74796">
        <w:rPr>
          <w:bCs/>
        </w:rPr>
        <w:t>:</w:t>
      </w:r>
    </w:p>
    <w:p w14:paraId="618AA5DD" w14:textId="77777777" w:rsidR="001C2E05" w:rsidRPr="00B74796" w:rsidRDefault="001C2E05" w:rsidP="001C2E05">
      <w:r w:rsidRPr="00B74796">
        <w:t>9.1</w:t>
      </w:r>
      <w:r w:rsidRPr="00B74796">
        <w:tab/>
        <w:t>on the activities of the ITU Radiocommunication Sector since WRC</w:t>
      </w:r>
      <w:r w:rsidRPr="00B74796">
        <w:noBreakHyphen/>
        <w:t>23</w:t>
      </w:r>
      <w:r w:rsidRPr="00B74796">
        <w:rPr>
          <w:rStyle w:val="FootnoteReference"/>
          <w:rFonts w:asciiTheme="minorHAnsi" w:hAnsiTheme="minorHAnsi" w:cstheme="minorHAnsi"/>
        </w:rPr>
        <w:footnoteReference w:customMarkFollows="1" w:id="1"/>
        <w:t>1</w:t>
      </w:r>
      <w:r w:rsidRPr="00B74796">
        <w:t>;</w:t>
      </w:r>
    </w:p>
    <w:p w14:paraId="1F09ECF3" w14:textId="77777777" w:rsidR="001C2E05" w:rsidRPr="00B74796" w:rsidRDefault="001C2E05" w:rsidP="001C2E05">
      <w:r w:rsidRPr="00B74796">
        <w:lastRenderedPageBreak/>
        <w:t>9.2</w:t>
      </w:r>
      <w:r w:rsidRPr="00B74796">
        <w:tab/>
        <w:t>on any difficulties or inconsistencies encountered in the application of the Radio Regulations</w:t>
      </w:r>
      <w:r w:rsidRPr="00B74796">
        <w:rPr>
          <w:rStyle w:val="FootnoteReference"/>
          <w:rFonts w:asciiTheme="minorHAnsi" w:hAnsiTheme="minorHAnsi" w:cstheme="minorHAnsi"/>
        </w:rPr>
        <w:footnoteReference w:customMarkFollows="1" w:id="2"/>
        <w:t>2</w:t>
      </w:r>
      <w:r w:rsidRPr="00B74796">
        <w:t>; and</w:t>
      </w:r>
    </w:p>
    <w:p w14:paraId="5AD3DBB3" w14:textId="77777777" w:rsidR="001C2E05" w:rsidRPr="00B74796" w:rsidRDefault="001C2E05" w:rsidP="001C2E05">
      <w:r w:rsidRPr="00B74796">
        <w:t>9.3</w:t>
      </w:r>
      <w:r w:rsidRPr="00B74796">
        <w:tab/>
        <w:t>on action in response to Resolution </w:t>
      </w:r>
      <w:r w:rsidRPr="00B74796">
        <w:rPr>
          <w:b/>
          <w:bCs/>
        </w:rPr>
        <w:t>80 (Rev.WRC</w:t>
      </w:r>
      <w:r>
        <w:rPr>
          <w:b/>
          <w:bCs/>
        </w:rPr>
        <w:t>-</w:t>
      </w:r>
      <w:r w:rsidRPr="00B74796">
        <w:rPr>
          <w:b/>
          <w:bCs/>
          <w:iCs/>
        </w:rPr>
        <w:t>07</w:t>
      </w:r>
      <w:proofErr w:type="gramStart"/>
      <w:r w:rsidRPr="00B74796">
        <w:rPr>
          <w:b/>
          <w:bCs/>
        </w:rPr>
        <w:t>)</w:t>
      </w:r>
      <w:r w:rsidRPr="00B74796">
        <w:t>;</w:t>
      </w:r>
      <w:proofErr w:type="gramEnd"/>
    </w:p>
    <w:p w14:paraId="0CA04F6D" w14:textId="77777777" w:rsidR="001C2E05" w:rsidRPr="00B74796" w:rsidRDefault="001C2E05" w:rsidP="001C2E05">
      <w:pPr>
        <w:rPr>
          <w:iCs/>
        </w:rPr>
      </w:pPr>
      <w:r w:rsidRPr="00B74796">
        <w:t>10</w:t>
      </w:r>
      <w:r w:rsidRPr="00B74796">
        <w:rPr>
          <w:b/>
          <w:bCs/>
        </w:rPr>
        <w:tab/>
      </w:r>
      <w:r w:rsidRPr="00B74796">
        <w:t xml:space="preserve">to recommend to the ITU Council items for inclusion in the agenda for the next world radiocommunication conference, </w:t>
      </w:r>
      <w:r w:rsidRPr="00B74796">
        <w:rPr>
          <w:iCs/>
        </w:rPr>
        <w:t xml:space="preserve">and items for the preliminary agenda of future conferences, </w:t>
      </w:r>
      <w:r w:rsidRPr="00B74796">
        <w:t xml:space="preserve">in accordance with Article 7 of the ITU Convention </w:t>
      </w:r>
      <w:r w:rsidRPr="00B74796">
        <w:rPr>
          <w:iCs/>
        </w:rPr>
        <w:t>and Resolution </w:t>
      </w:r>
      <w:r w:rsidRPr="00B74796">
        <w:rPr>
          <w:b/>
          <w:bCs/>
          <w:iCs/>
        </w:rPr>
        <w:t>804 (Rev.WRC</w:t>
      </w:r>
      <w:r>
        <w:rPr>
          <w:b/>
          <w:bCs/>
          <w:iCs/>
        </w:rPr>
        <w:t>-</w:t>
      </w:r>
      <w:r w:rsidRPr="00B74796">
        <w:rPr>
          <w:b/>
          <w:bCs/>
          <w:iCs/>
        </w:rPr>
        <w:t>23)</w:t>
      </w:r>
      <w:r>
        <w:rPr>
          <w:iCs/>
        </w:rPr>
        <w:t>.</w:t>
      </w:r>
    </w:p>
    <w:p w14:paraId="7D13C390" w14:textId="77777777" w:rsidR="001C2E05" w:rsidRPr="00371EF3" w:rsidRDefault="001C2E05" w:rsidP="001C2E05">
      <w:pPr>
        <w:pStyle w:val="Reasons"/>
        <w:rPr>
          <w:rFonts w:asciiTheme="minorHAnsi" w:hAnsiTheme="minorHAnsi" w:cstheme="minorHAnsi"/>
        </w:rPr>
      </w:pPr>
    </w:p>
    <w:p w14:paraId="7A4269A3" w14:textId="77777777" w:rsidR="001C2E05" w:rsidRPr="00D4198A" w:rsidRDefault="001C2E05" w:rsidP="001C2E05">
      <w:pPr>
        <w:spacing w:before="720"/>
        <w:jc w:val="center"/>
      </w:pPr>
      <w:r>
        <w:t>______________</w:t>
      </w:r>
    </w:p>
    <w:p w14:paraId="68B6306B" w14:textId="1C2B95F2" w:rsidR="00603AD7" w:rsidRDefault="00603AD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caps/>
          <w:color w:val="000000" w:themeColor="text1"/>
          <w:sz w:val="28"/>
          <w:szCs w:val="28"/>
        </w:rPr>
      </w:pPr>
      <w:r>
        <w:rPr>
          <w:rFonts w:asciiTheme="minorHAnsi" w:hAnsiTheme="minorHAnsi" w:cstheme="minorHAnsi"/>
          <w:b/>
          <w:bCs/>
          <w:color w:val="000000" w:themeColor="text1"/>
          <w:szCs w:val="28"/>
        </w:rPr>
        <w:br w:type="page"/>
      </w:r>
    </w:p>
    <w:p w14:paraId="4F24322A" w14:textId="25A766EB" w:rsidR="00F57FCA" w:rsidRPr="00AC332C" w:rsidRDefault="00A06ED0" w:rsidP="003D0210">
      <w:pPr>
        <w:pStyle w:val="ResNo"/>
        <w:rPr>
          <w:rFonts w:asciiTheme="minorHAnsi" w:hAnsiTheme="minorHAnsi" w:cstheme="minorHAnsi"/>
          <w:b/>
          <w:bCs/>
          <w:color w:val="000000" w:themeColor="text1"/>
          <w:szCs w:val="28"/>
        </w:rPr>
      </w:pPr>
      <w:bookmarkStart w:id="15" w:name="AnnexE"/>
      <w:r w:rsidRPr="00AC332C">
        <w:rPr>
          <w:rFonts w:asciiTheme="minorHAnsi" w:hAnsiTheme="minorHAnsi" w:cstheme="minorHAnsi"/>
          <w:b/>
          <w:bCs/>
          <w:color w:val="000000" w:themeColor="text1"/>
          <w:szCs w:val="28"/>
        </w:rPr>
        <w:lastRenderedPageBreak/>
        <w:t xml:space="preserve">ANNEX </w:t>
      </w:r>
      <w:r w:rsidR="00AC332C" w:rsidRPr="00AC332C">
        <w:rPr>
          <w:rFonts w:asciiTheme="minorHAnsi" w:hAnsiTheme="minorHAnsi" w:cstheme="minorHAnsi"/>
          <w:b/>
          <w:bCs/>
          <w:color w:val="000000" w:themeColor="text1"/>
          <w:szCs w:val="28"/>
        </w:rPr>
        <w:t>E</w:t>
      </w:r>
    </w:p>
    <w:bookmarkEnd w:id="15"/>
    <w:p w14:paraId="0EDE7313" w14:textId="77777777" w:rsidR="00146506" w:rsidRPr="00BB46E5" w:rsidRDefault="00146506" w:rsidP="00146506">
      <w:pPr>
        <w:pStyle w:val="AnnexNo"/>
        <w:rPr>
          <w:rFonts w:eastAsia="SimSun"/>
          <w:lang w:eastAsia="zh-CN"/>
        </w:rPr>
      </w:pPr>
      <w:r w:rsidRPr="005D709B">
        <w:rPr>
          <w:rFonts w:eastAsia="SimSun"/>
        </w:rPr>
        <w:t>DECISION</w:t>
      </w:r>
      <w:r w:rsidRPr="00BB46E5">
        <w:rPr>
          <w:rFonts w:eastAsia="SimSun"/>
          <w:lang w:eastAsia="zh-CN"/>
        </w:rPr>
        <w:t xml:space="preserve"> </w:t>
      </w:r>
      <w:r>
        <w:rPr>
          <w:rFonts w:eastAsia="SimSun"/>
          <w:lang w:eastAsia="zh-CN"/>
        </w:rPr>
        <w:t>640</w:t>
      </w:r>
    </w:p>
    <w:p w14:paraId="06F14F30" w14:textId="77777777" w:rsidR="00146506" w:rsidRPr="00BB46E5" w:rsidRDefault="00146506" w:rsidP="00146506">
      <w:pPr>
        <w:pStyle w:val="Resref"/>
        <w:rPr>
          <w:rFonts w:asciiTheme="minorHAnsi" w:hAnsiTheme="minorHAnsi" w:cstheme="minorHAnsi"/>
        </w:rPr>
      </w:pPr>
      <w:r w:rsidRPr="00BB46E5">
        <w:rPr>
          <w:rFonts w:asciiTheme="minorHAnsi" w:hAnsiTheme="minorHAnsi" w:cstheme="minorHAnsi"/>
        </w:rPr>
        <w:t>(adopted at the tenth Plenary meeting)</w:t>
      </w:r>
    </w:p>
    <w:p w14:paraId="72778926" w14:textId="77777777" w:rsidR="00146506" w:rsidRPr="0005504F" w:rsidRDefault="00146506" w:rsidP="00146506">
      <w:pPr>
        <w:pStyle w:val="Annextitle"/>
        <w:rPr>
          <w:bCs/>
        </w:rPr>
      </w:pPr>
      <w:r w:rsidRPr="0005504F">
        <w:t>Alternative reassessed project for ITU’s headquarters premises</w:t>
      </w:r>
    </w:p>
    <w:p w14:paraId="6ED57728" w14:textId="77777777" w:rsidR="00146506" w:rsidRPr="0055410B" w:rsidRDefault="00146506" w:rsidP="00146506">
      <w:pPr>
        <w:pStyle w:val="Normalaftertitle0"/>
        <w:rPr>
          <w:rFonts w:ascii="Calibri" w:eastAsia="MS Mincho" w:hAnsi="Calibri" w:cstheme="minorHAnsi"/>
          <w:sz w:val="22"/>
          <w:szCs w:val="24"/>
          <w:lang w:val="en-US"/>
        </w:rPr>
      </w:pPr>
      <w:r w:rsidRPr="0055410B">
        <w:rPr>
          <w:rFonts w:ascii="Calibri" w:eastAsia="MS Mincho" w:hAnsi="Calibri" w:cstheme="minorHAnsi"/>
          <w:sz w:val="22"/>
          <w:szCs w:val="24"/>
          <w:lang w:val="en-US"/>
        </w:rPr>
        <w:t>The ITU Council,</w:t>
      </w:r>
    </w:p>
    <w:p w14:paraId="0E491938" w14:textId="77777777" w:rsidR="00146506" w:rsidRPr="0005504F" w:rsidRDefault="00146506" w:rsidP="00146506">
      <w:pPr>
        <w:pStyle w:val="Call"/>
        <w:rPr>
          <w:lang w:eastAsia="zh-CN"/>
        </w:rPr>
      </w:pPr>
      <w:r w:rsidRPr="0005504F">
        <w:rPr>
          <w:lang w:eastAsia="zh-CN"/>
        </w:rPr>
        <w:t>recalling</w:t>
      </w:r>
    </w:p>
    <w:p w14:paraId="25592B2C" w14:textId="77777777" w:rsidR="00146506" w:rsidRPr="0005504F" w:rsidRDefault="00146506" w:rsidP="00146506">
      <w:pPr>
        <w:rPr>
          <w:rFonts w:asciiTheme="minorHAnsi" w:hAnsiTheme="minorHAnsi" w:cstheme="minorBidi"/>
          <w:color w:val="000000" w:themeColor="text1"/>
          <w:lang w:eastAsia="zh-CN"/>
        </w:rPr>
      </w:pPr>
      <w:r w:rsidRPr="0005504F">
        <w:rPr>
          <w:rFonts w:cstheme="minorHAnsi"/>
          <w:szCs w:val="24"/>
        </w:rPr>
        <w:t xml:space="preserve">Resolution 212 (Rev. Bucharest, 2022) of the Plenipotentiary Conference </w:t>
      </w:r>
      <w:r w:rsidRPr="0005504F">
        <w:rPr>
          <w:rFonts w:asciiTheme="minorHAnsi" w:hAnsiTheme="minorHAnsi" w:cstheme="minorBidi"/>
          <w:color w:val="000000" w:themeColor="text1"/>
          <w:lang w:eastAsia="zh-CN"/>
        </w:rPr>
        <w:t>on the Union's future headquarters premises, and Council Decisions 588 and 619 on the headquarters premises,</w:t>
      </w:r>
    </w:p>
    <w:p w14:paraId="68DA08CE" w14:textId="77777777" w:rsidR="00146506" w:rsidRPr="0005504F" w:rsidRDefault="00146506" w:rsidP="00146506">
      <w:pPr>
        <w:pStyle w:val="Call"/>
        <w:rPr>
          <w:lang w:eastAsia="zh-CN"/>
        </w:rPr>
      </w:pPr>
      <w:r w:rsidRPr="0005504F">
        <w:rPr>
          <w:lang w:eastAsia="zh-CN"/>
        </w:rPr>
        <w:t>recognizing</w:t>
      </w:r>
    </w:p>
    <w:p w14:paraId="0F90AE2A" w14:textId="77777777" w:rsidR="00146506" w:rsidRPr="0005504F" w:rsidRDefault="00146506" w:rsidP="00146506">
      <w:pPr>
        <w:rPr>
          <w:rFonts w:asciiTheme="minorHAnsi" w:hAnsiTheme="minorHAnsi" w:cstheme="minorBidi"/>
          <w:color w:val="000000" w:themeColor="text1"/>
          <w:lang w:eastAsia="zh-CN"/>
        </w:rPr>
      </w:pPr>
      <w:r w:rsidRPr="0005504F">
        <w:rPr>
          <w:rFonts w:asciiTheme="minorHAnsi" w:hAnsiTheme="minorHAnsi" w:cstheme="minorBidi"/>
          <w:i/>
          <w:iCs/>
          <w:color w:val="000000" w:themeColor="text1"/>
          <w:lang w:eastAsia="zh-CN"/>
        </w:rPr>
        <w:t>a)</w:t>
      </w:r>
      <w:r w:rsidRPr="0005504F">
        <w:rPr>
          <w:rFonts w:asciiTheme="minorHAnsi" w:hAnsiTheme="minorHAnsi" w:cstheme="minorBidi"/>
          <w:color w:val="000000" w:themeColor="text1"/>
          <w:lang w:eastAsia="zh-CN"/>
        </w:rPr>
        <w:tab/>
        <w:t>that proposals submitted for appointing a general contractor for the headquarters premises project significantly exceed the approved budget of CHF 172.69</w:t>
      </w:r>
      <w:r>
        <w:rPr>
          <w:rFonts w:asciiTheme="minorHAnsi" w:hAnsiTheme="minorHAnsi" w:cstheme="minorBidi"/>
          <w:color w:val="000000" w:themeColor="text1"/>
          <w:lang w:eastAsia="zh-CN"/>
        </w:rPr>
        <w:t> </w:t>
      </w:r>
      <w:proofErr w:type="gramStart"/>
      <w:r w:rsidRPr="0005504F">
        <w:rPr>
          <w:rFonts w:asciiTheme="minorHAnsi" w:hAnsiTheme="minorHAnsi" w:cstheme="minorBidi"/>
          <w:color w:val="000000" w:themeColor="text1"/>
          <w:lang w:eastAsia="zh-CN"/>
        </w:rPr>
        <w:t>million;</w:t>
      </w:r>
      <w:proofErr w:type="gramEnd"/>
    </w:p>
    <w:p w14:paraId="3C76473E" w14:textId="77777777" w:rsidR="00146506" w:rsidRPr="0005504F" w:rsidRDefault="00146506" w:rsidP="00146506">
      <w:pPr>
        <w:rPr>
          <w:rFonts w:asciiTheme="minorHAnsi" w:hAnsiTheme="minorHAnsi" w:cstheme="minorBidi"/>
          <w:color w:val="000000" w:themeColor="text1"/>
          <w:lang w:eastAsia="zh-CN"/>
        </w:rPr>
      </w:pPr>
      <w:r w:rsidRPr="0005504F">
        <w:rPr>
          <w:rFonts w:asciiTheme="minorHAnsi" w:hAnsiTheme="minorHAnsi" w:cstheme="minorBidi"/>
          <w:i/>
          <w:iCs/>
          <w:color w:val="000000" w:themeColor="text1"/>
          <w:lang w:eastAsia="zh-CN"/>
        </w:rPr>
        <w:t>b)</w:t>
      </w:r>
      <w:r w:rsidRPr="0005504F">
        <w:rPr>
          <w:rFonts w:asciiTheme="minorHAnsi" w:hAnsiTheme="minorHAnsi" w:cstheme="minorBidi"/>
          <w:color w:val="000000" w:themeColor="text1"/>
          <w:lang w:eastAsia="zh-CN"/>
        </w:rPr>
        <w:tab/>
        <w:t xml:space="preserve">that two calls for voluntary contributions and additional sponsorship yielded no </w:t>
      </w:r>
      <w:proofErr w:type="gramStart"/>
      <w:r w:rsidRPr="0005504F">
        <w:rPr>
          <w:rFonts w:asciiTheme="minorHAnsi" w:hAnsiTheme="minorHAnsi" w:cstheme="minorBidi"/>
          <w:color w:val="000000" w:themeColor="text1"/>
          <w:lang w:eastAsia="zh-CN"/>
        </w:rPr>
        <w:t>interest;</w:t>
      </w:r>
      <w:proofErr w:type="gramEnd"/>
    </w:p>
    <w:p w14:paraId="2097E207" w14:textId="77777777" w:rsidR="00146506" w:rsidRPr="0005504F" w:rsidRDefault="00146506" w:rsidP="00146506">
      <w:pPr>
        <w:rPr>
          <w:rFonts w:asciiTheme="minorHAnsi" w:hAnsiTheme="minorHAnsi" w:cstheme="minorBidi"/>
          <w:color w:val="000000" w:themeColor="text1"/>
          <w:lang w:eastAsia="zh-CN"/>
        </w:rPr>
      </w:pPr>
      <w:r w:rsidRPr="0005504F">
        <w:rPr>
          <w:rFonts w:asciiTheme="minorHAnsi" w:hAnsiTheme="minorHAnsi" w:cstheme="minorBidi"/>
          <w:i/>
          <w:iCs/>
          <w:color w:val="000000" w:themeColor="text1"/>
          <w:lang w:eastAsia="zh-CN"/>
        </w:rPr>
        <w:t>c)</w:t>
      </w:r>
      <w:r w:rsidRPr="0005504F">
        <w:rPr>
          <w:rFonts w:asciiTheme="minorHAnsi" w:hAnsiTheme="minorHAnsi" w:cstheme="minorBidi"/>
          <w:color w:val="000000" w:themeColor="text1"/>
          <w:lang w:eastAsia="zh-CN"/>
        </w:rPr>
        <w:tab/>
        <w:t xml:space="preserve">the urgent need to decide on the replacement of the </w:t>
      </w:r>
      <w:proofErr w:type="spellStart"/>
      <w:r w:rsidRPr="0005504F">
        <w:rPr>
          <w:rFonts w:asciiTheme="minorHAnsi" w:hAnsiTheme="minorHAnsi" w:cstheme="minorBidi"/>
          <w:color w:val="000000" w:themeColor="text1"/>
          <w:lang w:eastAsia="zh-CN"/>
        </w:rPr>
        <w:t>Varembé</w:t>
      </w:r>
      <w:proofErr w:type="spellEnd"/>
      <w:r w:rsidRPr="0005504F">
        <w:rPr>
          <w:rFonts w:asciiTheme="minorHAnsi" w:hAnsiTheme="minorHAnsi" w:cstheme="minorBidi"/>
          <w:color w:val="000000" w:themeColor="text1"/>
          <w:lang w:eastAsia="zh-CN"/>
        </w:rPr>
        <w:t xml:space="preserve"> building, which is nearing the end of its serviceable life,</w:t>
      </w:r>
    </w:p>
    <w:p w14:paraId="7DC6EB79" w14:textId="77777777" w:rsidR="00146506" w:rsidRPr="0005504F" w:rsidRDefault="00146506" w:rsidP="00146506">
      <w:pPr>
        <w:pStyle w:val="Call"/>
        <w:rPr>
          <w:rFonts w:cstheme="minorBidi"/>
          <w:lang w:eastAsia="zh-CN"/>
        </w:rPr>
      </w:pPr>
      <w:r w:rsidRPr="0005504F">
        <w:t>noting</w:t>
      </w:r>
    </w:p>
    <w:p w14:paraId="5344855B" w14:textId="77777777" w:rsidR="00146506" w:rsidRPr="0005504F" w:rsidRDefault="00146506" w:rsidP="00146506">
      <w:pPr>
        <w:rPr>
          <w:rFonts w:asciiTheme="minorHAnsi" w:hAnsiTheme="minorHAnsi" w:cstheme="minorBidi"/>
          <w:color w:val="000000" w:themeColor="text1"/>
          <w:lang w:eastAsia="zh-CN"/>
        </w:rPr>
      </w:pPr>
      <w:r w:rsidRPr="0005504F">
        <w:rPr>
          <w:rFonts w:asciiTheme="minorHAnsi" w:hAnsiTheme="minorHAnsi" w:cstheme="minorBidi"/>
          <w:i/>
          <w:iCs/>
          <w:color w:val="000000" w:themeColor="text1"/>
          <w:lang w:eastAsia="zh-CN"/>
        </w:rPr>
        <w:t>a)</w:t>
      </w:r>
      <w:r w:rsidRPr="0005504F">
        <w:rPr>
          <w:rFonts w:asciiTheme="minorHAnsi" w:hAnsiTheme="minorHAnsi" w:cstheme="minorBidi"/>
          <w:color w:val="000000" w:themeColor="text1"/>
          <w:lang w:eastAsia="zh-CN"/>
        </w:rPr>
        <w:tab/>
        <w:t>the Secretary-General’s proposal for an alternative reassessed project that considers the needs of the ITU membership and staff within the current budget, as outlined in Table</w:t>
      </w:r>
      <w:r>
        <w:rPr>
          <w:rFonts w:asciiTheme="minorHAnsi" w:hAnsiTheme="minorHAnsi" w:cstheme="minorBidi"/>
          <w:color w:val="000000" w:themeColor="text1"/>
          <w:lang w:eastAsia="zh-CN"/>
        </w:rPr>
        <w:t> </w:t>
      </w:r>
      <w:r w:rsidRPr="0005504F">
        <w:rPr>
          <w:rFonts w:asciiTheme="minorHAnsi" w:hAnsiTheme="minorHAnsi" w:cstheme="minorBidi"/>
          <w:color w:val="000000" w:themeColor="text1"/>
          <w:lang w:eastAsia="zh-CN"/>
        </w:rPr>
        <w:t xml:space="preserve">4 of Council </w:t>
      </w:r>
      <w:r>
        <w:rPr>
          <w:rFonts w:asciiTheme="minorHAnsi" w:hAnsiTheme="minorHAnsi" w:cstheme="minorBidi"/>
          <w:color w:val="000000" w:themeColor="text1"/>
          <w:lang w:eastAsia="zh-CN"/>
        </w:rPr>
        <w:t>D</w:t>
      </w:r>
      <w:r w:rsidRPr="0005504F">
        <w:rPr>
          <w:rFonts w:asciiTheme="minorHAnsi" w:hAnsiTheme="minorHAnsi" w:cstheme="minorBidi"/>
          <w:color w:val="000000" w:themeColor="text1"/>
          <w:lang w:eastAsia="zh-CN"/>
        </w:rPr>
        <w:t xml:space="preserve">ocument </w:t>
      </w:r>
      <w:hyperlink r:id="rId27" w:history="1">
        <w:r w:rsidRPr="0005504F">
          <w:rPr>
            <w:rStyle w:val="Hyperlink"/>
            <w:rFonts w:asciiTheme="minorHAnsi" w:hAnsiTheme="minorHAnsi" w:cstheme="minorBidi"/>
            <w:lang w:eastAsia="zh-CN"/>
          </w:rPr>
          <w:t>C24/7</w:t>
        </w:r>
      </w:hyperlink>
      <w:r w:rsidRPr="0005504F">
        <w:rPr>
          <w:rFonts w:asciiTheme="minorHAnsi" w:hAnsiTheme="minorHAnsi" w:cstheme="minorBidi"/>
          <w:color w:val="000000" w:themeColor="text1"/>
          <w:lang w:eastAsia="zh-CN"/>
        </w:rPr>
        <w:t>;</w:t>
      </w:r>
    </w:p>
    <w:p w14:paraId="06BCCC67" w14:textId="77777777" w:rsidR="00146506" w:rsidRPr="0005504F" w:rsidRDefault="00146506" w:rsidP="00146506">
      <w:pPr>
        <w:rPr>
          <w:rFonts w:eastAsia="SimSun" w:cstheme="minorHAnsi"/>
          <w:color w:val="000000"/>
          <w:szCs w:val="24"/>
          <w:shd w:val="clear" w:color="auto" w:fill="FFFFFF"/>
        </w:rPr>
      </w:pPr>
      <w:r w:rsidRPr="0005504F">
        <w:rPr>
          <w:rFonts w:asciiTheme="minorHAnsi" w:hAnsiTheme="minorHAnsi"/>
          <w:i/>
          <w:iCs/>
          <w:color w:val="000000" w:themeColor="text1"/>
        </w:rPr>
        <w:t>b)</w:t>
      </w:r>
      <w:r w:rsidRPr="0005504F">
        <w:rPr>
          <w:rFonts w:asciiTheme="minorHAnsi" w:hAnsiTheme="minorHAnsi"/>
          <w:color w:val="000000" w:themeColor="text1"/>
        </w:rPr>
        <w:tab/>
        <w:t xml:space="preserve">the </w:t>
      </w:r>
      <w:r w:rsidRPr="0005504F">
        <w:rPr>
          <w:rFonts w:asciiTheme="minorHAnsi" w:hAnsiTheme="minorHAnsi" w:cstheme="minorBidi"/>
          <w:color w:val="000000" w:themeColor="text1"/>
          <w:lang w:eastAsia="zh-CN"/>
        </w:rPr>
        <w:t xml:space="preserve">reports from the </w:t>
      </w:r>
      <w:r w:rsidRPr="0005504F">
        <w:rPr>
          <w:rFonts w:asciiTheme="minorHAnsi" w:hAnsiTheme="minorHAnsi"/>
          <w:color w:val="000000" w:themeColor="text1"/>
        </w:rPr>
        <w:t xml:space="preserve">Member States Advisory Group (MSAG) and </w:t>
      </w:r>
      <w:r w:rsidRPr="0005504F">
        <w:rPr>
          <w:rFonts w:asciiTheme="minorHAnsi" w:hAnsiTheme="minorHAnsi" w:cstheme="minorBidi"/>
          <w:color w:val="000000" w:themeColor="text1"/>
          <w:lang w:eastAsia="zh-CN"/>
        </w:rPr>
        <w:t xml:space="preserve">the Chair of the </w:t>
      </w:r>
      <w:r w:rsidRPr="0005504F">
        <w:rPr>
          <w:rFonts w:asciiTheme="minorHAnsi" w:hAnsiTheme="minorHAnsi"/>
          <w:color w:val="000000" w:themeColor="text1"/>
        </w:rPr>
        <w:t>Council</w:t>
      </w:r>
      <w:r w:rsidRPr="0005504F">
        <w:rPr>
          <w:rFonts w:asciiTheme="minorHAnsi" w:hAnsiTheme="minorHAnsi" w:cstheme="minorBidi"/>
          <w:color w:val="000000" w:themeColor="text1"/>
          <w:lang w:eastAsia="zh-CN"/>
        </w:rPr>
        <w:t xml:space="preserve"> Working</w:t>
      </w:r>
      <w:r w:rsidRPr="0005504F">
        <w:rPr>
          <w:rFonts w:eastAsia="SimSun" w:cstheme="minorHAnsi"/>
          <w:color w:val="000000"/>
          <w:szCs w:val="24"/>
          <w:shd w:val="clear" w:color="auto" w:fill="FFFFFF"/>
        </w:rPr>
        <w:t xml:space="preserve"> Group on Financial and Human Resources (CWG-FHR) to the 2024 session of the Council supporting the</w:t>
      </w:r>
      <w:r w:rsidRPr="0005504F">
        <w:rPr>
          <w:rFonts w:asciiTheme="minorHAnsi" w:hAnsiTheme="minorHAnsi" w:cstheme="minorBidi"/>
          <w:color w:val="000000" w:themeColor="text1"/>
          <w:lang w:eastAsia="zh-CN"/>
        </w:rPr>
        <w:t xml:space="preserve"> Secretary-General’s alternative reassessed project</w:t>
      </w:r>
      <w:r w:rsidRPr="0005504F">
        <w:rPr>
          <w:rFonts w:eastAsia="SimSun" w:cstheme="minorHAnsi"/>
          <w:color w:val="000000"/>
          <w:szCs w:val="24"/>
          <w:shd w:val="clear" w:color="auto" w:fill="FFFFFF"/>
        </w:rPr>
        <w:t>,</w:t>
      </w:r>
    </w:p>
    <w:p w14:paraId="13FA44D1" w14:textId="77777777" w:rsidR="00146506" w:rsidRPr="0005504F" w:rsidRDefault="00146506" w:rsidP="00146506">
      <w:pPr>
        <w:pStyle w:val="Call"/>
        <w:rPr>
          <w:lang w:eastAsia="zh-CN"/>
        </w:rPr>
      </w:pPr>
      <w:r w:rsidRPr="0005504F">
        <w:rPr>
          <w:lang w:eastAsia="zh-CN"/>
        </w:rPr>
        <w:t>decides</w:t>
      </w:r>
    </w:p>
    <w:p w14:paraId="032EBEA7" w14:textId="77777777" w:rsidR="00146506" w:rsidRPr="0005504F" w:rsidRDefault="00146506" w:rsidP="00146506">
      <w:r w:rsidRPr="0005504F">
        <w:t xml:space="preserve">to approve, subject to the concurrence of the majority of ITU Member States in accordance with </w:t>
      </w:r>
      <w:r>
        <w:t xml:space="preserve">No. </w:t>
      </w:r>
      <w:r w:rsidRPr="0005504F">
        <w:t>79</w:t>
      </w:r>
      <w:r>
        <w:t xml:space="preserve"> of the Convention</w:t>
      </w:r>
      <w:r w:rsidRPr="0005504F">
        <w:t>, the alternative reassessed project which shall not exceed CHF 172.69</w:t>
      </w:r>
      <w:r>
        <w:t> </w:t>
      </w:r>
      <w:r w:rsidRPr="0005504F">
        <w:t>million,</w:t>
      </w:r>
    </w:p>
    <w:p w14:paraId="3354AD0A" w14:textId="77777777" w:rsidR="00146506" w:rsidRPr="0005504F" w:rsidRDefault="00146506" w:rsidP="00146506">
      <w:pPr>
        <w:pStyle w:val="Call"/>
      </w:pPr>
      <w:r w:rsidRPr="0005504F">
        <w:t>instructs the Secretary-General, subject to the abovementioned concurrence of the majority of ITU Member States</w:t>
      </w:r>
    </w:p>
    <w:p w14:paraId="527F1E18" w14:textId="77777777" w:rsidR="00146506" w:rsidRPr="0005504F" w:rsidRDefault="00146506" w:rsidP="00146506">
      <w:pPr>
        <w:rPr>
          <w:rFonts w:cstheme="minorHAnsi"/>
          <w:szCs w:val="24"/>
        </w:rPr>
      </w:pPr>
      <w:r w:rsidRPr="0005504F">
        <w:rPr>
          <w:rFonts w:cstheme="minorHAnsi"/>
          <w:szCs w:val="24"/>
        </w:rPr>
        <w:t>1</w:t>
      </w:r>
      <w:r w:rsidRPr="0005504F">
        <w:rPr>
          <w:rFonts w:cstheme="minorHAnsi"/>
          <w:szCs w:val="24"/>
        </w:rPr>
        <w:tab/>
        <w:t xml:space="preserve">to take all necessary steps to implement the alternative reassessed project to meet the needs of the ITU membership and staff, in accordance with </w:t>
      </w:r>
      <w:r>
        <w:rPr>
          <w:rFonts w:cstheme="minorHAnsi"/>
          <w:szCs w:val="24"/>
        </w:rPr>
        <w:t xml:space="preserve">the </w:t>
      </w:r>
      <w:proofErr w:type="gramStart"/>
      <w:r w:rsidRPr="0005504F">
        <w:rPr>
          <w:rFonts w:cstheme="minorHAnsi"/>
          <w:szCs w:val="24"/>
        </w:rPr>
        <w:t>Annex;</w:t>
      </w:r>
      <w:proofErr w:type="gramEnd"/>
    </w:p>
    <w:p w14:paraId="71B257CE" w14:textId="77777777" w:rsidR="00146506" w:rsidRDefault="00146506" w:rsidP="00146506">
      <w:pPr>
        <w:rPr>
          <w:rFonts w:cstheme="minorHAnsi"/>
          <w:szCs w:val="24"/>
        </w:rPr>
      </w:pPr>
      <w:r w:rsidRPr="0005504F">
        <w:rPr>
          <w:rFonts w:cstheme="minorHAnsi"/>
          <w:szCs w:val="24"/>
        </w:rPr>
        <w:t>2</w:t>
      </w:r>
      <w:r w:rsidRPr="0005504F">
        <w:rPr>
          <w:rFonts w:cstheme="minorHAnsi"/>
          <w:szCs w:val="24"/>
        </w:rPr>
        <w:tab/>
        <w:t xml:space="preserve">to liaise with the host country and take the necessary steps to repurpose the CHF 150 million loan for the alternative reassessed </w:t>
      </w:r>
      <w:proofErr w:type="gramStart"/>
      <w:r w:rsidRPr="0005504F">
        <w:rPr>
          <w:rFonts w:cstheme="minorHAnsi"/>
          <w:szCs w:val="24"/>
        </w:rPr>
        <w:t>project;</w:t>
      </w:r>
      <w:proofErr w:type="gramEnd"/>
    </w:p>
    <w:p w14:paraId="61DF78EA" w14:textId="77777777" w:rsidR="00146506" w:rsidRPr="0005504F" w:rsidRDefault="00146506" w:rsidP="00146506">
      <w:pPr>
        <w:rPr>
          <w:rFonts w:cstheme="minorHAnsi"/>
          <w:szCs w:val="24"/>
        </w:rPr>
      </w:pPr>
      <w:r w:rsidRPr="0005504F">
        <w:rPr>
          <w:rFonts w:cstheme="minorHAnsi"/>
          <w:szCs w:val="24"/>
        </w:rPr>
        <w:t>3</w:t>
      </w:r>
      <w:r w:rsidRPr="0005504F">
        <w:rPr>
          <w:rFonts w:cstheme="minorHAnsi"/>
          <w:szCs w:val="24"/>
        </w:rPr>
        <w:tab/>
        <w:t xml:space="preserve">to engage with sponsors and interested parties, with a view to keeping the committed sponsorships and other arrangements as outlined in Resolution 212 (Rev. Bucharest, 2022), and finding mutually acceptable solutions to address the commitments that may not be possible to meet in the alternative reassessed </w:t>
      </w:r>
      <w:proofErr w:type="gramStart"/>
      <w:r w:rsidRPr="0005504F">
        <w:rPr>
          <w:rFonts w:cstheme="minorHAnsi"/>
          <w:szCs w:val="24"/>
        </w:rPr>
        <w:t>project;</w:t>
      </w:r>
      <w:proofErr w:type="gramEnd"/>
    </w:p>
    <w:p w14:paraId="552E853E" w14:textId="77777777" w:rsidR="00146506" w:rsidRPr="0005504F" w:rsidRDefault="00146506" w:rsidP="00146506">
      <w:pPr>
        <w:rPr>
          <w:rFonts w:cstheme="minorHAnsi"/>
          <w:szCs w:val="24"/>
        </w:rPr>
      </w:pPr>
      <w:r w:rsidRPr="0005504F">
        <w:rPr>
          <w:rFonts w:cstheme="minorHAnsi"/>
          <w:szCs w:val="24"/>
        </w:rPr>
        <w:lastRenderedPageBreak/>
        <w:t>4</w:t>
      </w:r>
      <w:r w:rsidRPr="0005504F">
        <w:rPr>
          <w:rFonts w:cstheme="minorHAnsi"/>
          <w:szCs w:val="24"/>
        </w:rPr>
        <w:tab/>
        <w:t>to ensure the design and implementation of the alternative reassessed project meets the needs of the Union by consulting with and providing the MSAG with the information necessary to:</w:t>
      </w:r>
    </w:p>
    <w:p w14:paraId="74BA8C5D" w14:textId="77777777" w:rsidR="00146506" w:rsidRPr="0005504F" w:rsidRDefault="00146506" w:rsidP="00146506">
      <w:pPr>
        <w:pStyle w:val="enumlev2"/>
      </w:pPr>
      <w:r w:rsidRPr="00FB7433">
        <w:t>a</w:t>
      </w:r>
      <w:r>
        <w:t>.</w:t>
      </w:r>
      <w:r w:rsidRPr="0005504F">
        <w:tab/>
      </w:r>
      <w:proofErr w:type="gramStart"/>
      <w:r w:rsidRPr="0005504F">
        <w:t>provide</w:t>
      </w:r>
      <w:proofErr w:type="gramEnd"/>
      <w:r w:rsidRPr="0005504F">
        <w:t xml:space="preserve"> general advice and recommendations on the implementation of the project, with the aim of ensuring adherence to timeline and budget (not to exceed CHF 172.69 million);</w:t>
      </w:r>
    </w:p>
    <w:p w14:paraId="33A7BAC1" w14:textId="77777777" w:rsidR="00146506" w:rsidRPr="0005504F" w:rsidRDefault="00146506" w:rsidP="00146506">
      <w:pPr>
        <w:pStyle w:val="enumlev2"/>
      </w:pPr>
      <w:r w:rsidRPr="00FB7433">
        <w:t>b</w:t>
      </w:r>
      <w:r>
        <w:t>.</w:t>
      </w:r>
      <w:r w:rsidRPr="0005504F">
        <w:tab/>
      </w:r>
      <w:proofErr w:type="gramStart"/>
      <w:r w:rsidRPr="0005504F">
        <w:t>provide</w:t>
      </w:r>
      <w:proofErr w:type="gramEnd"/>
      <w:r w:rsidRPr="0005504F">
        <w:t xml:space="preserve"> guidance regarding any funding changes as a result of savings, or any eventual change in sponsorship or donation; and</w:t>
      </w:r>
    </w:p>
    <w:p w14:paraId="44B45867" w14:textId="77777777" w:rsidR="00146506" w:rsidRPr="0005504F" w:rsidRDefault="00146506" w:rsidP="00146506">
      <w:pPr>
        <w:pStyle w:val="enumlev2"/>
      </w:pPr>
      <w:r w:rsidRPr="00FB7433">
        <w:t>c</w:t>
      </w:r>
      <w:r>
        <w:t>.</w:t>
      </w:r>
      <w:r w:rsidRPr="0005504F">
        <w:tab/>
      </w:r>
      <w:proofErr w:type="gramStart"/>
      <w:r w:rsidRPr="0005504F">
        <w:t>provide</w:t>
      </w:r>
      <w:proofErr w:type="gramEnd"/>
      <w:r w:rsidRPr="0005504F">
        <w:t xml:space="preserve"> guidance on engagement with sponsors and interested parties;</w:t>
      </w:r>
    </w:p>
    <w:p w14:paraId="55B03C89" w14:textId="77777777" w:rsidR="00146506" w:rsidRPr="0005504F" w:rsidRDefault="00146506" w:rsidP="00146506">
      <w:pPr>
        <w:rPr>
          <w:rFonts w:cstheme="minorHAnsi"/>
          <w:szCs w:val="24"/>
        </w:rPr>
      </w:pPr>
      <w:r w:rsidRPr="0005504F">
        <w:rPr>
          <w:rFonts w:cstheme="minorHAnsi"/>
          <w:szCs w:val="24"/>
        </w:rPr>
        <w:t>5</w:t>
      </w:r>
      <w:r w:rsidRPr="0005504F">
        <w:rPr>
          <w:rFonts w:cstheme="minorHAnsi"/>
          <w:szCs w:val="24"/>
        </w:rPr>
        <w:tab/>
        <w:t xml:space="preserve">to provide regular status updates to the MSAG, CWG-FHR and Council regarding progress on the activities in </w:t>
      </w:r>
      <w:r>
        <w:rPr>
          <w:rFonts w:cstheme="minorHAnsi"/>
          <w:szCs w:val="24"/>
        </w:rPr>
        <w:t>the A</w:t>
      </w:r>
      <w:r w:rsidRPr="0005504F">
        <w:rPr>
          <w:rFonts w:cstheme="minorHAnsi"/>
          <w:szCs w:val="24"/>
        </w:rPr>
        <w:t xml:space="preserve">nnex, while being consistent with procurement </w:t>
      </w:r>
      <w:proofErr w:type="gramStart"/>
      <w:r w:rsidRPr="0005504F">
        <w:rPr>
          <w:rFonts w:cstheme="minorHAnsi"/>
          <w:szCs w:val="24"/>
        </w:rPr>
        <w:t>rules;</w:t>
      </w:r>
      <w:proofErr w:type="gramEnd"/>
    </w:p>
    <w:p w14:paraId="650F3ACB" w14:textId="77777777" w:rsidR="00146506" w:rsidRPr="0005504F" w:rsidRDefault="00146506" w:rsidP="00146506">
      <w:pPr>
        <w:rPr>
          <w:rFonts w:cstheme="minorHAnsi"/>
          <w:szCs w:val="24"/>
        </w:rPr>
      </w:pPr>
      <w:r w:rsidRPr="0005504F">
        <w:rPr>
          <w:rFonts w:cstheme="minorHAnsi"/>
          <w:szCs w:val="24"/>
        </w:rPr>
        <w:t>6</w:t>
      </w:r>
      <w:r w:rsidRPr="0005504F">
        <w:rPr>
          <w:rFonts w:cstheme="minorHAnsi"/>
          <w:szCs w:val="24"/>
        </w:rPr>
        <w:tab/>
        <w:t xml:space="preserve">to continue consultation with the MSAG throughout the duration of the design and build process, while being consistent with procurement </w:t>
      </w:r>
      <w:proofErr w:type="gramStart"/>
      <w:r w:rsidRPr="0005504F">
        <w:rPr>
          <w:rFonts w:cstheme="minorHAnsi"/>
          <w:szCs w:val="24"/>
        </w:rPr>
        <w:t>rules;</w:t>
      </w:r>
      <w:proofErr w:type="gramEnd"/>
    </w:p>
    <w:p w14:paraId="144F7496" w14:textId="77777777" w:rsidR="00146506" w:rsidRPr="0005504F" w:rsidRDefault="00146506" w:rsidP="00146506">
      <w:pPr>
        <w:rPr>
          <w:rFonts w:cstheme="minorHAnsi"/>
          <w:szCs w:val="24"/>
        </w:rPr>
      </w:pPr>
      <w:r w:rsidRPr="0005504F">
        <w:rPr>
          <w:rFonts w:cstheme="minorHAnsi"/>
          <w:szCs w:val="24"/>
        </w:rPr>
        <w:t>7</w:t>
      </w:r>
      <w:r w:rsidRPr="0005504F">
        <w:rPr>
          <w:rFonts w:cstheme="minorHAnsi"/>
          <w:szCs w:val="24"/>
        </w:rPr>
        <w:tab/>
        <w:t>to develop an assessment and strategic plan in consultation with relevant internal stakeholders including Staff Council, and provide an initial draft to the January 2025 CWG</w:t>
      </w:r>
      <w:r>
        <w:rPr>
          <w:rFonts w:cstheme="minorHAnsi"/>
          <w:szCs w:val="24"/>
        </w:rPr>
        <w:noBreakHyphen/>
      </w:r>
      <w:r w:rsidRPr="0005504F">
        <w:rPr>
          <w:rFonts w:cstheme="minorHAnsi"/>
          <w:szCs w:val="24"/>
        </w:rPr>
        <w:t>FHR, on the long-term vision of the entire ITU Geneva campus, considering, at a minimum, the following factors:</w:t>
      </w:r>
    </w:p>
    <w:p w14:paraId="4738551D" w14:textId="77777777" w:rsidR="00146506" w:rsidRPr="0005504F" w:rsidRDefault="00146506" w:rsidP="00146506">
      <w:pPr>
        <w:pStyle w:val="enumlev2"/>
      </w:pPr>
      <w:r w:rsidRPr="00FB7433">
        <w:t>a</w:t>
      </w:r>
      <w:r>
        <w:t>.</w:t>
      </w:r>
      <w:r w:rsidRPr="0005504F">
        <w:tab/>
        <w:t xml:space="preserve">overall financial impact and sustainability of the ITU Geneva </w:t>
      </w:r>
      <w:proofErr w:type="gramStart"/>
      <w:r w:rsidRPr="0005504F">
        <w:t>campus;</w:t>
      </w:r>
      <w:proofErr w:type="gramEnd"/>
    </w:p>
    <w:p w14:paraId="57262355" w14:textId="77777777" w:rsidR="00146506" w:rsidRPr="0005504F" w:rsidRDefault="00146506" w:rsidP="00146506">
      <w:pPr>
        <w:pStyle w:val="enumlev2"/>
      </w:pPr>
      <w:r w:rsidRPr="00FB7433">
        <w:t>b</w:t>
      </w:r>
      <w:r>
        <w:t>.</w:t>
      </w:r>
      <w:r w:rsidRPr="00FB7433">
        <w:tab/>
      </w:r>
      <w:r w:rsidRPr="0005504F">
        <w:t xml:space="preserve">safety and security </w:t>
      </w:r>
      <w:proofErr w:type="gramStart"/>
      <w:r w:rsidRPr="0005504F">
        <w:t>requirements;</w:t>
      </w:r>
      <w:proofErr w:type="gramEnd"/>
    </w:p>
    <w:p w14:paraId="6D265FFF" w14:textId="77777777" w:rsidR="00146506" w:rsidRPr="0005504F" w:rsidRDefault="00146506" w:rsidP="00146506">
      <w:pPr>
        <w:pStyle w:val="enumlev2"/>
      </w:pPr>
      <w:r w:rsidRPr="00FB7433">
        <w:t>c</w:t>
      </w:r>
      <w:r>
        <w:t>.</w:t>
      </w:r>
      <w:r w:rsidRPr="0005504F">
        <w:tab/>
        <w:t xml:space="preserve">management and operational </w:t>
      </w:r>
      <w:proofErr w:type="gramStart"/>
      <w:r w:rsidRPr="0005504F">
        <w:t>requirements;</w:t>
      </w:r>
      <w:proofErr w:type="gramEnd"/>
    </w:p>
    <w:p w14:paraId="743DBDF5" w14:textId="77777777" w:rsidR="00146506" w:rsidRPr="0005504F" w:rsidRDefault="00146506" w:rsidP="00146506">
      <w:pPr>
        <w:pStyle w:val="enumlev2"/>
      </w:pPr>
      <w:r w:rsidRPr="00FB7433">
        <w:t>d</w:t>
      </w:r>
      <w:r>
        <w:t>.</w:t>
      </w:r>
      <w:r w:rsidRPr="0005504F">
        <w:tab/>
        <w:t xml:space="preserve">optimizing usage of all </w:t>
      </w:r>
      <w:proofErr w:type="gramStart"/>
      <w:r w:rsidRPr="0005504F">
        <w:t>facilities;</w:t>
      </w:r>
      <w:proofErr w:type="gramEnd"/>
    </w:p>
    <w:p w14:paraId="7FAD57D0" w14:textId="77777777" w:rsidR="00146506" w:rsidRPr="0005504F" w:rsidRDefault="00146506" w:rsidP="00146506">
      <w:pPr>
        <w:pStyle w:val="enumlev2"/>
      </w:pPr>
      <w:r w:rsidRPr="00FB7433">
        <w:t>e</w:t>
      </w:r>
      <w:r>
        <w:t>.</w:t>
      </w:r>
      <w:r w:rsidRPr="0005504F">
        <w:tab/>
        <w:t xml:space="preserve">ensuring business </w:t>
      </w:r>
      <w:proofErr w:type="gramStart"/>
      <w:r w:rsidRPr="0005504F">
        <w:t>continuity;</w:t>
      </w:r>
      <w:proofErr w:type="gramEnd"/>
    </w:p>
    <w:p w14:paraId="380EB17C" w14:textId="77777777" w:rsidR="00146506" w:rsidRPr="0005504F" w:rsidRDefault="00146506" w:rsidP="00146506">
      <w:pPr>
        <w:pStyle w:val="enumlev2"/>
      </w:pPr>
      <w:r w:rsidRPr="00FB7433">
        <w:t>f</w:t>
      </w:r>
      <w:r>
        <w:t>.</w:t>
      </w:r>
      <w:r w:rsidRPr="0005504F">
        <w:tab/>
      </w:r>
      <w:proofErr w:type="gramStart"/>
      <w:r w:rsidRPr="0005504F">
        <w:t>include</w:t>
      </w:r>
      <w:proofErr w:type="gramEnd"/>
      <w:r w:rsidRPr="0005504F">
        <w:t xml:space="preserve"> allocation of the regular budget for maintenance for the entire ITU Geneva campus;</w:t>
      </w:r>
    </w:p>
    <w:p w14:paraId="26BBC3AE" w14:textId="77777777" w:rsidR="00146506" w:rsidRPr="0005504F" w:rsidRDefault="00146506" w:rsidP="00146506">
      <w:pPr>
        <w:pStyle w:val="enumlev2"/>
      </w:pPr>
      <w:r w:rsidRPr="00FB7433">
        <w:t>g</w:t>
      </w:r>
      <w:r>
        <w:t>.</w:t>
      </w:r>
      <w:r w:rsidRPr="00FB7433">
        <w:tab/>
      </w:r>
      <w:r w:rsidRPr="0005504F">
        <w:t>staff working flexibility (i.e. hybrid working arrangements</w:t>
      </w:r>
      <w:proofErr w:type="gramStart"/>
      <w:r w:rsidRPr="0005504F">
        <w:t>);</w:t>
      </w:r>
      <w:proofErr w:type="gramEnd"/>
    </w:p>
    <w:p w14:paraId="0C4EB7B1" w14:textId="77777777" w:rsidR="00146506" w:rsidRPr="0005504F" w:rsidRDefault="00146506" w:rsidP="00146506">
      <w:pPr>
        <w:pStyle w:val="enumlev2"/>
      </w:pPr>
      <w:r w:rsidRPr="00FB7433">
        <w:t>h</w:t>
      </w:r>
      <w:r>
        <w:t>.</w:t>
      </w:r>
      <w:r w:rsidRPr="0005504F">
        <w:tab/>
        <w:t>options for alternative venues for ITU meetings outside of the ITU Geneva campus; and</w:t>
      </w:r>
    </w:p>
    <w:p w14:paraId="42E9ADBC" w14:textId="77777777" w:rsidR="00146506" w:rsidRPr="0005504F" w:rsidRDefault="00146506" w:rsidP="00146506">
      <w:pPr>
        <w:pStyle w:val="enumlev2"/>
      </w:pPr>
      <w:proofErr w:type="spellStart"/>
      <w:r w:rsidRPr="00FB7433">
        <w:t>i</w:t>
      </w:r>
      <w:proofErr w:type="spellEnd"/>
      <w:r>
        <w:t>.</w:t>
      </w:r>
      <w:r w:rsidRPr="0005504F">
        <w:tab/>
      </w:r>
      <w:proofErr w:type="gramStart"/>
      <w:r w:rsidRPr="0005504F">
        <w:t>liaise</w:t>
      </w:r>
      <w:proofErr w:type="gramEnd"/>
      <w:r w:rsidRPr="0005504F">
        <w:t xml:space="preserve"> with the Strategic Plan and Financial Plan Working group, as appropriate;</w:t>
      </w:r>
    </w:p>
    <w:p w14:paraId="19BAD420" w14:textId="77777777" w:rsidR="00146506" w:rsidRPr="0005504F" w:rsidRDefault="00146506" w:rsidP="00146506">
      <w:pPr>
        <w:rPr>
          <w:rFonts w:cstheme="minorHAnsi"/>
          <w:szCs w:val="24"/>
        </w:rPr>
      </w:pPr>
      <w:r w:rsidRPr="0005504F">
        <w:rPr>
          <w:rFonts w:cstheme="minorHAnsi"/>
          <w:szCs w:val="24"/>
        </w:rPr>
        <w:t>8</w:t>
      </w:r>
      <w:r w:rsidRPr="0005504F">
        <w:rPr>
          <w:rFonts w:cstheme="minorHAnsi"/>
          <w:szCs w:val="24"/>
        </w:rPr>
        <w:tab/>
        <w:t xml:space="preserve">to provide all reports on the implementation of </w:t>
      </w:r>
      <w:r w:rsidRPr="0005504F">
        <w:rPr>
          <w:rFonts w:cstheme="minorHAnsi"/>
          <w:i/>
          <w:iCs/>
          <w:szCs w:val="24"/>
        </w:rPr>
        <w:t>instructs the Secretary-General</w:t>
      </w:r>
      <w:r w:rsidRPr="0005504F">
        <w:rPr>
          <w:rFonts w:cstheme="minorHAnsi"/>
          <w:szCs w:val="24"/>
        </w:rPr>
        <w:t xml:space="preserve"> 7 to the ITU Council for its consideration,</w:t>
      </w:r>
    </w:p>
    <w:p w14:paraId="2F688666" w14:textId="77777777" w:rsidR="00146506" w:rsidRPr="0005504F" w:rsidRDefault="00146506" w:rsidP="00146506">
      <w:pPr>
        <w:pStyle w:val="Call"/>
      </w:pPr>
      <w:r w:rsidRPr="0005504F">
        <w:t xml:space="preserve">further instructs the </w:t>
      </w:r>
      <w:proofErr w:type="gramStart"/>
      <w:r w:rsidRPr="0005504F">
        <w:t>Secretary-General</w:t>
      </w:r>
      <w:proofErr w:type="gramEnd"/>
    </w:p>
    <w:p w14:paraId="57F8C86D" w14:textId="77777777" w:rsidR="00146506" w:rsidRPr="0005504F" w:rsidRDefault="00146506" w:rsidP="00146506">
      <w:pPr>
        <w:rPr>
          <w:rFonts w:cstheme="minorHAnsi"/>
          <w:szCs w:val="24"/>
        </w:rPr>
      </w:pPr>
      <w:r w:rsidRPr="0005504F">
        <w:rPr>
          <w:rFonts w:cstheme="minorHAnsi"/>
          <w:szCs w:val="24"/>
        </w:rPr>
        <w:t xml:space="preserve">to carry out a consultation with all Member States on this Decision in accordance with </w:t>
      </w:r>
      <w:r>
        <w:rPr>
          <w:rFonts w:cstheme="minorHAnsi"/>
          <w:szCs w:val="24"/>
        </w:rPr>
        <w:t>No. </w:t>
      </w:r>
      <w:r w:rsidRPr="0005504F">
        <w:rPr>
          <w:rFonts w:cstheme="minorHAnsi"/>
          <w:szCs w:val="24"/>
        </w:rPr>
        <w:t>79</w:t>
      </w:r>
      <w:r>
        <w:rPr>
          <w:rFonts w:cstheme="minorHAnsi"/>
          <w:szCs w:val="24"/>
        </w:rPr>
        <w:t xml:space="preserve"> of the Convention</w:t>
      </w:r>
      <w:r w:rsidRPr="0005504F">
        <w:rPr>
          <w:rFonts w:cstheme="minorHAnsi"/>
          <w:szCs w:val="24"/>
        </w:rPr>
        <w:t>,</w:t>
      </w:r>
    </w:p>
    <w:p w14:paraId="7E2DE179" w14:textId="77777777" w:rsidR="00146506" w:rsidRPr="0005504F" w:rsidRDefault="00146506" w:rsidP="00146506">
      <w:pPr>
        <w:pStyle w:val="Call"/>
      </w:pPr>
      <w:r w:rsidRPr="0005504F">
        <w:t>instructs the Member States Advisory Group</w:t>
      </w:r>
    </w:p>
    <w:p w14:paraId="412FE408" w14:textId="77777777" w:rsidR="00146506" w:rsidRPr="0005504F" w:rsidRDefault="00146506" w:rsidP="00146506">
      <w:pPr>
        <w:rPr>
          <w:rFonts w:cstheme="minorHAnsi"/>
          <w:szCs w:val="24"/>
        </w:rPr>
      </w:pPr>
      <w:r w:rsidRPr="0005504F">
        <w:rPr>
          <w:rFonts w:cstheme="minorHAnsi"/>
          <w:szCs w:val="24"/>
        </w:rPr>
        <w:t>to align its Terms of Reference with the present Decision and provide regular updates and reports to the CWG-FHR.</w:t>
      </w:r>
    </w:p>
    <w:p w14:paraId="654BD129" w14:textId="77777777" w:rsidR="00146506" w:rsidRPr="00444D66" w:rsidRDefault="00146506" w:rsidP="00146506">
      <w:pPr>
        <w:pStyle w:val="Normalaftertitle0"/>
        <w:spacing w:before="720"/>
      </w:pPr>
      <w:r w:rsidRPr="00444D66">
        <w:rPr>
          <w:b/>
          <w:bCs/>
        </w:rPr>
        <w:t>Annex</w:t>
      </w:r>
      <w:r w:rsidRPr="00444D66">
        <w:t>: 1</w:t>
      </w:r>
      <w:r w:rsidRPr="00444D66">
        <w:br w:type="page"/>
      </w:r>
    </w:p>
    <w:p w14:paraId="28A3EBF6" w14:textId="1F255FE1" w:rsidR="00146506" w:rsidRPr="0005504F" w:rsidRDefault="00146506" w:rsidP="00146506">
      <w:pPr>
        <w:pStyle w:val="AnnexNo"/>
        <w:spacing w:after="240"/>
      </w:pPr>
      <w:r w:rsidRPr="0005504F">
        <w:lastRenderedPageBreak/>
        <w:t>Annex</w:t>
      </w:r>
      <w:r w:rsidR="00AC332C">
        <w:t xml:space="preserve"> 1</w:t>
      </w:r>
    </w:p>
    <w:tbl>
      <w:tblPr>
        <w:tblStyle w:val="TableGrid"/>
        <w:tblW w:w="8364" w:type="dxa"/>
        <w:jc w:val="center"/>
        <w:tblLook w:val="04A0" w:firstRow="1" w:lastRow="0" w:firstColumn="1" w:lastColumn="0" w:noHBand="0" w:noVBand="1"/>
      </w:tblPr>
      <w:tblGrid>
        <w:gridCol w:w="2835"/>
        <w:gridCol w:w="5529"/>
      </w:tblGrid>
      <w:tr w:rsidR="00146506" w:rsidRPr="0005504F" w14:paraId="1BA9AD28" w14:textId="77777777" w:rsidTr="00F83A4F">
        <w:trPr>
          <w:trHeight w:val="381"/>
          <w:jc w:val="center"/>
        </w:trPr>
        <w:tc>
          <w:tcPr>
            <w:tcW w:w="8364" w:type="dxa"/>
            <w:gridSpan w:val="2"/>
            <w:tcBorders>
              <w:top w:val="single" w:sz="4" w:space="0" w:color="auto"/>
              <w:left w:val="single" w:sz="4" w:space="0" w:color="auto"/>
              <w:bottom w:val="single" w:sz="4" w:space="0" w:color="auto"/>
              <w:right w:val="single" w:sz="4" w:space="0" w:color="auto"/>
            </w:tcBorders>
            <w:hideMark/>
          </w:tcPr>
          <w:p w14:paraId="339FFC95" w14:textId="77777777" w:rsidR="00146506" w:rsidRPr="0005504F" w:rsidRDefault="00146506" w:rsidP="00F83A4F">
            <w:pPr>
              <w:pStyle w:val="Tablehead"/>
              <w:rPr>
                <w:lang w:eastAsia="en-GB"/>
              </w:rPr>
            </w:pPr>
            <w:r w:rsidRPr="0005504F">
              <w:rPr>
                <w:lang w:eastAsia="en-GB"/>
              </w:rPr>
              <w:t>Alternative reassessed project scope</w:t>
            </w:r>
          </w:p>
        </w:tc>
      </w:tr>
      <w:tr w:rsidR="00146506" w:rsidRPr="0005504F" w14:paraId="0D480E12" w14:textId="77777777" w:rsidTr="00F83A4F">
        <w:trPr>
          <w:trHeight w:val="815"/>
          <w:jc w:val="center"/>
        </w:trPr>
        <w:tc>
          <w:tcPr>
            <w:tcW w:w="2835" w:type="dxa"/>
            <w:tcBorders>
              <w:top w:val="single" w:sz="4" w:space="0" w:color="auto"/>
              <w:left w:val="single" w:sz="4" w:space="0" w:color="auto"/>
              <w:bottom w:val="single" w:sz="4" w:space="0" w:color="auto"/>
              <w:right w:val="single" w:sz="4" w:space="0" w:color="auto"/>
            </w:tcBorders>
            <w:hideMark/>
          </w:tcPr>
          <w:p w14:paraId="5764A6E1" w14:textId="77777777" w:rsidR="00146506" w:rsidRPr="0097284C" w:rsidRDefault="00146506" w:rsidP="00F83A4F">
            <w:pPr>
              <w:pStyle w:val="Tabletext"/>
              <w:rPr>
                <w:b/>
                <w:bCs/>
                <w:lang w:eastAsia="en-GB"/>
              </w:rPr>
            </w:pPr>
            <w:r w:rsidRPr="0097284C">
              <w:rPr>
                <w:b/>
                <w:bCs/>
                <w:lang w:eastAsia="en-GB"/>
              </w:rPr>
              <w:t>Conference facilities</w:t>
            </w:r>
          </w:p>
        </w:tc>
        <w:tc>
          <w:tcPr>
            <w:tcW w:w="5529" w:type="dxa"/>
            <w:tcBorders>
              <w:top w:val="single" w:sz="4" w:space="0" w:color="auto"/>
              <w:left w:val="single" w:sz="4" w:space="0" w:color="auto"/>
              <w:bottom w:val="single" w:sz="4" w:space="0" w:color="auto"/>
              <w:right w:val="single" w:sz="4" w:space="0" w:color="auto"/>
            </w:tcBorders>
            <w:hideMark/>
          </w:tcPr>
          <w:p w14:paraId="4B62ED4A" w14:textId="77777777" w:rsidR="00146506" w:rsidRPr="0005504F" w:rsidRDefault="00146506" w:rsidP="00F83A4F">
            <w:pPr>
              <w:pStyle w:val="Tabletext"/>
              <w:rPr>
                <w:lang w:eastAsia="en-GB"/>
              </w:rPr>
            </w:pPr>
            <w:r w:rsidRPr="0097284C">
              <w:rPr>
                <w:b/>
                <w:bCs/>
                <w:lang w:eastAsia="en-GB"/>
              </w:rPr>
              <w:t>Large conference room (sponsored by Saudi Arabia)</w:t>
            </w:r>
            <w:r w:rsidRPr="0097284C">
              <w:rPr>
                <w:b/>
                <w:bCs/>
                <w:lang w:eastAsia="en-GB"/>
              </w:rPr>
              <w:br/>
            </w:r>
            <w:r w:rsidRPr="0005504F">
              <w:rPr>
                <w:lang w:eastAsia="en-GB"/>
              </w:rPr>
              <w:t xml:space="preserve">Approx. 500 </w:t>
            </w:r>
            <w:proofErr w:type="gramStart"/>
            <w:r w:rsidRPr="0005504F">
              <w:rPr>
                <w:lang w:eastAsia="en-GB"/>
              </w:rPr>
              <w:t>seats</w:t>
            </w:r>
            <w:proofErr w:type="gramEnd"/>
          </w:p>
          <w:p w14:paraId="2D360AC6" w14:textId="77777777" w:rsidR="00146506" w:rsidRPr="0005504F" w:rsidRDefault="00146506" w:rsidP="00F83A4F">
            <w:pPr>
              <w:pStyle w:val="Tabletext"/>
              <w:rPr>
                <w:lang w:eastAsia="en-GB"/>
              </w:rPr>
            </w:pPr>
            <w:r w:rsidRPr="0097284C">
              <w:rPr>
                <w:b/>
                <w:bCs/>
                <w:lang w:eastAsia="en-GB"/>
              </w:rPr>
              <w:t>Conference lobby</w:t>
            </w:r>
            <w:r w:rsidRPr="0097284C">
              <w:rPr>
                <w:b/>
                <w:bCs/>
                <w:lang w:eastAsia="en-GB"/>
              </w:rPr>
              <w:br/>
            </w:r>
            <w:r w:rsidRPr="0005504F">
              <w:rPr>
                <w:lang w:eastAsia="en-GB"/>
              </w:rPr>
              <w:t>Proportionally sized</w:t>
            </w:r>
          </w:p>
        </w:tc>
      </w:tr>
      <w:tr w:rsidR="00146506" w:rsidRPr="0005504F" w14:paraId="71DC79F6" w14:textId="77777777" w:rsidTr="00F83A4F">
        <w:trPr>
          <w:trHeight w:val="745"/>
          <w:jc w:val="center"/>
        </w:trPr>
        <w:tc>
          <w:tcPr>
            <w:tcW w:w="2835" w:type="dxa"/>
            <w:tcBorders>
              <w:top w:val="single" w:sz="4" w:space="0" w:color="auto"/>
              <w:left w:val="single" w:sz="4" w:space="0" w:color="auto"/>
              <w:bottom w:val="single" w:sz="4" w:space="0" w:color="auto"/>
              <w:right w:val="single" w:sz="4" w:space="0" w:color="auto"/>
            </w:tcBorders>
            <w:hideMark/>
          </w:tcPr>
          <w:p w14:paraId="20508E99" w14:textId="77777777" w:rsidR="00146506" w:rsidRPr="0097284C" w:rsidRDefault="00146506" w:rsidP="00F83A4F">
            <w:pPr>
              <w:pStyle w:val="Tabletext"/>
              <w:rPr>
                <w:b/>
                <w:bCs/>
                <w:lang w:eastAsia="en-GB"/>
              </w:rPr>
            </w:pPr>
            <w:r w:rsidRPr="0097284C">
              <w:rPr>
                <w:b/>
                <w:bCs/>
                <w:lang w:eastAsia="en-GB"/>
              </w:rPr>
              <w:t>Catering</w:t>
            </w:r>
          </w:p>
        </w:tc>
        <w:tc>
          <w:tcPr>
            <w:tcW w:w="5529" w:type="dxa"/>
            <w:tcBorders>
              <w:top w:val="single" w:sz="4" w:space="0" w:color="auto"/>
              <w:left w:val="single" w:sz="4" w:space="0" w:color="auto"/>
              <w:bottom w:val="single" w:sz="4" w:space="0" w:color="auto"/>
              <w:right w:val="single" w:sz="4" w:space="0" w:color="auto"/>
            </w:tcBorders>
            <w:hideMark/>
          </w:tcPr>
          <w:p w14:paraId="4D7B570D" w14:textId="77777777" w:rsidR="00146506" w:rsidRPr="0005504F" w:rsidRDefault="00146506" w:rsidP="00F83A4F">
            <w:pPr>
              <w:pStyle w:val="Tabletext"/>
              <w:rPr>
                <w:lang w:eastAsia="en-GB"/>
              </w:rPr>
            </w:pPr>
            <w:r w:rsidRPr="0097284C">
              <w:rPr>
                <w:b/>
                <w:bCs/>
                <w:lang w:eastAsia="en-GB"/>
              </w:rPr>
              <w:t xml:space="preserve">Cafeteria </w:t>
            </w:r>
            <w:r w:rsidRPr="0097284C">
              <w:rPr>
                <w:b/>
                <w:bCs/>
                <w:lang w:eastAsia="en-GB"/>
              </w:rPr>
              <w:br/>
            </w:r>
            <w:r w:rsidRPr="0005504F">
              <w:rPr>
                <w:lang w:eastAsia="en-GB"/>
              </w:rPr>
              <w:t>A dining room of approx. 150 seats</w:t>
            </w:r>
          </w:p>
          <w:p w14:paraId="0FC774E7" w14:textId="77777777" w:rsidR="00146506" w:rsidRPr="0005504F" w:rsidRDefault="00146506" w:rsidP="00F83A4F">
            <w:pPr>
              <w:pStyle w:val="Tabletext"/>
              <w:rPr>
                <w:lang w:eastAsia="en-GB"/>
              </w:rPr>
            </w:pPr>
            <w:r w:rsidRPr="0097284C">
              <w:rPr>
                <w:b/>
                <w:bCs/>
                <w:lang w:eastAsia="en-GB"/>
              </w:rPr>
              <w:t>Delegate lounge</w:t>
            </w:r>
            <w:r w:rsidRPr="0097284C">
              <w:rPr>
                <w:b/>
                <w:bCs/>
                <w:lang w:eastAsia="en-GB"/>
              </w:rPr>
              <w:br/>
            </w:r>
            <w:r w:rsidRPr="0005504F">
              <w:rPr>
                <w:lang w:eastAsia="en-GB"/>
              </w:rPr>
              <w:t>Approx. 120 seats</w:t>
            </w:r>
          </w:p>
        </w:tc>
      </w:tr>
      <w:tr w:rsidR="00146506" w:rsidRPr="0005504F" w14:paraId="12A36AD1" w14:textId="77777777" w:rsidTr="00F83A4F">
        <w:trPr>
          <w:trHeight w:val="186"/>
          <w:jc w:val="center"/>
        </w:trPr>
        <w:tc>
          <w:tcPr>
            <w:tcW w:w="2835" w:type="dxa"/>
            <w:tcBorders>
              <w:top w:val="single" w:sz="4" w:space="0" w:color="auto"/>
              <w:left w:val="single" w:sz="4" w:space="0" w:color="auto"/>
              <w:bottom w:val="single" w:sz="4" w:space="0" w:color="auto"/>
              <w:right w:val="single" w:sz="4" w:space="0" w:color="auto"/>
            </w:tcBorders>
            <w:hideMark/>
          </w:tcPr>
          <w:p w14:paraId="323FCD7A" w14:textId="77777777" w:rsidR="00146506" w:rsidRPr="0097284C" w:rsidRDefault="00146506" w:rsidP="00F83A4F">
            <w:pPr>
              <w:pStyle w:val="Tabletext"/>
              <w:rPr>
                <w:b/>
                <w:bCs/>
                <w:lang w:eastAsia="en-GB"/>
              </w:rPr>
            </w:pPr>
            <w:r w:rsidRPr="0097284C">
              <w:rPr>
                <w:b/>
                <w:bCs/>
                <w:lang w:eastAsia="en-GB"/>
              </w:rPr>
              <w:t>Meeting rooms</w:t>
            </w:r>
          </w:p>
        </w:tc>
        <w:tc>
          <w:tcPr>
            <w:tcW w:w="5529" w:type="dxa"/>
            <w:tcBorders>
              <w:top w:val="single" w:sz="4" w:space="0" w:color="auto"/>
              <w:left w:val="single" w:sz="4" w:space="0" w:color="auto"/>
              <w:bottom w:val="single" w:sz="4" w:space="0" w:color="auto"/>
              <w:right w:val="single" w:sz="4" w:space="0" w:color="auto"/>
            </w:tcBorders>
            <w:hideMark/>
          </w:tcPr>
          <w:p w14:paraId="54BA8594" w14:textId="77777777" w:rsidR="00146506" w:rsidRPr="0005504F" w:rsidRDefault="00146506" w:rsidP="00F83A4F">
            <w:pPr>
              <w:pStyle w:val="Tabletext"/>
              <w:rPr>
                <w:lang w:eastAsia="en-GB"/>
              </w:rPr>
            </w:pPr>
            <w:r w:rsidRPr="0005504F">
              <w:rPr>
                <w:lang w:eastAsia="en-GB"/>
              </w:rPr>
              <w:t>Approx. 23 rooms</w:t>
            </w:r>
          </w:p>
        </w:tc>
      </w:tr>
      <w:tr w:rsidR="00146506" w:rsidRPr="0005504F" w14:paraId="3DC82FE6" w14:textId="77777777" w:rsidTr="00F83A4F">
        <w:trPr>
          <w:trHeight w:val="47"/>
          <w:jc w:val="center"/>
        </w:trPr>
        <w:tc>
          <w:tcPr>
            <w:tcW w:w="2835" w:type="dxa"/>
            <w:tcBorders>
              <w:top w:val="single" w:sz="4" w:space="0" w:color="auto"/>
              <w:left w:val="single" w:sz="4" w:space="0" w:color="auto"/>
              <w:bottom w:val="single" w:sz="4" w:space="0" w:color="auto"/>
              <w:right w:val="single" w:sz="4" w:space="0" w:color="auto"/>
            </w:tcBorders>
            <w:hideMark/>
          </w:tcPr>
          <w:p w14:paraId="2245848E" w14:textId="77777777" w:rsidR="00146506" w:rsidRPr="0097284C" w:rsidRDefault="00146506" w:rsidP="00F83A4F">
            <w:pPr>
              <w:pStyle w:val="Tabletext"/>
              <w:rPr>
                <w:b/>
                <w:bCs/>
                <w:lang w:eastAsia="en-GB"/>
              </w:rPr>
            </w:pPr>
            <w:r w:rsidRPr="0097284C">
              <w:rPr>
                <w:b/>
                <w:bCs/>
                <w:lang w:eastAsia="en-GB"/>
              </w:rPr>
              <w:t>Workplace</w:t>
            </w:r>
          </w:p>
        </w:tc>
        <w:tc>
          <w:tcPr>
            <w:tcW w:w="5529" w:type="dxa"/>
            <w:tcBorders>
              <w:top w:val="single" w:sz="4" w:space="0" w:color="auto"/>
              <w:left w:val="single" w:sz="4" w:space="0" w:color="auto"/>
              <w:bottom w:val="single" w:sz="4" w:space="0" w:color="auto"/>
              <w:right w:val="single" w:sz="4" w:space="0" w:color="auto"/>
            </w:tcBorders>
            <w:hideMark/>
          </w:tcPr>
          <w:p w14:paraId="5FFB1101" w14:textId="77777777" w:rsidR="00146506" w:rsidRPr="0005504F" w:rsidRDefault="00146506" w:rsidP="00F83A4F">
            <w:pPr>
              <w:pStyle w:val="Tabletext"/>
              <w:rPr>
                <w:lang w:eastAsia="en-GB"/>
              </w:rPr>
            </w:pPr>
            <w:r w:rsidRPr="0005504F">
              <w:rPr>
                <w:lang w:eastAsia="en-GB"/>
              </w:rPr>
              <w:t>Approx. 200 seats</w:t>
            </w:r>
          </w:p>
        </w:tc>
      </w:tr>
      <w:tr w:rsidR="00146506" w:rsidRPr="0005504F" w14:paraId="16FE04EB" w14:textId="77777777" w:rsidTr="00F83A4F">
        <w:trPr>
          <w:trHeight w:val="47"/>
          <w:jc w:val="center"/>
        </w:trPr>
        <w:tc>
          <w:tcPr>
            <w:tcW w:w="2835" w:type="dxa"/>
            <w:tcBorders>
              <w:top w:val="single" w:sz="4" w:space="0" w:color="auto"/>
              <w:left w:val="single" w:sz="4" w:space="0" w:color="auto"/>
              <w:bottom w:val="single" w:sz="4" w:space="0" w:color="auto"/>
              <w:right w:val="single" w:sz="4" w:space="0" w:color="auto"/>
            </w:tcBorders>
            <w:hideMark/>
          </w:tcPr>
          <w:p w14:paraId="43E270E8" w14:textId="77777777" w:rsidR="00146506" w:rsidRPr="0097284C" w:rsidRDefault="00146506" w:rsidP="00F83A4F">
            <w:pPr>
              <w:pStyle w:val="Tabletext"/>
              <w:rPr>
                <w:b/>
                <w:bCs/>
                <w:lang w:eastAsia="en-GB"/>
              </w:rPr>
            </w:pPr>
            <w:r w:rsidRPr="0097284C">
              <w:rPr>
                <w:b/>
                <w:bCs/>
                <w:lang w:eastAsia="en-GB"/>
              </w:rPr>
              <w:t>Essential amenities</w:t>
            </w:r>
          </w:p>
        </w:tc>
        <w:tc>
          <w:tcPr>
            <w:tcW w:w="5529" w:type="dxa"/>
            <w:tcBorders>
              <w:top w:val="single" w:sz="4" w:space="0" w:color="auto"/>
              <w:left w:val="single" w:sz="4" w:space="0" w:color="auto"/>
              <w:bottom w:val="single" w:sz="4" w:space="0" w:color="auto"/>
              <w:right w:val="single" w:sz="4" w:space="0" w:color="auto"/>
            </w:tcBorders>
            <w:hideMark/>
          </w:tcPr>
          <w:p w14:paraId="611252C4" w14:textId="77777777" w:rsidR="00146506" w:rsidRPr="0005504F" w:rsidRDefault="00146506" w:rsidP="00F83A4F">
            <w:pPr>
              <w:pStyle w:val="Tabletext"/>
              <w:rPr>
                <w:lang w:eastAsia="en-GB"/>
              </w:rPr>
            </w:pPr>
            <w:r w:rsidRPr="0005504F">
              <w:rPr>
                <w:lang w:eastAsia="en-GB"/>
              </w:rPr>
              <w:t>Adequate to support these facilities</w:t>
            </w:r>
          </w:p>
        </w:tc>
      </w:tr>
      <w:tr w:rsidR="00146506" w:rsidRPr="0005504F" w14:paraId="1408B7E3" w14:textId="77777777" w:rsidTr="00F83A4F">
        <w:trPr>
          <w:trHeight w:val="47"/>
          <w:jc w:val="center"/>
        </w:trPr>
        <w:tc>
          <w:tcPr>
            <w:tcW w:w="2835" w:type="dxa"/>
            <w:tcBorders>
              <w:top w:val="single" w:sz="4" w:space="0" w:color="auto"/>
              <w:left w:val="single" w:sz="4" w:space="0" w:color="auto"/>
              <w:bottom w:val="single" w:sz="4" w:space="0" w:color="auto"/>
              <w:right w:val="single" w:sz="4" w:space="0" w:color="auto"/>
            </w:tcBorders>
            <w:hideMark/>
          </w:tcPr>
          <w:p w14:paraId="2A0F6B70" w14:textId="77777777" w:rsidR="00146506" w:rsidRPr="0097284C" w:rsidRDefault="00146506" w:rsidP="00F83A4F">
            <w:pPr>
              <w:pStyle w:val="Tabletext"/>
              <w:rPr>
                <w:b/>
                <w:bCs/>
                <w:lang w:eastAsia="en-GB"/>
              </w:rPr>
            </w:pPr>
            <w:r w:rsidRPr="0097284C">
              <w:rPr>
                <w:b/>
                <w:bCs/>
                <w:lang w:eastAsia="en-GB"/>
              </w:rPr>
              <w:t>Building projected size</w:t>
            </w:r>
          </w:p>
        </w:tc>
        <w:tc>
          <w:tcPr>
            <w:tcW w:w="5529" w:type="dxa"/>
            <w:tcBorders>
              <w:top w:val="single" w:sz="4" w:space="0" w:color="auto"/>
              <w:left w:val="single" w:sz="4" w:space="0" w:color="auto"/>
              <w:bottom w:val="single" w:sz="4" w:space="0" w:color="auto"/>
              <w:right w:val="single" w:sz="4" w:space="0" w:color="auto"/>
            </w:tcBorders>
            <w:hideMark/>
          </w:tcPr>
          <w:p w14:paraId="2C9966C7" w14:textId="77777777" w:rsidR="00146506" w:rsidRPr="0005504F" w:rsidRDefault="00146506" w:rsidP="00F83A4F">
            <w:pPr>
              <w:pStyle w:val="Tabletext"/>
              <w:rPr>
                <w:lang w:eastAsia="en-GB"/>
              </w:rPr>
            </w:pPr>
            <w:r w:rsidRPr="0005504F">
              <w:rPr>
                <w:lang w:eastAsia="en-GB"/>
              </w:rPr>
              <w:t>Approx. 15</w:t>
            </w:r>
            <w:r>
              <w:rPr>
                <w:lang w:eastAsia="en-GB"/>
              </w:rPr>
              <w:t> </w:t>
            </w:r>
            <w:r w:rsidRPr="0005504F">
              <w:rPr>
                <w:lang w:eastAsia="en-GB"/>
              </w:rPr>
              <w:t>000 sqm (</w:t>
            </w:r>
            <w:proofErr w:type="gramStart"/>
            <w:r w:rsidRPr="0005504F">
              <w:rPr>
                <w:lang w:eastAsia="en-GB"/>
              </w:rPr>
              <w:t>similar to</w:t>
            </w:r>
            <w:proofErr w:type="gramEnd"/>
            <w:r w:rsidRPr="0005504F">
              <w:rPr>
                <w:lang w:eastAsia="en-GB"/>
              </w:rPr>
              <w:t xml:space="preserve"> the one it will replace)</w:t>
            </w:r>
          </w:p>
        </w:tc>
      </w:tr>
    </w:tbl>
    <w:p w14:paraId="2D833FE8" w14:textId="77777777" w:rsidR="00146506" w:rsidRPr="0005504F" w:rsidRDefault="00146506" w:rsidP="00146506">
      <w:pPr>
        <w:spacing w:before="720"/>
        <w:rPr>
          <w:rFonts w:asciiTheme="minorHAnsi" w:hAnsiTheme="minorHAnsi" w:cstheme="minorHAnsi"/>
          <w:szCs w:val="24"/>
        </w:rPr>
      </w:pPr>
    </w:p>
    <w:tbl>
      <w:tblPr>
        <w:tblStyle w:val="TableGrid"/>
        <w:tblW w:w="8364" w:type="dxa"/>
        <w:jc w:val="center"/>
        <w:tblLook w:val="0420" w:firstRow="1" w:lastRow="0" w:firstColumn="0" w:lastColumn="0" w:noHBand="0" w:noVBand="1"/>
      </w:tblPr>
      <w:tblGrid>
        <w:gridCol w:w="4182"/>
        <w:gridCol w:w="4182"/>
      </w:tblGrid>
      <w:tr w:rsidR="00146506" w:rsidRPr="0005504F" w14:paraId="2AD8082F" w14:textId="77777777" w:rsidTr="00F83A4F">
        <w:trPr>
          <w:trHeight w:val="47"/>
          <w:jc w:val="center"/>
        </w:trPr>
        <w:tc>
          <w:tcPr>
            <w:tcW w:w="8364" w:type="dxa"/>
            <w:gridSpan w:val="2"/>
            <w:tcBorders>
              <w:top w:val="single" w:sz="4" w:space="0" w:color="auto"/>
              <w:left w:val="single" w:sz="4" w:space="0" w:color="auto"/>
              <w:bottom w:val="single" w:sz="4" w:space="0" w:color="auto"/>
              <w:right w:val="single" w:sz="4" w:space="0" w:color="auto"/>
            </w:tcBorders>
            <w:hideMark/>
          </w:tcPr>
          <w:p w14:paraId="1F3762DA" w14:textId="77777777" w:rsidR="00146506" w:rsidRPr="0005504F" w:rsidRDefault="00146506" w:rsidP="00F83A4F">
            <w:pPr>
              <w:pStyle w:val="Tablehead"/>
            </w:pPr>
            <w:r w:rsidRPr="0005504F">
              <w:t>Alternative reassessed project milestones to be adhered to by the Secretariat</w:t>
            </w:r>
          </w:p>
        </w:tc>
      </w:tr>
      <w:tr w:rsidR="00146506" w:rsidRPr="0005504F" w14:paraId="172450EF" w14:textId="77777777" w:rsidTr="00F83A4F">
        <w:trPr>
          <w:trHeight w:val="55"/>
          <w:jc w:val="center"/>
        </w:trPr>
        <w:tc>
          <w:tcPr>
            <w:tcW w:w="4182" w:type="dxa"/>
            <w:tcBorders>
              <w:top w:val="single" w:sz="4" w:space="0" w:color="auto"/>
              <w:left w:val="single" w:sz="4" w:space="0" w:color="auto"/>
              <w:bottom w:val="single" w:sz="4" w:space="0" w:color="auto"/>
              <w:right w:val="single" w:sz="4" w:space="0" w:color="auto"/>
            </w:tcBorders>
          </w:tcPr>
          <w:p w14:paraId="3CBEB563" w14:textId="77777777" w:rsidR="00146506" w:rsidRPr="0097284C" w:rsidRDefault="00146506" w:rsidP="00F83A4F">
            <w:pPr>
              <w:pStyle w:val="Tabletext"/>
              <w:rPr>
                <w:b/>
                <w:bCs/>
              </w:rPr>
            </w:pPr>
            <w:r w:rsidRPr="0097284C">
              <w:rPr>
                <w:b/>
                <w:bCs/>
              </w:rPr>
              <w:t>Decision consultation process</w:t>
            </w:r>
          </w:p>
        </w:tc>
        <w:tc>
          <w:tcPr>
            <w:tcW w:w="4182" w:type="dxa"/>
            <w:tcBorders>
              <w:top w:val="single" w:sz="4" w:space="0" w:color="auto"/>
              <w:left w:val="single" w:sz="4" w:space="0" w:color="auto"/>
              <w:bottom w:val="single" w:sz="4" w:space="0" w:color="auto"/>
              <w:right w:val="single" w:sz="4" w:space="0" w:color="auto"/>
            </w:tcBorders>
          </w:tcPr>
          <w:p w14:paraId="7B416749" w14:textId="77777777" w:rsidR="00146506" w:rsidRPr="0005504F" w:rsidRDefault="00146506" w:rsidP="00F83A4F">
            <w:pPr>
              <w:pStyle w:val="Tabletext"/>
              <w:jc w:val="center"/>
            </w:pPr>
            <w:r w:rsidRPr="0005504F">
              <w:t>Q3-2024</w:t>
            </w:r>
          </w:p>
        </w:tc>
      </w:tr>
      <w:tr w:rsidR="00146506" w:rsidRPr="0005504F" w14:paraId="0A5FDAE9" w14:textId="77777777" w:rsidTr="00F83A4F">
        <w:trPr>
          <w:trHeight w:val="55"/>
          <w:jc w:val="center"/>
        </w:trPr>
        <w:tc>
          <w:tcPr>
            <w:tcW w:w="4182" w:type="dxa"/>
            <w:tcBorders>
              <w:top w:val="single" w:sz="4" w:space="0" w:color="auto"/>
              <w:left w:val="single" w:sz="4" w:space="0" w:color="auto"/>
              <w:bottom w:val="single" w:sz="4" w:space="0" w:color="auto"/>
              <w:right w:val="single" w:sz="4" w:space="0" w:color="auto"/>
            </w:tcBorders>
            <w:hideMark/>
          </w:tcPr>
          <w:p w14:paraId="6741AC93" w14:textId="77777777" w:rsidR="00146506" w:rsidRPr="0097284C" w:rsidRDefault="00146506" w:rsidP="00F83A4F">
            <w:pPr>
              <w:pStyle w:val="Tabletext"/>
              <w:rPr>
                <w:b/>
                <w:bCs/>
              </w:rPr>
            </w:pPr>
            <w:r w:rsidRPr="0097284C">
              <w:rPr>
                <w:b/>
                <w:bCs/>
              </w:rPr>
              <w:t>Planning</w:t>
            </w:r>
          </w:p>
        </w:tc>
        <w:tc>
          <w:tcPr>
            <w:tcW w:w="4182" w:type="dxa"/>
            <w:tcBorders>
              <w:top w:val="single" w:sz="4" w:space="0" w:color="auto"/>
              <w:left w:val="single" w:sz="4" w:space="0" w:color="auto"/>
              <w:bottom w:val="single" w:sz="4" w:space="0" w:color="auto"/>
              <w:right w:val="single" w:sz="4" w:space="0" w:color="auto"/>
            </w:tcBorders>
            <w:hideMark/>
          </w:tcPr>
          <w:p w14:paraId="5D8675BE" w14:textId="77777777" w:rsidR="00146506" w:rsidRPr="0005504F" w:rsidRDefault="00146506" w:rsidP="00F83A4F">
            <w:pPr>
              <w:pStyle w:val="Tabletext"/>
              <w:jc w:val="center"/>
            </w:pPr>
            <w:r w:rsidRPr="0005504F">
              <w:t>2024-2025</w:t>
            </w:r>
          </w:p>
        </w:tc>
      </w:tr>
      <w:tr w:rsidR="00146506" w:rsidRPr="0005504F" w14:paraId="18BD79FB" w14:textId="77777777" w:rsidTr="00F83A4F">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1A5DCACE" w14:textId="77777777" w:rsidR="00146506" w:rsidRPr="0005504F" w:rsidRDefault="00146506" w:rsidP="00F83A4F">
            <w:pPr>
              <w:pStyle w:val="Tabletext"/>
            </w:pPr>
            <w:r>
              <w:tab/>
            </w:r>
            <w:r w:rsidRPr="0005504F">
              <w:t>Architect prequalification</w:t>
            </w:r>
          </w:p>
        </w:tc>
        <w:tc>
          <w:tcPr>
            <w:tcW w:w="4182" w:type="dxa"/>
            <w:tcBorders>
              <w:top w:val="single" w:sz="4" w:space="0" w:color="auto"/>
              <w:left w:val="single" w:sz="4" w:space="0" w:color="auto"/>
              <w:bottom w:val="single" w:sz="4" w:space="0" w:color="auto"/>
              <w:right w:val="single" w:sz="4" w:space="0" w:color="auto"/>
            </w:tcBorders>
          </w:tcPr>
          <w:p w14:paraId="1B39F01E" w14:textId="77777777" w:rsidR="00146506" w:rsidRPr="0005504F" w:rsidRDefault="00146506" w:rsidP="00F83A4F">
            <w:pPr>
              <w:pStyle w:val="Tabletext"/>
              <w:jc w:val="center"/>
            </w:pPr>
            <w:r w:rsidRPr="0005504F">
              <w:t>Q4-2024</w:t>
            </w:r>
          </w:p>
        </w:tc>
      </w:tr>
      <w:tr w:rsidR="00146506" w:rsidRPr="0005504F" w14:paraId="6AC1D758" w14:textId="77777777" w:rsidTr="00F83A4F">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37FD45CF" w14:textId="77777777" w:rsidR="00146506" w:rsidRPr="0005504F" w:rsidRDefault="00146506" w:rsidP="00F83A4F">
            <w:pPr>
              <w:pStyle w:val="Tabletext"/>
            </w:pPr>
            <w:r>
              <w:tab/>
            </w:r>
            <w:r w:rsidRPr="0005504F">
              <w:t>Architect selection</w:t>
            </w:r>
          </w:p>
        </w:tc>
        <w:tc>
          <w:tcPr>
            <w:tcW w:w="4182" w:type="dxa"/>
            <w:tcBorders>
              <w:top w:val="single" w:sz="4" w:space="0" w:color="auto"/>
              <w:left w:val="single" w:sz="4" w:space="0" w:color="auto"/>
              <w:bottom w:val="single" w:sz="4" w:space="0" w:color="auto"/>
              <w:right w:val="single" w:sz="4" w:space="0" w:color="auto"/>
            </w:tcBorders>
          </w:tcPr>
          <w:p w14:paraId="0A6BF5D0" w14:textId="77777777" w:rsidR="00146506" w:rsidRPr="0005504F" w:rsidRDefault="00146506" w:rsidP="00F83A4F">
            <w:pPr>
              <w:pStyle w:val="Tabletext"/>
              <w:jc w:val="center"/>
            </w:pPr>
            <w:r w:rsidRPr="0005504F">
              <w:t>Q1-2025</w:t>
            </w:r>
          </w:p>
        </w:tc>
      </w:tr>
      <w:tr w:rsidR="00146506" w:rsidRPr="0005504F" w14:paraId="04A81447" w14:textId="77777777" w:rsidTr="00F83A4F">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296F404F" w14:textId="77777777" w:rsidR="00146506" w:rsidRPr="0005504F" w:rsidRDefault="00146506" w:rsidP="00F83A4F">
            <w:pPr>
              <w:pStyle w:val="Tabletext"/>
            </w:pPr>
            <w:r>
              <w:tab/>
            </w:r>
            <w:r w:rsidRPr="0005504F">
              <w:t>Feasibility studies</w:t>
            </w:r>
          </w:p>
        </w:tc>
        <w:tc>
          <w:tcPr>
            <w:tcW w:w="4182" w:type="dxa"/>
            <w:tcBorders>
              <w:top w:val="single" w:sz="4" w:space="0" w:color="auto"/>
              <w:left w:val="single" w:sz="4" w:space="0" w:color="auto"/>
              <w:bottom w:val="single" w:sz="4" w:space="0" w:color="auto"/>
              <w:right w:val="single" w:sz="4" w:space="0" w:color="auto"/>
            </w:tcBorders>
          </w:tcPr>
          <w:p w14:paraId="2C02DB69" w14:textId="77777777" w:rsidR="00146506" w:rsidRPr="0005504F" w:rsidRDefault="00146506" w:rsidP="00F83A4F">
            <w:pPr>
              <w:pStyle w:val="Tabletext"/>
              <w:jc w:val="center"/>
            </w:pPr>
            <w:r w:rsidRPr="0005504F">
              <w:t>Q2-2025</w:t>
            </w:r>
          </w:p>
        </w:tc>
      </w:tr>
      <w:tr w:rsidR="00146506" w:rsidRPr="0005504F" w14:paraId="3694F74E" w14:textId="77777777" w:rsidTr="00F83A4F">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3F1EA60F" w14:textId="77777777" w:rsidR="00146506" w:rsidRPr="0005504F" w:rsidRDefault="00146506" w:rsidP="00F83A4F">
            <w:pPr>
              <w:pStyle w:val="Tabletext"/>
            </w:pPr>
            <w:r>
              <w:tab/>
            </w:r>
            <w:r w:rsidRPr="0005504F">
              <w:t>Concept design</w:t>
            </w:r>
          </w:p>
        </w:tc>
        <w:tc>
          <w:tcPr>
            <w:tcW w:w="4182" w:type="dxa"/>
            <w:tcBorders>
              <w:top w:val="single" w:sz="4" w:space="0" w:color="auto"/>
              <w:left w:val="single" w:sz="4" w:space="0" w:color="auto"/>
              <w:bottom w:val="single" w:sz="4" w:space="0" w:color="auto"/>
              <w:right w:val="single" w:sz="4" w:space="0" w:color="auto"/>
            </w:tcBorders>
          </w:tcPr>
          <w:p w14:paraId="15D5651E" w14:textId="77777777" w:rsidR="00146506" w:rsidRPr="0005504F" w:rsidRDefault="00146506" w:rsidP="00F83A4F">
            <w:pPr>
              <w:pStyle w:val="Tabletext"/>
              <w:jc w:val="center"/>
            </w:pPr>
            <w:r w:rsidRPr="0005504F">
              <w:t>Q4-2025</w:t>
            </w:r>
          </w:p>
        </w:tc>
      </w:tr>
      <w:tr w:rsidR="00146506" w:rsidRPr="0005504F" w14:paraId="0E24026A" w14:textId="77777777" w:rsidTr="00F83A4F">
        <w:trPr>
          <w:trHeight w:val="47"/>
          <w:jc w:val="center"/>
        </w:trPr>
        <w:tc>
          <w:tcPr>
            <w:tcW w:w="4182" w:type="dxa"/>
            <w:tcBorders>
              <w:top w:val="single" w:sz="4" w:space="0" w:color="auto"/>
              <w:left w:val="single" w:sz="4" w:space="0" w:color="auto"/>
              <w:bottom w:val="single" w:sz="4" w:space="0" w:color="auto"/>
              <w:right w:val="single" w:sz="4" w:space="0" w:color="auto"/>
            </w:tcBorders>
          </w:tcPr>
          <w:p w14:paraId="0BE04926" w14:textId="77777777" w:rsidR="00146506" w:rsidRPr="0097284C" w:rsidRDefault="00146506" w:rsidP="00F83A4F">
            <w:pPr>
              <w:pStyle w:val="Tabletext"/>
              <w:rPr>
                <w:b/>
                <w:bCs/>
              </w:rPr>
            </w:pPr>
            <w:r w:rsidRPr="0097284C">
              <w:rPr>
                <w:b/>
                <w:bCs/>
              </w:rPr>
              <w:t>Detail Design / Tender / Contract</w:t>
            </w:r>
          </w:p>
        </w:tc>
        <w:tc>
          <w:tcPr>
            <w:tcW w:w="4182" w:type="dxa"/>
            <w:tcBorders>
              <w:top w:val="single" w:sz="4" w:space="0" w:color="auto"/>
              <w:left w:val="single" w:sz="4" w:space="0" w:color="auto"/>
              <w:bottom w:val="single" w:sz="4" w:space="0" w:color="auto"/>
              <w:right w:val="single" w:sz="4" w:space="0" w:color="auto"/>
            </w:tcBorders>
          </w:tcPr>
          <w:p w14:paraId="3662FA2B" w14:textId="77777777" w:rsidR="00146506" w:rsidRPr="0005504F" w:rsidRDefault="00146506" w:rsidP="00F83A4F">
            <w:pPr>
              <w:pStyle w:val="Tabletext"/>
              <w:jc w:val="center"/>
            </w:pPr>
            <w:r w:rsidRPr="0005504F">
              <w:t>2026-2027</w:t>
            </w:r>
          </w:p>
        </w:tc>
      </w:tr>
      <w:tr w:rsidR="00146506" w:rsidRPr="0005504F" w14:paraId="7D8AE5B4" w14:textId="77777777" w:rsidTr="00F83A4F">
        <w:trPr>
          <w:trHeight w:val="47"/>
          <w:jc w:val="center"/>
        </w:trPr>
        <w:tc>
          <w:tcPr>
            <w:tcW w:w="4182" w:type="dxa"/>
            <w:tcBorders>
              <w:top w:val="single" w:sz="4" w:space="0" w:color="auto"/>
              <w:left w:val="single" w:sz="4" w:space="0" w:color="auto"/>
              <w:bottom w:val="single" w:sz="4" w:space="0" w:color="auto"/>
              <w:right w:val="single" w:sz="4" w:space="0" w:color="auto"/>
            </w:tcBorders>
            <w:hideMark/>
          </w:tcPr>
          <w:p w14:paraId="167D583B" w14:textId="77777777" w:rsidR="00146506" w:rsidRPr="0097284C" w:rsidRDefault="00146506" w:rsidP="00F83A4F">
            <w:pPr>
              <w:pStyle w:val="Tabletext"/>
              <w:rPr>
                <w:b/>
                <w:bCs/>
              </w:rPr>
            </w:pPr>
            <w:r w:rsidRPr="0097284C">
              <w:rPr>
                <w:b/>
                <w:bCs/>
              </w:rPr>
              <w:t>Execution</w:t>
            </w:r>
          </w:p>
        </w:tc>
        <w:tc>
          <w:tcPr>
            <w:tcW w:w="4182" w:type="dxa"/>
            <w:tcBorders>
              <w:top w:val="single" w:sz="4" w:space="0" w:color="auto"/>
              <w:left w:val="single" w:sz="4" w:space="0" w:color="auto"/>
              <w:bottom w:val="single" w:sz="4" w:space="0" w:color="auto"/>
              <w:right w:val="single" w:sz="4" w:space="0" w:color="auto"/>
            </w:tcBorders>
            <w:hideMark/>
          </w:tcPr>
          <w:p w14:paraId="61AE79FE" w14:textId="77777777" w:rsidR="00146506" w:rsidRPr="0005504F" w:rsidRDefault="00146506" w:rsidP="00F83A4F">
            <w:pPr>
              <w:pStyle w:val="Tabletext"/>
              <w:jc w:val="center"/>
            </w:pPr>
            <w:r w:rsidRPr="0005504F">
              <w:t>2028-2031</w:t>
            </w:r>
          </w:p>
        </w:tc>
      </w:tr>
      <w:tr w:rsidR="00146506" w:rsidRPr="0005504F" w14:paraId="2B5A90C1" w14:textId="77777777" w:rsidTr="00F83A4F">
        <w:trPr>
          <w:trHeight w:val="47"/>
          <w:jc w:val="center"/>
        </w:trPr>
        <w:tc>
          <w:tcPr>
            <w:tcW w:w="4182" w:type="dxa"/>
            <w:tcBorders>
              <w:top w:val="single" w:sz="4" w:space="0" w:color="auto"/>
              <w:left w:val="single" w:sz="4" w:space="0" w:color="auto"/>
              <w:bottom w:val="single" w:sz="4" w:space="0" w:color="auto"/>
              <w:right w:val="single" w:sz="4" w:space="0" w:color="auto"/>
            </w:tcBorders>
            <w:hideMark/>
          </w:tcPr>
          <w:p w14:paraId="549B21D3" w14:textId="77777777" w:rsidR="00146506" w:rsidRPr="0097284C" w:rsidRDefault="00146506" w:rsidP="00F83A4F">
            <w:pPr>
              <w:pStyle w:val="Tabletext"/>
              <w:rPr>
                <w:b/>
                <w:bCs/>
              </w:rPr>
            </w:pPr>
            <w:r w:rsidRPr="0097284C">
              <w:rPr>
                <w:b/>
                <w:bCs/>
              </w:rPr>
              <w:t>Handover</w:t>
            </w:r>
          </w:p>
        </w:tc>
        <w:tc>
          <w:tcPr>
            <w:tcW w:w="4182" w:type="dxa"/>
            <w:tcBorders>
              <w:top w:val="single" w:sz="4" w:space="0" w:color="auto"/>
              <w:left w:val="single" w:sz="4" w:space="0" w:color="auto"/>
              <w:bottom w:val="single" w:sz="4" w:space="0" w:color="auto"/>
              <w:right w:val="single" w:sz="4" w:space="0" w:color="auto"/>
            </w:tcBorders>
            <w:hideMark/>
          </w:tcPr>
          <w:p w14:paraId="5E6D8A2C" w14:textId="77777777" w:rsidR="00146506" w:rsidRPr="0005504F" w:rsidRDefault="00146506" w:rsidP="00F83A4F">
            <w:pPr>
              <w:pStyle w:val="Tabletext"/>
              <w:jc w:val="center"/>
            </w:pPr>
            <w:r w:rsidRPr="0005504F">
              <w:t>2031</w:t>
            </w:r>
          </w:p>
        </w:tc>
      </w:tr>
    </w:tbl>
    <w:p w14:paraId="4C6FFCA0" w14:textId="77777777" w:rsidR="00146506" w:rsidRPr="00BB46E5" w:rsidRDefault="00146506" w:rsidP="00146506"/>
    <w:p w14:paraId="7F3B6F05" w14:textId="77777777" w:rsidR="00146506" w:rsidRPr="00BB46E5" w:rsidRDefault="00146506" w:rsidP="00146506">
      <w:pPr>
        <w:spacing w:before="600"/>
        <w:jc w:val="center"/>
      </w:pPr>
      <w:r w:rsidRPr="00BB46E5">
        <w:t>______________</w:t>
      </w:r>
    </w:p>
    <w:p w14:paraId="6057CC92" w14:textId="77777777" w:rsidR="001262D3" w:rsidRPr="001262D3" w:rsidRDefault="001262D3" w:rsidP="001262D3">
      <w:pPr>
        <w:pStyle w:val="Restitle"/>
      </w:pPr>
    </w:p>
    <w:sectPr w:rsidR="001262D3" w:rsidRPr="001262D3" w:rsidSect="00204C2B">
      <w:headerReference w:type="even" r:id="rId28"/>
      <w:headerReference w:type="default" r:id="rId29"/>
      <w:headerReference w:type="first" r:id="rId30"/>
      <w:footerReference w:type="first" r:id="rId31"/>
      <w:footnotePr>
        <w:numFmt w:val="chicago"/>
      </w:footnotePr>
      <w:pgSz w:w="11907" w:h="16834"/>
      <w:pgMar w:top="1418" w:right="1134" w:bottom="1418" w:left="1134"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7FBC" w14:textId="77777777" w:rsidR="00F7094E" w:rsidRDefault="00F7094E">
      <w:r>
        <w:separator/>
      </w:r>
    </w:p>
  </w:endnote>
  <w:endnote w:type="continuationSeparator" w:id="0">
    <w:p w14:paraId="71EB1363" w14:textId="77777777" w:rsidR="00F7094E" w:rsidRDefault="00F7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Bo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441B" w14:textId="14FC22EF" w:rsidR="0072624D" w:rsidRPr="00FB65BC" w:rsidRDefault="0072624D" w:rsidP="00895CEB">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EB73" w14:textId="77777777" w:rsidR="0072624D" w:rsidRPr="0063727D" w:rsidRDefault="0072624D" w:rsidP="0063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E6DC5" w14:textId="77777777" w:rsidR="00F7094E" w:rsidRDefault="00F7094E">
      <w:r>
        <w:t>____________________</w:t>
      </w:r>
    </w:p>
  </w:footnote>
  <w:footnote w:type="continuationSeparator" w:id="0">
    <w:p w14:paraId="3AF10D6C" w14:textId="77777777" w:rsidR="00F7094E" w:rsidRDefault="00F7094E">
      <w:r>
        <w:continuationSeparator/>
      </w:r>
    </w:p>
  </w:footnote>
  <w:footnote w:id="1">
    <w:p w14:paraId="60DB9C02" w14:textId="77777777" w:rsidR="001C2E05" w:rsidRPr="00814574" w:rsidRDefault="001C2E05" w:rsidP="001C2E05">
      <w:pPr>
        <w:pStyle w:val="FootnoteText"/>
      </w:pPr>
      <w:r>
        <w:rPr>
          <w:rStyle w:val="FootnoteReference"/>
        </w:rPr>
        <w:t>1</w:t>
      </w:r>
      <w:r w:rsidRPr="0061120E">
        <w:tab/>
      </w:r>
      <w:r w:rsidRPr="007A6E42">
        <w:t>This WRC’s standing agenda sub-item is strictly limited to the Report of the Director on ITU</w:t>
      </w:r>
      <w:r w:rsidRPr="007A6E42">
        <w:noBreakHyphen/>
        <w:t>R activities since the last WRC; and any topics outside 1.1-1.19 as listed above shall be strictly avoided, particularly those topics which require any changes/amendments to the Radio Regulations.</w:t>
      </w:r>
    </w:p>
  </w:footnote>
  <w:footnote w:id="2">
    <w:p w14:paraId="4D361066" w14:textId="77777777" w:rsidR="00A06ED0" w:rsidRPr="00814574" w:rsidRDefault="00A06ED0" w:rsidP="00A06ED0">
      <w:pPr>
        <w:pStyle w:val="FootnoteText"/>
      </w:pPr>
      <w:r>
        <w:rPr>
          <w:rStyle w:val="FootnoteReference"/>
        </w:rPr>
        <w:t>1</w:t>
      </w:r>
      <w:r w:rsidRPr="0061120E">
        <w:tab/>
      </w:r>
      <w:r w:rsidRPr="007A6E42">
        <w:t>This WRC’s standing agenda sub-item is strictly limited to the Report of the Director on ITU</w:t>
      </w:r>
      <w:r w:rsidRPr="007A6E42">
        <w:noBreakHyphen/>
        <w:t>R activities since the last WRC; and any topics outside 1.1-1.19 as listed above shall be strictly avoided, particularly those topics which require any changes/amendments to the Radio Regulations.</w:t>
      </w:r>
    </w:p>
    <w:p w14:paraId="63FCD410" w14:textId="2E1FFD16" w:rsidR="001C2E05" w:rsidRPr="00814574" w:rsidRDefault="00A06ED0" w:rsidP="00A06ED0">
      <w:pPr>
        <w:pStyle w:val="FootnoteText"/>
      </w:pPr>
      <w:r>
        <w:rPr>
          <w:rStyle w:val="FootnoteReference"/>
        </w:rPr>
        <w:t>2</w:t>
      </w:r>
      <w:r>
        <w:tab/>
      </w:r>
      <w:r w:rsidRPr="007A6E42">
        <w:t>This WRC’s standing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r w:rsidRPr="0061120E">
        <w:t xml:space="preserve"> </w:t>
      </w:r>
      <w:r w:rsidR="001C2E05" w:rsidRPr="0061120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EC2C" w14:textId="434303A9" w:rsidR="0072624D" w:rsidRPr="00155CA8" w:rsidRDefault="0072624D"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F777A" w14:textId="1BF34CA2" w:rsidR="0072624D" w:rsidRPr="00AF3325" w:rsidRDefault="0072624D" w:rsidP="00BF708A">
    <w:pPr>
      <w:pStyle w:val="Header"/>
      <w:jc w:val="cente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5</w:t>
    </w:r>
    <w:r w:rsidRPr="00155CA8">
      <w:rPr>
        <w:rStyle w:val="PageNumber"/>
        <w:sz w:val="20"/>
        <w:szCs w:val="20"/>
      </w:rPr>
      <w:fldChar w:fldCharType="end"/>
    </w:r>
    <w:r w:rsidRPr="00155CA8">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2624D" w14:paraId="5695B5E1" w14:textId="77777777" w:rsidTr="00895CEB">
      <w:tc>
        <w:tcPr>
          <w:tcW w:w="9923" w:type="dxa"/>
        </w:tcPr>
        <w:p w14:paraId="21FF34B5" w14:textId="264D6A77" w:rsidR="0072624D" w:rsidRDefault="0072624D" w:rsidP="00895CEB">
          <w:pPr>
            <w:pStyle w:val="Header"/>
            <w:tabs>
              <w:tab w:val="clear" w:pos="794"/>
              <w:tab w:val="clear" w:pos="4820"/>
            </w:tabs>
            <w:spacing w:before="120" w:line="360" w:lineRule="auto"/>
            <w:jc w:val="center"/>
          </w:pPr>
          <w:r>
            <w:rPr>
              <w:noProof/>
              <w:lang w:val="en-GB" w:eastAsia="zh-CN"/>
            </w:rPr>
            <w:drawing>
              <wp:inline distT="0" distB="0" distL="0" distR="0" wp14:anchorId="2990911B" wp14:editId="2A1B8BE8">
                <wp:extent cx="682388"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1C75D5A7" w14:textId="6F922EFF" w:rsidR="00126EA3" w:rsidRDefault="00126E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B34B" w14:textId="77777777" w:rsidR="00514821" w:rsidRPr="00155CA8" w:rsidRDefault="00514821"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4F49" w14:textId="49FEF489" w:rsidR="0072624D" w:rsidRDefault="0072624D" w:rsidP="0063727D">
    <w:pPr>
      <w:pStyle w:val="Header"/>
      <w:jc w:val="center"/>
    </w:pPr>
    <w:r>
      <w:t xml:space="preserve">- </w:t>
    </w:r>
    <w:r>
      <w:fldChar w:fldCharType="begin"/>
    </w:r>
    <w:r>
      <w:instrText>PAGE</w:instrText>
    </w:r>
    <w:r>
      <w:fldChar w:fldCharType="separate"/>
    </w:r>
    <w:r>
      <w:t>1</w:t>
    </w:r>
    <w:r>
      <w:rPr>
        <w:noProof/>
      </w:rPr>
      <w:fldChar w:fldCharType="end"/>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F900" w14:textId="77777777" w:rsidR="00514821" w:rsidRPr="00155CA8" w:rsidRDefault="00514821" w:rsidP="00514821">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6</w:t>
    </w:r>
    <w:r w:rsidRPr="00155CA8">
      <w:rPr>
        <w:rStyle w:val="PageNumber"/>
        <w:sz w:val="20"/>
        <w:szCs w:val="20"/>
      </w:rPr>
      <w:fldChar w:fldCharType="end"/>
    </w:r>
    <w:r w:rsidRPr="00155CA8">
      <w:rPr>
        <w:rStyle w:val="PageNumber"/>
        <w:sz w:val="20"/>
        <w:szCs w:val="20"/>
      </w:rPr>
      <w:t xml:space="preserve"> –</w:t>
    </w:r>
  </w:p>
  <w:p w14:paraId="597FF996" w14:textId="77777777" w:rsidR="008B581C" w:rsidRPr="00514821" w:rsidRDefault="008B581C" w:rsidP="0051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443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5A4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2E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AB9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A0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108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E4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4A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7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CB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A613BD"/>
    <w:multiLevelType w:val="hybridMultilevel"/>
    <w:tmpl w:val="4C4EBE8C"/>
    <w:lvl w:ilvl="0" w:tplc="90A6BF2A">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20"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31"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4ED18D5"/>
    <w:multiLevelType w:val="hybridMultilevel"/>
    <w:tmpl w:val="47620F2E"/>
    <w:lvl w:ilvl="0" w:tplc="431ABDE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983D6D"/>
    <w:multiLevelType w:val="hybridMultilevel"/>
    <w:tmpl w:val="0FF4435A"/>
    <w:lvl w:ilvl="0" w:tplc="EECED892">
      <w:start w:val="1"/>
      <w:numFmt w:val="decimal"/>
      <w:lvlText w:val="%1."/>
      <w:lvlJc w:val="left"/>
      <w:pPr>
        <w:ind w:left="1080" w:hanging="360"/>
      </w:pPr>
      <w:rPr>
        <w:rFonts w:hint="default"/>
        <w:color w:val="943634"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6"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E74B1A"/>
    <w:multiLevelType w:val="hybridMultilevel"/>
    <w:tmpl w:val="9052406A"/>
    <w:lvl w:ilvl="0" w:tplc="7EC864E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A967EF7"/>
    <w:multiLevelType w:val="hybridMultilevel"/>
    <w:tmpl w:val="3C9C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0033A1"/>
    <w:multiLevelType w:val="hybridMultilevel"/>
    <w:tmpl w:val="DDA0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327DA6"/>
    <w:multiLevelType w:val="hybridMultilevel"/>
    <w:tmpl w:val="315AB70C"/>
    <w:lvl w:ilvl="0" w:tplc="19AAD7A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582517">
    <w:abstractNumId w:val="28"/>
  </w:num>
  <w:num w:numId="2" w16cid:durableId="448625312">
    <w:abstractNumId w:val="36"/>
  </w:num>
  <w:num w:numId="3" w16cid:durableId="1978995661">
    <w:abstractNumId w:val="27"/>
  </w:num>
  <w:num w:numId="4" w16cid:durableId="1866668848">
    <w:abstractNumId w:val="37"/>
  </w:num>
  <w:num w:numId="5" w16cid:durableId="217742561">
    <w:abstractNumId w:val="9"/>
  </w:num>
  <w:num w:numId="6" w16cid:durableId="28341328">
    <w:abstractNumId w:val="7"/>
  </w:num>
  <w:num w:numId="7" w16cid:durableId="1382360024">
    <w:abstractNumId w:val="6"/>
  </w:num>
  <w:num w:numId="8" w16cid:durableId="1974283741">
    <w:abstractNumId w:val="5"/>
  </w:num>
  <w:num w:numId="9" w16cid:durableId="1535578726">
    <w:abstractNumId w:val="4"/>
  </w:num>
  <w:num w:numId="10" w16cid:durableId="1147016494">
    <w:abstractNumId w:val="8"/>
  </w:num>
  <w:num w:numId="11" w16cid:durableId="842014860">
    <w:abstractNumId w:val="3"/>
  </w:num>
  <w:num w:numId="12" w16cid:durableId="189339355">
    <w:abstractNumId w:val="2"/>
  </w:num>
  <w:num w:numId="13" w16cid:durableId="726878392">
    <w:abstractNumId w:val="1"/>
  </w:num>
  <w:num w:numId="14" w16cid:durableId="1741168084">
    <w:abstractNumId w:val="0"/>
  </w:num>
  <w:num w:numId="15" w16cid:durableId="1760130860">
    <w:abstractNumId w:val="24"/>
  </w:num>
  <w:num w:numId="16" w16cid:durableId="1545869131">
    <w:abstractNumId w:val="51"/>
  </w:num>
  <w:num w:numId="17" w16cid:durableId="663751785">
    <w:abstractNumId w:val="29"/>
  </w:num>
  <w:num w:numId="18" w16cid:durableId="191653938">
    <w:abstractNumId w:val="15"/>
  </w:num>
  <w:num w:numId="19" w16cid:durableId="901596065">
    <w:abstractNumId w:val="23"/>
  </w:num>
  <w:num w:numId="20" w16cid:durableId="1272281565">
    <w:abstractNumId w:val="20"/>
  </w:num>
  <w:num w:numId="21" w16cid:durableId="1115751478">
    <w:abstractNumId w:val="47"/>
  </w:num>
  <w:num w:numId="22" w16cid:durableId="1793674175">
    <w:abstractNumId w:val="34"/>
  </w:num>
  <w:num w:numId="23" w16cid:durableId="588735082">
    <w:abstractNumId w:val="40"/>
  </w:num>
  <w:num w:numId="24" w16cid:durableId="1171943680">
    <w:abstractNumId w:val="50"/>
  </w:num>
  <w:num w:numId="25" w16cid:durableId="1195145967">
    <w:abstractNumId w:val="31"/>
  </w:num>
  <w:num w:numId="26" w16cid:durableId="1663578391">
    <w:abstractNumId w:val="22"/>
  </w:num>
  <w:num w:numId="27" w16cid:durableId="406348170">
    <w:abstractNumId w:val="49"/>
  </w:num>
  <w:num w:numId="28" w16cid:durableId="2125953389">
    <w:abstractNumId w:val="26"/>
  </w:num>
  <w:num w:numId="29" w16cid:durableId="97649305">
    <w:abstractNumId w:val="42"/>
  </w:num>
  <w:num w:numId="30" w16cid:durableId="1986546903">
    <w:abstractNumId w:val="32"/>
  </w:num>
  <w:num w:numId="31" w16cid:durableId="2025865931">
    <w:abstractNumId w:val="21"/>
  </w:num>
  <w:num w:numId="32" w16cid:durableId="1349064378">
    <w:abstractNumId w:val="38"/>
  </w:num>
  <w:num w:numId="33" w16cid:durableId="2128116426">
    <w:abstractNumId w:val="44"/>
  </w:num>
  <w:num w:numId="34" w16cid:durableId="1558585138">
    <w:abstractNumId w:val="16"/>
  </w:num>
  <w:num w:numId="35" w16cid:durableId="2083092836">
    <w:abstractNumId w:val="48"/>
  </w:num>
  <w:num w:numId="36" w16cid:durableId="1208908350">
    <w:abstractNumId w:val="25"/>
  </w:num>
  <w:num w:numId="37" w16cid:durableId="1793863431">
    <w:abstractNumId w:val="35"/>
  </w:num>
  <w:num w:numId="38" w16cid:durableId="1446462011">
    <w:abstractNumId w:val="19"/>
  </w:num>
  <w:num w:numId="39" w16cid:durableId="1672757474">
    <w:abstractNumId w:val="39"/>
  </w:num>
  <w:num w:numId="40" w16cid:durableId="30808791">
    <w:abstractNumId w:val="30"/>
  </w:num>
  <w:num w:numId="41" w16cid:durableId="1256788679">
    <w:abstractNumId w:val="18"/>
  </w:num>
  <w:num w:numId="42" w16cid:durableId="896016798">
    <w:abstractNumId w:val="14"/>
  </w:num>
  <w:num w:numId="43" w16cid:durableId="2118519390">
    <w:abstractNumId w:val="45"/>
  </w:num>
  <w:num w:numId="44" w16cid:durableId="1909075132">
    <w:abstractNumId w:val="17"/>
  </w:num>
  <w:num w:numId="45" w16cid:durableId="1126661787">
    <w:abstractNumId w:val="43"/>
  </w:num>
  <w:num w:numId="46" w16cid:durableId="631253367">
    <w:abstractNumId w:val="46"/>
  </w:num>
  <w:num w:numId="47" w16cid:durableId="1882746241">
    <w:abstractNumId w:val="41"/>
  </w:num>
  <w:num w:numId="48" w16cid:durableId="2012826495">
    <w:abstractNumId w:val="52"/>
  </w:num>
  <w:num w:numId="49" w16cid:durableId="626097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64015"/>
    <w:rsid w:val="000015E1"/>
    <w:rsid w:val="0000168D"/>
    <w:rsid w:val="0000301E"/>
    <w:rsid w:val="00003B1C"/>
    <w:rsid w:val="00003BB2"/>
    <w:rsid w:val="00006C82"/>
    <w:rsid w:val="00010E30"/>
    <w:rsid w:val="000141A5"/>
    <w:rsid w:val="0001798C"/>
    <w:rsid w:val="00017CF0"/>
    <w:rsid w:val="00017FB2"/>
    <w:rsid w:val="00020CD9"/>
    <w:rsid w:val="000254C3"/>
    <w:rsid w:val="000258B8"/>
    <w:rsid w:val="00026640"/>
    <w:rsid w:val="0002696A"/>
    <w:rsid w:val="00026CF8"/>
    <w:rsid w:val="00030606"/>
    <w:rsid w:val="000337B9"/>
    <w:rsid w:val="00037DC0"/>
    <w:rsid w:val="00041491"/>
    <w:rsid w:val="00041670"/>
    <w:rsid w:val="000421F1"/>
    <w:rsid w:val="00044C9E"/>
    <w:rsid w:val="00045202"/>
    <w:rsid w:val="0004590F"/>
    <w:rsid w:val="00051047"/>
    <w:rsid w:val="00054391"/>
    <w:rsid w:val="0005792C"/>
    <w:rsid w:val="000618B1"/>
    <w:rsid w:val="00070258"/>
    <w:rsid w:val="000730DE"/>
    <w:rsid w:val="0007323C"/>
    <w:rsid w:val="000744EB"/>
    <w:rsid w:val="00076A88"/>
    <w:rsid w:val="00080F00"/>
    <w:rsid w:val="00083585"/>
    <w:rsid w:val="00084936"/>
    <w:rsid w:val="00086D03"/>
    <w:rsid w:val="000965DC"/>
    <w:rsid w:val="00097327"/>
    <w:rsid w:val="000A0EC5"/>
    <w:rsid w:val="000A356B"/>
    <w:rsid w:val="000A3B39"/>
    <w:rsid w:val="000A45D4"/>
    <w:rsid w:val="000A7051"/>
    <w:rsid w:val="000B0196"/>
    <w:rsid w:val="000B0C0A"/>
    <w:rsid w:val="000B304F"/>
    <w:rsid w:val="000B3BAC"/>
    <w:rsid w:val="000B52E1"/>
    <w:rsid w:val="000B6FA6"/>
    <w:rsid w:val="000B7A66"/>
    <w:rsid w:val="000C03C7"/>
    <w:rsid w:val="000C23E6"/>
    <w:rsid w:val="000C3C66"/>
    <w:rsid w:val="000C7608"/>
    <w:rsid w:val="000C77A4"/>
    <w:rsid w:val="000D6CD4"/>
    <w:rsid w:val="000D7A3B"/>
    <w:rsid w:val="000E0B83"/>
    <w:rsid w:val="000E1545"/>
    <w:rsid w:val="000E2A48"/>
    <w:rsid w:val="000E3DEE"/>
    <w:rsid w:val="000E4293"/>
    <w:rsid w:val="000E6901"/>
    <w:rsid w:val="000E74E8"/>
    <w:rsid w:val="000F0570"/>
    <w:rsid w:val="000F11B1"/>
    <w:rsid w:val="000F1F92"/>
    <w:rsid w:val="000F6A8C"/>
    <w:rsid w:val="000F7461"/>
    <w:rsid w:val="00100B72"/>
    <w:rsid w:val="0010161F"/>
    <w:rsid w:val="00103433"/>
    <w:rsid w:val="00103C76"/>
    <w:rsid w:val="0010648E"/>
    <w:rsid w:val="00107FC0"/>
    <w:rsid w:val="001105B9"/>
    <w:rsid w:val="0011265F"/>
    <w:rsid w:val="001130CD"/>
    <w:rsid w:val="00113E8A"/>
    <w:rsid w:val="001167ED"/>
    <w:rsid w:val="00120DCB"/>
    <w:rsid w:val="00121CD6"/>
    <w:rsid w:val="00123045"/>
    <w:rsid w:val="0012326D"/>
    <w:rsid w:val="00123973"/>
    <w:rsid w:val="00125E49"/>
    <w:rsid w:val="001262D3"/>
    <w:rsid w:val="00126355"/>
    <w:rsid w:val="00126EA3"/>
    <w:rsid w:val="00127940"/>
    <w:rsid w:val="001312DF"/>
    <w:rsid w:val="001339B1"/>
    <w:rsid w:val="00134404"/>
    <w:rsid w:val="00136853"/>
    <w:rsid w:val="00141630"/>
    <w:rsid w:val="0014389F"/>
    <w:rsid w:val="00144DC4"/>
    <w:rsid w:val="00144DFB"/>
    <w:rsid w:val="00146506"/>
    <w:rsid w:val="001509CB"/>
    <w:rsid w:val="00152016"/>
    <w:rsid w:val="00154F20"/>
    <w:rsid w:val="00155CA8"/>
    <w:rsid w:val="00156205"/>
    <w:rsid w:val="001567EF"/>
    <w:rsid w:val="00156990"/>
    <w:rsid w:val="001572DF"/>
    <w:rsid w:val="00162375"/>
    <w:rsid w:val="00162D6B"/>
    <w:rsid w:val="00163AA3"/>
    <w:rsid w:val="00167A36"/>
    <w:rsid w:val="001702A3"/>
    <w:rsid w:val="00175CFC"/>
    <w:rsid w:val="001761BA"/>
    <w:rsid w:val="00177594"/>
    <w:rsid w:val="001777BA"/>
    <w:rsid w:val="0018154C"/>
    <w:rsid w:val="00183012"/>
    <w:rsid w:val="00183360"/>
    <w:rsid w:val="0018621C"/>
    <w:rsid w:val="0018639E"/>
    <w:rsid w:val="001868CA"/>
    <w:rsid w:val="00187CA3"/>
    <w:rsid w:val="00193716"/>
    <w:rsid w:val="00196710"/>
    <w:rsid w:val="00196BDD"/>
    <w:rsid w:val="00197324"/>
    <w:rsid w:val="00197CCB"/>
    <w:rsid w:val="001A1856"/>
    <w:rsid w:val="001A608F"/>
    <w:rsid w:val="001A79CA"/>
    <w:rsid w:val="001B09C7"/>
    <w:rsid w:val="001B2531"/>
    <w:rsid w:val="001B2E12"/>
    <w:rsid w:val="001B67FC"/>
    <w:rsid w:val="001B729B"/>
    <w:rsid w:val="001C06DB"/>
    <w:rsid w:val="001C1439"/>
    <w:rsid w:val="001C2559"/>
    <w:rsid w:val="001C2E05"/>
    <w:rsid w:val="001C5D34"/>
    <w:rsid w:val="001C6C38"/>
    <w:rsid w:val="001C76C3"/>
    <w:rsid w:val="001C78C7"/>
    <w:rsid w:val="001C7C99"/>
    <w:rsid w:val="001D0158"/>
    <w:rsid w:val="001D1E1D"/>
    <w:rsid w:val="001D31D3"/>
    <w:rsid w:val="001D5BA5"/>
    <w:rsid w:val="001D5E11"/>
    <w:rsid w:val="001D7070"/>
    <w:rsid w:val="001E443E"/>
    <w:rsid w:val="001E591D"/>
    <w:rsid w:val="001E5D86"/>
    <w:rsid w:val="001E7576"/>
    <w:rsid w:val="001F31B3"/>
    <w:rsid w:val="001F3DBD"/>
    <w:rsid w:val="001F48F0"/>
    <w:rsid w:val="001F50B0"/>
    <w:rsid w:val="001F5A49"/>
    <w:rsid w:val="00201097"/>
    <w:rsid w:val="002019AD"/>
    <w:rsid w:val="00201B6E"/>
    <w:rsid w:val="002038EA"/>
    <w:rsid w:val="00204C2B"/>
    <w:rsid w:val="0021299C"/>
    <w:rsid w:val="00212ECA"/>
    <w:rsid w:val="002166D1"/>
    <w:rsid w:val="00217298"/>
    <w:rsid w:val="00220A85"/>
    <w:rsid w:val="00221B98"/>
    <w:rsid w:val="00227082"/>
    <w:rsid w:val="002302B3"/>
    <w:rsid w:val="0023030E"/>
    <w:rsid w:val="00230B3B"/>
    <w:rsid w:val="00231835"/>
    <w:rsid w:val="002318E0"/>
    <w:rsid w:val="00235A29"/>
    <w:rsid w:val="00240C42"/>
    <w:rsid w:val="002425B0"/>
    <w:rsid w:val="00242795"/>
    <w:rsid w:val="002443A2"/>
    <w:rsid w:val="002478D2"/>
    <w:rsid w:val="0025256E"/>
    <w:rsid w:val="00252CD0"/>
    <w:rsid w:val="00265457"/>
    <w:rsid w:val="00270462"/>
    <w:rsid w:val="002753C1"/>
    <w:rsid w:val="00276E99"/>
    <w:rsid w:val="00277AED"/>
    <w:rsid w:val="00280247"/>
    <w:rsid w:val="00280E70"/>
    <w:rsid w:val="0028409C"/>
    <w:rsid w:val="002861E6"/>
    <w:rsid w:val="00287D18"/>
    <w:rsid w:val="00292691"/>
    <w:rsid w:val="00292A3B"/>
    <w:rsid w:val="0029572C"/>
    <w:rsid w:val="002A0AEA"/>
    <w:rsid w:val="002A0B8D"/>
    <w:rsid w:val="002A3F40"/>
    <w:rsid w:val="002B5DEA"/>
    <w:rsid w:val="002B63E1"/>
    <w:rsid w:val="002B71DE"/>
    <w:rsid w:val="002C0AB3"/>
    <w:rsid w:val="002C4C92"/>
    <w:rsid w:val="002C6C3A"/>
    <w:rsid w:val="002C77FA"/>
    <w:rsid w:val="002D170B"/>
    <w:rsid w:val="002D3484"/>
    <w:rsid w:val="002D4291"/>
    <w:rsid w:val="002D4439"/>
    <w:rsid w:val="002D5267"/>
    <w:rsid w:val="002D58A8"/>
    <w:rsid w:val="002D5A15"/>
    <w:rsid w:val="002D5BDD"/>
    <w:rsid w:val="002D627D"/>
    <w:rsid w:val="002D7AE9"/>
    <w:rsid w:val="002E0CC6"/>
    <w:rsid w:val="002E1838"/>
    <w:rsid w:val="002E3E26"/>
    <w:rsid w:val="002E49EF"/>
    <w:rsid w:val="002E55E7"/>
    <w:rsid w:val="002E7FED"/>
    <w:rsid w:val="002F0108"/>
    <w:rsid w:val="002F0890"/>
    <w:rsid w:val="002F2531"/>
    <w:rsid w:val="002F4967"/>
    <w:rsid w:val="002F7997"/>
    <w:rsid w:val="00300F12"/>
    <w:rsid w:val="00302652"/>
    <w:rsid w:val="00305702"/>
    <w:rsid w:val="00307087"/>
    <w:rsid w:val="00314C9A"/>
    <w:rsid w:val="00316935"/>
    <w:rsid w:val="00316E2B"/>
    <w:rsid w:val="003173E3"/>
    <w:rsid w:val="00320863"/>
    <w:rsid w:val="00320F5B"/>
    <w:rsid w:val="00321CED"/>
    <w:rsid w:val="003223B7"/>
    <w:rsid w:val="00326D76"/>
    <w:rsid w:val="003300BB"/>
    <w:rsid w:val="00332E1A"/>
    <w:rsid w:val="003370B8"/>
    <w:rsid w:val="003415F4"/>
    <w:rsid w:val="00341CCB"/>
    <w:rsid w:val="00342CDA"/>
    <w:rsid w:val="003442B0"/>
    <w:rsid w:val="00350F9A"/>
    <w:rsid w:val="00351414"/>
    <w:rsid w:val="0035451F"/>
    <w:rsid w:val="00364015"/>
    <w:rsid w:val="003666FF"/>
    <w:rsid w:val="003673F2"/>
    <w:rsid w:val="003733A1"/>
    <w:rsid w:val="003736D9"/>
    <w:rsid w:val="00375BDC"/>
    <w:rsid w:val="00377AF5"/>
    <w:rsid w:val="00377E6C"/>
    <w:rsid w:val="00377FC0"/>
    <w:rsid w:val="00383819"/>
    <w:rsid w:val="00386921"/>
    <w:rsid w:val="00391755"/>
    <w:rsid w:val="0039602F"/>
    <w:rsid w:val="003A42CE"/>
    <w:rsid w:val="003B2B16"/>
    <w:rsid w:val="003B2BDA"/>
    <w:rsid w:val="003B48BB"/>
    <w:rsid w:val="003B4C57"/>
    <w:rsid w:val="003B55EC"/>
    <w:rsid w:val="003B620B"/>
    <w:rsid w:val="003B7C53"/>
    <w:rsid w:val="003B7CBB"/>
    <w:rsid w:val="003C1493"/>
    <w:rsid w:val="003C2C22"/>
    <w:rsid w:val="003C3237"/>
    <w:rsid w:val="003C423C"/>
    <w:rsid w:val="003C4471"/>
    <w:rsid w:val="003C79CB"/>
    <w:rsid w:val="003D0210"/>
    <w:rsid w:val="003D7EAD"/>
    <w:rsid w:val="003E0E6C"/>
    <w:rsid w:val="003E19E5"/>
    <w:rsid w:val="003E4FFA"/>
    <w:rsid w:val="003E504F"/>
    <w:rsid w:val="003E6C90"/>
    <w:rsid w:val="003E78D6"/>
    <w:rsid w:val="003F26D2"/>
    <w:rsid w:val="003F693F"/>
    <w:rsid w:val="003F6B9C"/>
    <w:rsid w:val="00400A02"/>
    <w:rsid w:val="0040153A"/>
    <w:rsid w:val="00402189"/>
    <w:rsid w:val="00405B3E"/>
    <w:rsid w:val="004103CE"/>
    <w:rsid w:val="00412541"/>
    <w:rsid w:val="00415070"/>
    <w:rsid w:val="004156BB"/>
    <w:rsid w:val="00415C31"/>
    <w:rsid w:val="0041680B"/>
    <w:rsid w:val="00417C42"/>
    <w:rsid w:val="004216A9"/>
    <w:rsid w:val="0042318E"/>
    <w:rsid w:val="00424122"/>
    <w:rsid w:val="00426AB5"/>
    <w:rsid w:val="0043031B"/>
    <w:rsid w:val="004326DB"/>
    <w:rsid w:val="00432F35"/>
    <w:rsid w:val="00433884"/>
    <w:rsid w:val="0043682E"/>
    <w:rsid w:val="0044018B"/>
    <w:rsid w:val="00441CCB"/>
    <w:rsid w:val="00441DCF"/>
    <w:rsid w:val="00446FA5"/>
    <w:rsid w:val="00447D24"/>
    <w:rsid w:val="00447ECB"/>
    <w:rsid w:val="00452F5E"/>
    <w:rsid w:val="0045301D"/>
    <w:rsid w:val="00454496"/>
    <w:rsid w:val="00455451"/>
    <w:rsid w:val="004622EF"/>
    <w:rsid w:val="004623F7"/>
    <w:rsid w:val="0046301B"/>
    <w:rsid w:val="00465C7E"/>
    <w:rsid w:val="004668AE"/>
    <w:rsid w:val="00470C8D"/>
    <w:rsid w:val="00471F37"/>
    <w:rsid w:val="004761DB"/>
    <w:rsid w:val="004767D5"/>
    <w:rsid w:val="00480F51"/>
    <w:rsid w:val="00481124"/>
    <w:rsid w:val="004815EB"/>
    <w:rsid w:val="004818D4"/>
    <w:rsid w:val="004844FF"/>
    <w:rsid w:val="00487569"/>
    <w:rsid w:val="00491F6B"/>
    <w:rsid w:val="0049244B"/>
    <w:rsid w:val="00496864"/>
    <w:rsid w:val="00496920"/>
    <w:rsid w:val="00497CE8"/>
    <w:rsid w:val="00497DF1"/>
    <w:rsid w:val="004A2025"/>
    <w:rsid w:val="004A5302"/>
    <w:rsid w:val="004A73A5"/>
    <w:rsid w:val="004A7C64"/>
    <w:rsid w:val="004B050E"/>
    <w:rsid w:val="004B1397"/>
    <w:rsid w:val="004B32A9"/>
    <w:rsid w:val="004B5C27"/>
    <w:rsid w:val="004B6F59"/>
    <w:rsid w:val="004B7C9A"/>
    <w:rsid w:val="004C045F"/>
    <w:rsid w:val="004C1A39"/>
    <w:rsid w:val="004C26D5"/>
    <w:rsid w:val="004C345B"/>
    <w:rsid w:val="004C46AC"/>
    <w:rsid w:val="004C4BC0"/>
    <w:rsid w:val="004C4CC6"/>
    <w:rsid w:val="004C6779"/>
    <w:rsid w:val="004C6B15"/>
    <w:rsid w:val="004D0F37"/>
    <w:rsid w:val="004D369C"/>
    <w:rsid w:val="004E0DC4"/>
    <w:rsid w:val="004E0FB5"/>
    <w:rsid w:val="004E2E02"/>
    <w:rsid w:val="004E3041"/>
    <w:rsid w:val="004E43BB"/>
    <w:rsid w:val="004E70E6"/>
    <w:rsid w:val="004E720B"/>
    <w:rsid w:val="004F178E"/>
    <w:rsid w:val="004F1947"/>
    <w:rsid w:val="004F2B6D"/>
    <w:rsid w:val="004F653B"/>
    <w:rsid w:val="004F71A9"/>
    <w:rsid w:val="00501654"/>
    <w:rsid w:val="00504897"/>
    <w:rsid w:val="00505309"/>
    <w:rsid w:val="00506C78"/>
    <w:rsid w:val="00506E9E"/>
    <w:rsid w:val="0050789B"/>
    <w:rsid w:val="00511E7B"/>
    <w:rsid w:val="0051215C"/>
    <w:rsid w:val="005139C7"/>
    <w:rsid w:val="00514821"/>
    <w:rsid w:val="005151B6"/>
    <w:rsid w:val="0051788D"/>
    <w:rsid w:val="0052159D"/>
    <w:rsid w:val="0052207C"/>
    <w:rsid w:val="005239E4"/>
    <w:rsid w:val="005244CA"/>
    <w:rsid w:val="00525340"/>
    <w:rsid w:val="00525672"/>
    <w:rsid w:val="00526D1D"/>
    <w:rsid w:val="005312B5"/>
    <w:rsid w:val="00531798"/>
    <w:rsid w:val="00534372"/>
    <w:rsid w:val="0053670A"/>
    <w:rsid w:val="00541348"/>
    <w:rsid w:val="00541858"/>
    <w:rsid w:val="00543D61"/>
    <w:rsid w:val="00543DF8"/>
    <w:rsid w:val="00546101"/>
    <w:rsid w:val="00546305"/>
    <w:rsid w:val="00546E06"/>
    <w:rsid w:val="005521A9"/>
    <w:rsid w:val="00552DF8"/>
    <w:rsid w:val="00552EF8"/>
    <w:rsid w:val="00553DD7"/>
    <w:rsid w:val="00554108"/>
    <w:rsid w:val="0055410B"/>
    <w:rsid w:val="005544D1"/>
    <w:rsid w:val="00555D7B"/>
    <w:rsid w:val="00557092"/>
    <w:rsid w:val="005607ED"/>
    <w:rsid w:val="005614C3"/>
    <w:rsid w:val="005638CF"/>
    <w:rsid w:val="005659F4"/>
    <w:rsid w:val="00566D08"/>
    <w:rsid w:val="0056741E"/>
    <w:rsid w:val="00567BFE"/>
    <w:rsid w:val="00567C40"/>
    <w:rsid w:val="0057325A"/>
    <w:rsid w:val="00574063"/>
    <w:rsid w:val="0057469A"/>
    <w:rsid w:val="005804D4"/>
    <w:rsid w:val="00580814"/>
    <w:rsid w:val="005829EF"/>
    <w:rsid w:val="00583C12"/>
    <w:rsid w:val="005862E4"/>
    <w:rsid w:val="0058645B"/>
    <w:rsid w:val="00590CAD"/>
    <w:rsid w:val="00591B5A"/>
    <w:rsid w:val="00592F85"/>
    <w:rsid w:val="00594C0C"/>
    <w:rsid w:val="005957FB"/>
    <w:rsid w:val="00596C11"/>
    <w:rsid w:val="005A03A3"/>
    <w:rsid w:val="005A049E"/>
    <w:rsid w:val="005A3ACE"/>
    <w:rsid w:val="005A3B21"/>
    <w:rsid w:val="005A5E05"/>
    <w:rsid w:val="005A7264"/>
    <w:rsid w:val="005A79E9"/>
    <w:rsid w:val="005A7E16"/>
    <w:rsid w:val="005B214C"/>
    <w:rsid w:val="005B37ED"/>
    <w:rsid w:val="005B6E52"/>
    <w:rsid w:val="005B73DD"/>
    <w:rsid w:val="005C75FD"/>
    <w:rsid w:val="005C7751"/>
    <w:rsid w:val="005D092C"/>
    <w:rsid w:val="005D0FFE"/>
    <w:rsid w:val="005D119B"/>
    <w:rsid w:val="005D3669"/>
    <w:rsid w:val="005D523B"/>
    <w:rsid w:val="005E2BE3"/>
    <w:rsid w:val="005E4E88"/>
    <w:rsid w:val="005F60C1"/>
    <w:rsid w:val="00601054"/>
    <w:rsid w:val="006010C2"/>
    <w:rsid w:val="00602D53"/>
    <w:rsid w:val="00603AD7"/>
    <w:rsid w:val="00603BD6"/>
    <w:rsid w:val="006052DB"/>
    <w:rsid w:val="00605947"/>
    <w:rsid w:val="00605AA3"/>
    <w:rsid w:val="006075DA"/>
    <w:rsid w:val="0061271D"/>
    <w:rsid w:val="0061330B"/>
    <w:rsid w:val="00613951"/>
    <w:rsid w:val="00614963"/>
    <w:rsid w:val="006177D3"/>
    <w:rsid w:val="00623261"/>
    <w:rsid w:val="00623CFB"/>
    <w:rsid w:val="0062624D"/>
    <w:rsid w:val="00626A9C"/>
    <w:rsid w:val="00627334"/>
    <w:rsid w:val="006330DE"/>
    <w:rsid w:val="0063727D"/>
    <w:rsid w:val="0064226E"/>
    <w:rsid w:val="00643E00"/>
    <w:rsid w:val="00643E81"/>
    <w:rsid w:val="0064766B"/>
    <w:rsid w:val="00647755"/>
    <w:rsid w:val="00650B2A"/>
    <w:rsid w:val="006516FC"/>
    <w:rsid w:val="00651777"/>
    <w:rsid w:val="00652732"/>
    <w:rsid w:val="00657A35"/>
    <w:rsid w:val="00660ACC"/>
    <w:rsid w:val="00660D08"/>
    <w:rsid w:val="0066198E"/>
    <w:rsid w:val="00662BC6"/>
    <w:rsid w:val="00663689"/>
    <w:rsid w:val="00663A88"/>
    <w:rsid w:val="00664266"/>
    <w:rsid w:val="00670529"/>
    <w:rsid w:val="006715CE"/>
    <w:rsid w:val="00672566"/>
    <w:rsid w:val="0067395C"/>
    <w:rsid w:val="00677529"/>
    <w:rsid w:val="006804B3"/>
    <w:rsid w:val="006812DA"/>
    <w:rsid w:val="00682FBD"/>
    <w:rsid w:val="00684C5D"/>
    <w:rsid w:val="00685306"/>
    <w:rsid w:val="0068538D"/>
    <w:rsid w:val="00686F50"/>
    <w:rsid w:val="00687690"/>
    <w:rsid w:val="00691B31"/>
    <w:rsid w:val="00694C71"/>
    <w:rsid w:val="00695757"/>
    <w:rsid w:val="006A0289"/>
    <w:rsid w:val="006A0E96"/>
    <w:rsid w:val="006A21EE"/>
    <w:rsid w:val="006A247F"/>
    <w:rsid w:val="006A518B"/>
    <w:rsid w:val="006A78A1"/>
    <w:rsid w:val="006B0590"/>
    <w:rsid w:val="006B327F"/>
    <w:rsid w:val="006B49DA"/>
    <w:rsid w:val="006B5C29"/>
    <w:rsid w:val="006B7153"/>
    <w:rsid w:val="006B7369"/>
    <w:rsid w:val="006C3796"/>
    <w:rsid w:val="006C632F"/>
    <w:rsid w:val="006C7CDE"/>
    <w:rsid w:val="006D2408"/>
    <w:rsid w:val="006D7255"/>
    <w:rsid w:val="006D728B"/>
    <w:rsid w:val="006E068F"/>
    <w:rsid w:val="006E36F5"/>
    <w:rsid w:val="006F0FCB"/>
    <w:rsid w:val="006F15B8"/>
    <w:rsid w:val="006F4873"/>
    <w:rsid w:val="006F4961"/>
    <w:rsid w:val="006F6C87"/>
    <w:rsid w:val="0070152A"/>
    <w:rsid w:val="00706AD2"/>
    <w:rsid w:val="007078F0"/>
    <w:rsid w:val="007118AA"/>
    <w:rsid w:val="00711C98"/>
    <w:rsid w:val="00713A54"/>
    <w:rsid w:val="00713C51"/>
    <w:rsid w:val="00715E79"/>
    <w:rsid w:val="0071645B"/>
    <w:rsid w:val="007178FB"/>
    <w:rsid w:val="00717E8F"/>
    <w:rsid w:val="00717EFF"/>
    <w:rsid w:val="00717F2C"/>
    <w:rsid w:val="00722334"/>
    <w:rsid w:val="007234B1"/>
    <w:rsid w:val="0072446C"/>
    <w:rsid w:val="00725038"/>
    <w:rsid w:val="007254CC"/>
    <w:rsid w:val="0072624D"/>
    <w:rsid w:val="00726CC6"/>
    <w:rsid w:val="007276E7"/>
    <w:rsid w:val="00727816"/>
    <w:rsid w:val="00727E85"/>
    <w:rsid w:val="00730B9A"/>
    <w:rsid w:val="00735926"/>
    <w:rsid w:val="0074000B"/>
    <w:rsid w:val="0074001A"/>
    <w:rsid w:val="007412C0"/>
    <w:rsid w:val="00741B8B"/>
    <w:rsid w:val="00742E3B"/>
    <w:rsid w:val="007438BC"/>
    <w:rsid w:val="007451ED"/>
    <w:rsid w:val="00750CFA"/>
    <w:rsid w:val="00755235"/>
    <w:rsid w:val="007553DA"/>
    <w:rsid w:val="00757675"/>
    <w:rsid w:val="0076641E"/>
    <w:rsid w:val="00771C87"/>
    <w:rsid w:val="007730D0"/>
    <w:rsid w:val="00774AB5"/>
    <w:rsid w:val="00774B97"/>
    <w:rsid w:val="00775193"/>
    <w:rsid w:val="0077753F"/>
    <w:rsid w:val="00780C1A"/>
    <w:rsid w:val="007813BD"/>
    <w:rsid w:val="007834A5"/>
    <w:rsid w:val="007838E3"/>
    <w:rsid w:val="007921A7"/>
    <w:rsid w:val="00792797"/>
    <w:rsid w:val="007A2F78"/>
    <w:rsid w:val="007A35B8"/>
    <w:rsid w:val="007A558F"/>
    <w:rsid w:val="007B124D"/>
    <w:rsid w:val="007B3DB1"/>
    <w:rsid w:val="007B586B"/>
    <w:rsid w:val="007B5EE6"/>
    <w:rsid w:val="007B6779"/>
    <w:rsid w:val="007C0978"/>
    <w:rsid w:val="007C162C"/>
    <w:rsid w:val="007C4F84"/>
    <w:rsid w:val="007D183E"/>
    <w:rsid w:val="007D2424"/>
    <w:rsid w:val="007D2514"/>
    <w:rsid w:val="007D5E87"/>
    <w:rsid w:val="007D5FB5"/>
    <w:rsid w:val="007D68A3"/>
    <w:rsid w:val="007E1781"/>
    <w:rsid w:val="007E1833"/>
    <w:rsid w:val="007E3D0D"/>
    <w:rsid w:val="007E3F13"/>
    <w:rsid w:val="007E4A80"/>
    <w:rsid w:val="007E64B3"/>
    <w:rsid w:val="007E6FAB"/>
    <w:rsid w:val="007F02DB"/>
    <w:rsid w:val="007F036A"/>
    <w:rsid w:val="007F18C7"/>
    <w:rsid w:val="007F225C"/>
    <w:rsid w:val="007F4AC8"/>
    <w:rsid w:val="007F535A"/>
    <w:rsid w:val="007F686B"/>
    <w:rsid w:val="007F751A"/>
    <w:rsid w:val="00800012"/>
    <w:rsid w:val="00801E03"/>
    <w:rsid w:val="00802150"/>
    <w:rsid w:val="008038F9"/>
    <w:rsid w:val="00804D08"/>
    <w:rsid w:val="00805CFD"/>
    <w:rsid w:val="008062B1"/>
    <w:rsid w:val="00810174"/>
    <w:rsid w:val="0081035D"/>
    <w:rsid w:val="00813D8C"/>
    <w:rsid w:val="00814980"/>
    <w:rsid w:val="0081513E"/>
    <w:rsid w:val="008162C4"/>
    <w:rsid w:val="00823CA4"/>
    <w:rsid w:val="00827CDD"/>
    <w:rsid w:val="0083274A"/>
    <w:rsid w:val="00833DF3"/>
    <w:rsid w:val="008408D1"/>
    <w:rsid w:val="00842D8B"/>
    <w:rsid w:val="00843C3D"/>
    <w:rsid w:val="008508BE"/>
    <w:rsid w:val="008514E1"/>
    <w:rsid w:val="0085302D"/>
    <w:rsid w:val="00853839"/>
    <w:rsid w:val="00854131"/>
    <w:rsid w:val="0085652D"/>
    <w:rsid w:val="008576C7"/>
    <w:rsid w:val="008616FC"/>
    <w:rsid w:val="00863401"/>
    <w:rsid w:val="0086344C"/>
    <w:rsid w:val="008701C2"/>
    <w:rsid w:val="008722E5"/>
    <w:rsid w:val="0087481A"/>
    <w:rsid w:val="00874D5A"/>
    <w:rsid w:val="0087694B"/>
    <w:rsid w:val="00877D26"/>
    <w:rsid w:val="0088215E"/>
    <w:rsid w:val="008829AB"/>
    <w:rsid w:val="00882EF7"/>
    <w:rsid w:val="0088563D"/>
    <w:rsid w:val="00886020"/>
    <w:rsid w:val="0089491B"/>
    <w:rsid w:val="00895CEB"/>
    <w:rsid w:val="008A1BA1"/>
    <w:rsid w:val="008A348C"/>
    <w:rsid w:val="008A5601"/>
    <w:rsid w:val="008A661E"/>
    <w:rsid w:val="008B1D97"/>
    <w:rsid w:val="008B2B65"/>
    <w:rsid w:val="008B581C"/>
    <w:rsid w:val="008B6D64"/>
    <w:rsid w:val="008C063F"/>
    <w:rsid w:val="008C2E74"/>
    <w:rsid w:val="008C2F69"/>
    <w:rsid w:val="008C2FFF"/>
    <w:rsid w:val="008C3723"/>
    <w:rsid w:val="008C4BC4"/>
    <w:rsid w:val="008D22CC"/>
    <w:rsid w:val="008D2882"/>
    <w:rsid w:val="008D465C"/>
    <w:rsid w:val="008E0E58"/>
    <w:rsid w:val="008E2AB3"/>
    <w:rsid w:val="008E3DDB"/>
    <w:rsid w:val="008E5177"/>
    <w:rsid w:val="008E542A"/>
    <w:rsid w:val="008E55E0"/>
    <w:rsid w:val="008E5D8C"/>
    <w:rsid w:val="008E7BA1"/>
    <w:rsid w:val="008F0B0A"/>
    <w:rsid w:val="008F1EDC"/>
    <w:rsid w:val="008F2C51"/>
    <w:rsid w:val="008F3B0E"/>
    <w:rsid w:val="008F4F21"/>
    <w:rsid w:val="008F54C5"/>
    <w:rsid w:val="008F6BC3"/>
    <w:rsid w:val="008F749C"/>
    <w:rsid w:val="00904D4A"/>
    <w:rsid w:val="0090571A"/>
    <w:rsid w:val="009057BF"/>
    <w:rsid w:val="0090629A"/>
    <w:rsid w:val="00906F02"/>
    <w:rsid w:val="00907878"/>
    <w:rsid w:val="009078AE"/>
    <w:rsid w:val="009128DE"/>
    <w:rsid w:val="00912D8C"/>
    <w:rsid w:val="009151BA"/>
    <w:rsid w:val="00915575"/>
    <w:rsid w:val="009165F9"/>
    <w:rsid w:val="00917A79"/>
    <w:rsid w:val="009208DF"/>
    <w:rsid w:val="00921A33"/>
    <w:rsid w:val="0092249F"/>
    <w:rsid w:val="00925023"/>
    <w:rsid w:val="0092668A"/>
    <w:rsid w:val="009277BC"/>
    <w:rsid w:val="00927D57"/>
    <w:rsid w:val="0093117C"/>
    <w:rsid w:val="00931A51"/>
    <w:rsid w:val="00932A80"/>
    <w:rsid w:val="00933190"/>
    <w:rsid w:val="0093628D"/>
    <w:rsid w:val="00937AE0"/>
    <w:rsid w:val="00937FCE"/>
    <w:rsid w:val="0094068E"/>
    <w:rsid w:val="00944222"/>
    <w:rsid w:val="00945465"/>
    <w:rsid w:val="00947185"/>
    <w:rsid w:val="00947353"/>
    <w:rsid w:val="00947480"/>
    <w:rsid w:val="00947903"/>
    <w:rsid w:val="0095403A"/>
    <w:rsid w:val="009566F7"/>
    <w:rsid w:val="00957FC3"/>
    <w:rsid w:val="00960FDA"/>
    <w:rsid w:val="0096211F"/>
    <w:rsid w:val="0096305B"/>
    <w:rsid w:val="00963CF4"/>
    <w:rsid w:val="00963D5C"/>
    <w:rsid w:val="00963D9D"/>
    <w:rsid w:val="00964B02"/>
    <w:rsid w:val="0096620E"/>
    <w:rsid w:val="009716CC"/>
    <w:rsid w:val="0097220D"/>
    <w:rsid w:val="0098013E"/>
    <w:rsid w:val="0098078F"/>
    <w:rsid w:val="00981B54"/>
    <w:rsid w:val="009842C3"/>
    <w:rsid w:val="00991C86"/>
    <w:rsid w:val="00992491"/>
    <w:rsid w:val="00993353"/>
    <w:rsid w:val="0099539C"/>
    <w:rsid w:val="009A009A"/>
    <w:rsid w:val="009A0E59"/>
    <w:rsid w:val="009A29D2"/>
    <w:rsid w:val="009A5B07"/>
    <w:rsid w:val="009A6BB6"/>
    <w:rsid w:val="009B0A0B"/>
    <w:rsid w:val="009B0AEB"/>
    <w:rsid w:val="009B2AD5"/>
    <w:rsid w:val="009B2E8B"/>
    <w:rsid w:val="009B3472"/>
    <w:rsid w:val="009B35A7"/>
    <w:rsid w:val="009B4F6D"/>
    <w:rsid w:val="009C0D9E"/>
    <w:rsid w:val="009C161F"/>
    <w:rsid w:val="009C33B4"/>
    <w:rsid w:val="009C4CAA"/>
    <w:rsid w:val="009C56B4"/>
    <w:rsid w:val="009C7AC5"/>
    <w:rsid w:val="009C7F3F"/>
    <w:rsid w:val="009D18E3"/>
    <w:rsid w:val="009D50E4"/>
    <w:rsid w:val="009D60E4"/>
    <w:rsid w:val="009D69C1"/>
    <w:rsid w:val="009D7747"/>
    <w:rsid w:val="009E1556"/>
    <w:rsid w:val="009E1E6B"/>
    <w:rsid w:val="009E3EE8"/>
    <w:rsid w:val="009E4AEC"/>
    <w:rsid w:val="009E5BD8"/>
    <w:rsid w:val="009E681E"/>
    <w:rsid w:val="009E7784"/>
    <w:rsid w:val="009F006F"/>
    <w:rsid w:val="009F1FE2"/>
    <w:rsid w:val="009F3D85"/>
    <w:rsid w:val="009F78E3"/>
    <w:rsid w:val="00A01E9B"/>
    <w:rsid w:val="00A0200D"/>
    <w:rsid w:val="00A025B0"/>
    <w:rsid w:val="00A030EF"/>
    <w:rsid w:val="00A03504"/>
    <w:rsid w:val="00A03942"/>
    <w:rsid w:val="00A04D89"/>
    <w:rsid w:val="00A051CB"/>
    <w:rsid w:val="00A06ED0"/>
    <w:rsid w:val="00A07778"/>
    <w:rsid w:val="00A12D36"/>
    <w:rsid w:val="00A1361D"/>
    <w:rsid w:val="00A13C6F"/>
    <w:rsid w:val="00A211F1"/>
    <w:rsid w:val="00A225ED"/>
    <w:rsid w:val="00A231E5"/>
    <w:rsid w:val="00A23730"/>
    <w:rsid w:val="00A24C20"/>
    <w:rsid w:val="00A2547E"/>
    <w:rsid w:val="00A32C52"/>
    <w:rsid w:val="00A33E5F"/>
    <w:rsid w:val="00A34D6F"/>
    <w:rsid w:val="00A3717D"/>
    <w:rsid w:val="00A41632"/>
    <w:rsid w:val="00A41F91"/>
    <w:rsid w:val="00A44165"/>
    <w:rsid w:val="00A44E4C"/>
    <w:rsid w:val="00A50AC9"/>
    <w:rsid w:val="00A51129"/>
    <w:rsid w:val="00A552F9"/>
    <w:rsid w:val="00A56D7E"/>
    <w:rsid w:val="00A56D83"/>
    <w:rsid w:val="00A60B06"/>
    <w:rsid w:val="00A63626"/>
    <w:rsid w:val="00A637C7"/>
    <w:rsid w:val="00A641B8"/>
    <w:rsid w:val="00A64274"/>
    <w:rsid w:val="00A64F3B"/>
    <w:rsid w:val="00A72C22"/>
    <w:rsid w:val="00A760D3"/>
    <w:rsid w:val="00A762F8"/>
    <w:rsid w:val="00A80198"/>
    <w:rsid w:val="00A806B8"/>
    <w:rsid w:val="00A83B90"/>
    <w:rsid w:val="00A84D25"/>
    <w:rsid w:val="00A84D30"/>
    <w:rsid w:val="00A909E3"/>
    <w:rsid w:val="00A93D2F"/>
    <w:rsid w:val="00A942FD"/>
    <w:rsid w:val="00A963DF"/>
    <w:rsid w:val="00AA3BBA"/>
    <w:rsid w:val="00AA3EE0"/>
    <w:rsid w:val="00AA7C6B"/>
    <w:rsid w:val="00AB04EE"/>
    <w:rsid w:val="00AB0D71"/>
    <w:rsid w:val="00AB0EAA"/>
    <w:rsid w:val="00AB3DA0"/>
    <w:rsid w:val="00AB725E"/>
    <w:rsid w:val="00AB79CE"/>
    <w:rsid w:val="00AC0CEA"/>
    <w:rsid w:val="00AC332C"/>
    <w:rsid w:val="00AC3896"/>
    <w:rsid w:val="00AC4D0A"/>
    <w:rsid w:val="00AC4E02"/>
    <w:rsid w:val="00AC7F92"/>
    <w:rsid w:val="00AD1022"/>
    <w:rsid w:val="00AD2A26"/>
    <w:rsid w:val="00AD4EC3"/>
    <w:rsid w:val="00AD7E90"/>
    <w:rsid w:val="00AE0791"/>
    <w:rsid w:val="00AE4EA0"/>
    <w:rsid w:val="00AE6223"/>
    <w:rsid w:val="00AE639D"/>
    <w:rsid w:val="00AF073B"/>
    <w:rsid w:val="00AF1FE2"/>
    <w:rsid w:val="00AF3325"/>
    <w:rsid w:val="00AF4270"/>
    <w:rsid w:val="00AF4E58"/>
    <w:rsid w:val="00AF5E35"/>
    <w:rsid w:val="00AF6D8B"/>
    <w:rsid w:val="00B01150"/>
    <w:rsid w:val="00B019D3"/>
    <w:rsid w:val="00B03072"/>
    <w:rsid w:val="00B07E56"/>
    <w:rsid w:val="00B13392"/>
    <w:rsid w:val="00B13EEF"/>
    <w:rsid w:val="00B221E4"/>
    <w:rsid w:val="00B22625"/>
    <w:rsid w:val="00B23CA9"/>
    <w:rsid w:val="00B23E85"/>
    <w:rsid w:val="00B244F8"/>
    <w:rsid w:val="00B257A9"/>
    <w:rsid w:val="00B3107C"/>
    <w:rsid w:val="00B32C59"/>
    <w:rsid w:val="00B33F4D"/>
    <w:rsid w:val="00B34CF9"/>
    <w:rsid w:val="00B34D0D"/>
    <w:rsid w:val="00B34EEE"/>
    <w:rsid w:val="00B35EBC"/>
    <w:rsid w:val="00B4455D"/>
    <w:rsid w:val="00B4468E"/>
    <w:rsid w:val="00B467A6"/>
    <w:rsid w:val="00B50D8C"/>
    <w:rsid w:val="00B5764D"/>
    <w:rsid w:val="00B614D6"/>
    <w:rsid w:val="00B63C0E"/>
    <w:rsid w:val="00B710AA"/>
    <w:rsid w:val="00B75166"/>
    <w:rsid w:val="00B7603E"/>
    <w:rsid w:val="00B806C6"/>
    <w:rsid w:val="00B820AD"/>
    <w:rsid w:val="00B82CD7"/>
    <w:rsid w:val="00B82FDA"/>
    <w:rsid w:val="00B85D96"/>
    <w:rsid w:val="00B90C45"/>
    <w:rsid w:val="00B9211C"/>
    <w:rsid w:val="00B933BE"/>
    <w:rsid w:val="00B935EF"/>
    <w:rsid w:val="00B9505B"/>
    <w:rsid w:val="00B95485"/>
    <w:rsid w:val="00B954FD"/>
    <w:rsid w:val="00B974AE"/>
    <w:rsid w:val="00BA1169"/>
    <w:rsid w:val="00BA21D8"/>
    <w:rsid w:val="00BA2633"/>
    <w:rsid w:val="00BA3589"/>
    <w:rsid w:val="00BA54B4"/>
    <w:rsid w:val="00BB1A9C"/>
    <w:rsid w:val="00BB26DE"/>
    <w:rsid w:val="00BB4902"/>
    <w:rsid w:val="00BB4970"/>
    <w:rsid w:val="00BB59FE"/>
    <w:rsid w:val="00BC0785"/>
    <w:rsid w:val="00BC2A90"/>
    <w:rsid w:val="00BC342B"/>
    <w:rsid w:val="00BC3C6D"/>
    <w:rsid w:val="00BC47B3"/>
    <w:rsid w:val="00BD3744"/>
    <w:rsid w:val="00BD558A"/>
    <w:rsid w:val="00BD55C7"/>
    <w:rsid w:val="00BD6738"/>
    <w:rsid w:val="00BD6ADA"/>
    <w:rsid w:val="00BD7E5E"/>
    <w:rsid w:val="00BE0AF9"/>
    <w:rsid w:val="00BE1516"/>
    <w:rsid w:val="00BE40DA"/>
    <w:rsid w:val="00BE4101"/>
    <w:rsid w:val="00BE6574"/>
    <w:rsid w:val="00BF708A"/>
    <w:rsid w:val="00C01237"/>
    <w:rsid w:val="00C070CC"/>
    <w:rsid w:val="00C076B0"/>
    <w:rsid w:val="00C1099B"/>
    <w:rsid w:val="00C1349A"/>
    <w:rsid w:val="00C13B99"/>
    <w:rsid w:val="00C14004"/>
    <w:rsid w:val="00C14D98"/>
    <w:rsid w:val="00C16FD2"/>
    <w:rsid w:val="00C2005B"/>
    <w:rsid w:val="00C20149"/>
    <w:rsid w:val="00C20E14"/>
    <w:rsid w:val="00C21234"/>
    <w:rsid w:val="00C21807"/>
    <w:rsid w:val="00C237DD"/>
    <w:rsid w:val="00C24BF8"/>
    <w:rsid w:val="00C266B1"/>
    <w:rsid w:val="00C318DE"/>
    <w:rsid w:val="00C31C7A"/>
    <w:rsid w:val="00C333AF"/>
    <w:rsid w:val="00C35807"/>
    <w:rsid w:val="00C36BC2"/>
    <w:rsid w:val="00C37978"/>
    <w:rsid w:val="00C40A03"/>
    <w:rsid w:val="00C40D33"/>
    <w:rsid w:val="00C420E1"/>
    <w:rsid w:val="00C4213A"/>
    <w:rsid w:val="00C42B24"/>
    <w:rsid w:val="00C43517"/>
    <w:rsid w:val="00C47120"/>
    <w:rsid w:val="00C53D95"/>
    <w:rsid w:val="00C53EB7"/>
    <w:rsid w:val="00C5404A"/>
    <w:rsid w:val="00C546AD"/>
    <w:rsid w:val="00C5565C"/>
    <w:rsid w:val="00C57E2C"/>
    <w:rsid w:val="00C608B7"/>
    <w:rsid w:val="00C6254B"/>
    <w:rsid w:val="00C6338E"/>
    <w:rsid w:val="00C653ED"/>
    <w:rsid w:val="00C66F24"/>
    <w:rsid w:val="00C733C9"/>
    <w:rsid w:val="00C74965"/>
    <w:rsid w:val="00C7779D"/>
    <w:rsid w:val="00C813AA"/>
    <w:rsid w:val="00C85CE5"/>
    <w:rsid w:val="00C86D59"/>
    <w:rsid w:val="00C8769E"/>
    <w:rsid w:val="00C878BE"/>
    <w:rsid w:val="00C87954"/>
    <w:rsid w:val="00C87CBA"/>
    <w:rsid w:val="00C87F4C"/>
    <w:rsid w:val="00C907B0"/>
    <w:rsid w:val="00C9084B"/>
    <w:rsid w:val="00C909B8"/>
    <w:rsid w:val="00C915E1"/>
    <w:rsid w:val="00C9291E"/>
    <w:rsid w:val="00CA0C47"/>
    <w:rsid w:val="00CA1BF5"/>
    <w:rsid w:val="00CA3F03"/>
    <w:rsid w:val="00CA3F44"/>
    <w:rsid w:val="00CA422D"/>
    <w:rsid w:val="00CA4E58"/>
    <w:rsid w:val="00CA6F6B"/>
    <w:rsid w:val="00CB04C8"/>
    <w:rsid w:val="00CB19E9"/>
    <w:rsid w:val="00CB29DE"/>
    <w:rsid w:val="00CB3771"/>
    <w:rsid w:val="00CB5153"/>
    <w:rsid w:val="00CC1D07"/>
    <w:rsid w:val="00CC42A8"/>
    <w:rsid w:val="00CC4D52"/>
    <w:rsid w:val="00CC52CA"/>
    <w:rsid w:val="00CC64B5"/>
    <w:rsid w:val="00CC7DF1"/>
    <w:rsid w:val="00CD4ECD"/>
    <w:rsid w:val="00CD6B95"/>
    <w:rsid w:val="00CE076A"/>
    <w:rsid w:val="00CE0C9A"/>
    <w:rsid w:val="00CE138B"/>
    <w:rsid w:val="00CE5BAA"/>
    <w:rsid w:val="00CE6B2F"/>
    <w:rsid w:val="00CF0003"/>
    <w:rsid w:val="00CF25C6"/>
    <w:rsid w:val="00CF7C07"/>
    <w:rsid w:val="00D00B69"/>
    <w:rsid w:val="00D02224"/>
    <w:rsid w:val="00D0237B"/>
    <w:rsid w:val="00D0250A"/>
    <w:rsid w:val="00D04D75"/>
    <w:rsid w:val="00D1032C"/>
    <w:rsid w:val="00D10BA0"/>
    <w:rsid w:val="00D10E3E"/>
    <w:rsid w:val="00D11D7C"/>
    <w:rsid w:val="00D14F19"/>
    <w:rsid w:val="00D16C57"/>
    <w:rsid w:val="00D2493A"/>
    <w:rsid w:val="00D24EB5"/>
    <w:rsid w:val="00D256E0"/>
    <w:rsid w:val="00D25870"/>
    <w:rsid w:val="00D2652F"/>
    <w:rsid w:val="00D27C2F"/>
    <w:rsid w:val="00D311FD"/>
    <w:rsid w:val="00D31B70"/>
    <w:rsid w:val="00D32FC7"/>
    <w:rsid w:val="00D3304E"/>
    <w:rsid w:val="00D3353B"/>
    <w:rsid w:val="00D33E65"/>
    <w:rsid w:val="00D35710"/>
    <w:rsid w:val="00D3617E"/>
    <w:rsid w:val="00D37D05"/>
    <w:rsid w:val="00D41571"/>
    <w:rsid w:val="00D416A0"/>
    <w:rsid w:val="00D418CA"/>
    <w:rsid w:val="00D44C69"/>
    <w:rsid w:val="00D47672"/>
    <w:rsid w:val="00D5123C"/>
    <w:rsid w:val="00D54C73"/>
    <w:rsid w:val="00D55560"/>
    <w:rsid w:val="00D55824"/>
    <w:rsid w:val="00D5714F"/>
    <w:rsid w:val="00D61C5A"/>
    <w:rsid w:val="00D62BDC"/>
    <w:rsid w:val="00D63CF3"/>
    <w:rsid w:val="00D64795"/>
    <w:rsid w:val="00D662E0"/>
    <w:rsid w:val="00D72BB3"/>
    <w:rsid w:val="00D739BD"/>
    <w:rsid w:val="00D7490E"/>
    <w:rsid w:val="00D76689"/>
    <w:rsid w:val="00D76763"/>
    <w:rsid w:val="00D76D6D"/>
    <w:rsid w:val="00D770D0"/>
    <w:rsid w:val="00D815E2"/>
    <w:rsid w:val="00D82BA7"/>
    <w:rsid w:val="00D835BF"/>
    <w:rsid w:val="00D86B62"/>
    <w:rsid w:val="00D87B25"/>
    <w:rsid w:val="00D87E20"/>
    <w:rsid w:val="00D9004A"/>
    <w:rsid w:val="00D91B45"/>
    <w:rsid w:val="00D9216F"/>
    <w:rsid w:val="00D93D43"/>
    <w:rsid w:val="00D9542E"/>
    <w:rsid w:val="00D96C8B"/>
    <w:rsid w:val="00DA3D24"/>
    <w:rsid w:val="00DA6FE4"/>
    <w:rsid w:val="00DA783D"/>
    <w:rsid w:val="00DB02AB"/>
    <w:rsid w:val="00DB64B6"/>
    <w:rsid w:val="00DC2B8C"/>
    <w:rsid w:val="00DC38F7"/>
    <w:rsid w:val="00DC7B0B"/>
    <w:rsid w:val="00DD0725"/>
    <w:rsid w:val="00DD2388"/>
    <w:rsid w:val="00DD48C6"/>
    <w:rsid w:val="00DD593F"/>
    <w:rsid w:val="00DE075A"/>
    <w:rsid w:val="00DE10A3"/>
    <w:rsid w:val="00DE2935"/>
    <w:rsid w:val="00DE66A5"/>
    <w:rsid w:val="00DE6A53"/>
    <w:rsid w:val="00DE6D7D"/>
    <w:rsid w:val="00DF2B50"/>
    <w:rsid w:val="00DF3EF7"/>
    <w:rsid w:val="00E00540"/>
    <w:rsid w:val="00E01B84"/>
    <w:rsid w:val="00E04C86"/>
    <w:rsid w:val="00E04CAF"/>
    <w:rsid w:val="00E1034D"/>
    <w:rsid w:val="00E126B4"/>
    <w:rsid w:val="00E12F98"/>
    <w:rsid w:val="00E131F4"/>
    <w:rsid w:val="00E132E8"/>
    <w:rsid w:val="00E133FC"/>
    <w:rsid w:val="00E15493"/>
    <w:rsid w:val="00E15ED5"/>
    <w:rsid w:val="00E20F30"/>
    <w:rsid w:val="00E2189C"/>
    <w:rsid w:val="00E21D93"/>
    <w:rsid w:val="00E23693"/>
    <w:rsid w:val="00E252C7"/>
    <w:rsid w:val="00E25BB1"/>
    <w:rsid w:val="00E27BBA"/>
    <w:rsid w:val="00E35E8F"/>
    <w:rsid w:val="00E37AB7"/>
    <w:rsid w:val="00E37DDD"/>
    <w:rsid w:val="00E428AB"/>
    <w:rsid w:val="00E430D7"/>
    <w:rsid w:val="00E4363D"/>
    <w:rsid w:val="00E438E8"/>
    <w:rsid w:val="00E4504A"/>
    <w:rsid w:val="00E46626"/>
    <w:rsid w:val="00E46AB3"/>
    <w:rsid w:val="00E51235"/>
    <w:rsid w:val="00E520E2"/>
    <w:rsid w:val="00E5320B"/>
    <w:rsid w:val="00E53350"/>
    <w:rsid w:val="00E56227"/>
    <w:rsid w:val="00E57677"/>
    <w:rsid w:val="00E61A12"/>
    <w:rsid w:val="00E64254"/>
    <w:rsid w:val="00E67F6C"/>
    <w:rsid w:val="00E713F8"/>
    <w:rsid w:val="00E766AB"/>
    <w:rsid w:val="00E76A08"/>
    <w:rsid w:val="00E821E7"/>
    <w:rsid w:val="00E844A5"/>
    <w:rsid w:val="00E92C14"/>
    <w:rsid w:val="00E94C18"/>
    <w:rsid w:val="00E951F7"/>
    <w:rsid w:val="00EA0E7A"/>
    <w:rsid w:val="00EA15B3"/>
    <w:rsid w:val="00EA1AFE"/>
    <w:rsid w:val="00EA42E0"/>
    <w:rsid w:val="00EA4B6E"/>
    <w:rsid w:val="00EB2358"/>
    <w:rsid w:val="00EB3EB8"/>
    <w:rsid w:val="00EB7F0C"/>
    <w:rsid w:val="00EC0081"/>
    <w:rsid w:val="00EC12CD"/>
    <w:rsid w:val="00ED14EC"/>
    <w:rsid w:val="00ED218A"/>
    <w:rsid w:val="00ED5A66"/>
    <w:rsid w:val="00EE1A7A"/>
    <w:rsid w:val="00EE1E54"/>
    <w:rsid w:val="00EE307A"/>
    <w:rsid w:val="00EE41CD"/>
    <w:rsid w:val="00EE74BC"/>
    <w:rsid w:val="00EE7F13"/>
    <w:rsid w:val="00EF4162"/>
    <w:rsid w:val="00EF500E"/>
    <w:rsid w:val="00EF6CDC"/>
    <w:rsid w:val="00EF7830"/>
    <w:rsid w:val="00F037FD"/>
    <w:rsid w:val="00F04521"/>
    <w:rsid w:val="00F04D62"/>
    <w:rsid w:val="00F17A66"/>
    <w:rsid w:val="00F23C01"/>
    <w:rsid w:val="00F242DD"/>
    <w:rsid w:val="00F254FE"/>
    <w:rsid w:val="00F2626D"/>
    <w:rsid w:val="00F2682C"/>
    <w:rsid w:val="00F26E4B"/>
    <w:rsid w:val="00F34DAB"/>
    <w:rsid w:val="00F43928"/>
    <w:rsid w:val="00F45AD0"/>
    <w:rsid w:val="00F468C5"/>
    <w:rsid w:val="00F51F3F"/>
    <w:rsid w:val="00F525E2"/>
    <w:rsid w:val="00F52F39"/>
    <w:rsid w:val="00F56CAF"/>
    <w:rsid w:val="00F57FCA"/>
    <w:rsid w:val="00F6078C"/>
    <w:rsid w:val="00F60A90"/>
    <w:rsid w:val="00F640A6"/>
    <w:rsid w:val="00F641F5"/>
    <w:rsid w:val="00F676E1"/>
    <w:rsid w:val="00F7094E"/>
    <w:rsid w:val="00F75C0C"/>
    <w:rsid w:val="00F82F07"/>
    <w:rsid w:val="00F9081E"/>
    <w:rsid w:val="00F914DD"/>
    <w:rsid w:val="00F940A4"/>
    <w:rsid w:val="00F94441"/>
    <w:rsid w:val="00FA02BB"/>
    <w:rsid w:val="00FA2358"/>
    <w:rsid w:val="00FA2381"/>
    <w:rsid w:val="00FA238F"/>
    <w:rsid w:val="00FA3A3C"/>
    <w:rsid w:val="00FA3E42"/>
    <w:rsid w:val="00FA621E"/>
    <w:rsid w:val="00FA74B7"/>
    <w:rsid w:val="00FB1BB8"/>
    <w:rsid w:val="00FB2592"/>
    <w:rsid w:val="00FB2810"/>
    <w:rsid w:val="00FB3828"/>
    <w:rsid w:val="00FB4D4B"/>
    <w:rsid w:val="00FB5A51"/>
    <w:rsid w:val="00FB6349"/>
    <w:rsid w:val="00FC1E3D"/>
    <w:rsid w:val="00FC1F2D"/>
    <w:rsid w:val="00FC2947"/>
    <w:rsid w:val="00FC2E7A"/>
    <w:rsid w:val="00FC748A"/>
    <w:rsid w:val="00FD07EF"/>
    <w:rsid w:val="00FD15B9"/>
    <w:rsid w:val="00FD1AE9"/>
    <w:rsid w:val="00FD1FB7"/>
    <w:rsid w:val="00FD4B75"/>
    <w:rsid w:val="00FE0818"/>
    <w:rsid w:val="00FE3EF5"/>
    <w:rsid w:val="00FE4F3C"/>
    <w:rsid w:val="00FE5528"/>
    <w:rsid w:val="00FE6386"/>
    <w:rsid w:val="00FE7A18"/>
    <w:rsid w:val="00FF042E"/>
    <w:rsid w:val="00FF3475"/>
    <w:rsid w:val="00FF4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050D"/>
  <w15:docId w15:val="{66EAD5B1-99DE-4353-8365-F2E6CE8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D0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Normalaftertitle0">
    <w:name w:val="Normal after title"/>
    <w:basedOn w:val="Normal"/>
    <w:next w:val="Normal"/>
    <w:link w:val="NormalaftertitleChar"/>
    <w:rsid w:val="006075DA"/>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paragraph" w:customStyle="1" w:styleId="headingi0">
    <w:name w:val="heading_i"/>
    <w:basedOn w:val="Heading3"/>
    <w:next w:val="Normal"/>
    <w:rsid w:val="006075DA"/>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cs="Times New Roman"/>
      <w:b w:val="0"/>
      <w:i/>
      <w:szCs w:val="20"/>
      <w:lang w:val="en-GB"/>
    </w:rPr>
  </w:style>
  <w:style w:type="paragraph" w:customStyle="1" w:styleId="CharCharCharCharCharChar">
    <w:name w:val="Char Char Char Char Char Char"/>
    <w:basedOn w:val="Normal"/>
    <w:rsid w:val="006075DA"/>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 w:val="24"/>
      <w:szCs w:val="20"/>
      <w:lang w:eastAsia="zh-CN"/>
    </w:rPr>
  </w:style>
  <w:style w:type="paragraph" w:customStyle="1" w:styleId="TableTitle">
    <w:name w:val="Table_Title"/>
    <w:basedOn w:val="Normal"/>
    <w:next w:val="Normal"/>
    <w:rsid w:val="006075DA"/>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 w:val="24"/>
      <w:szCs w:val="20"/>
      <w:lang w:val="en-GB"/>
    </w:rPr>
  </w:style>
  <w:style w:type="paragraph" w:styleId="Subtitle">
    <w:name w:val="Subtitle"/>
    <w:basedOn w:val="Normal"/>
    <w:link w:val="SubtitleChar"/>
    <w:qFormat/>
    <w:rsid w:val="006075DA"/>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6075DA"/>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075DA"/>
    <w:pPr>
      <w:overflowPunct/>
      <w:autoSpaceDE/>
      <w:autoSpaceDN/>
      <w:adjustRightInd/>
      <w:spacing w:before="120" w:line="240" w:lineRule="auto"/>
      <w:ind w:left="284"/>
      <w:jc w:val="left"/>
      <w:textAlignment w:val="auto"/>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6075DA"/>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113E8A"/>
    <w:rPr>
      <w:color w:val="808080"/>
    </w:rPr>
  </w:style>
  <w:style w:type="character" w:styleId="FollowedHyperlink">
    <w:name w:val="FollowedHyperlink"/>
    <w:basedOn w:val="DefaultParagraphFont"/>
    <w:rsid w:val="00113E8A"/>
    <w:rPr>
      <w:color w:val="800080" w:themeColor="followedHyperlink"/>
      <w:u w:val="single"/>
    </w:rPr>
  </w:style>
  <w:style w:type="paragraph" w:styleId="ListParagraph">
    <w:name w:val="List Paragraph"/>
    <w:basedOn w:val="Normal"/>
    <w:uiPriority w:val="34"/>
    <w:qFormat/>
    <w:rsid w:val="005659F4"/>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cs="Times New Roman"/>
      <w:sz w:val="24"/>
      <w:szCs w:val="20"/>
      <w:lang w:val="en-GB"/>
    </w:rPr>
  </w:style>
  <w:style w:type="paragraph" w:customStyle="1" w:styleId="AnnexNo">
    <w:name w:val="Annex_No"/>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eastAsia="Times New Roman" w:cs="Times New Roman"/>
      <w:caps/>
      <w:sz w:val="28"/>
      <w:szCs w:val="20"/>
      <w:lang w:val="en-GB"/>
    </w:rPr>
  </w:style>
  <w:style w:type="paragraph" w:customStyle="1" w:styleId="Annextitle">
    <w:name w:val="Annex_title"/>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cs="Times New Roman"/>
      <w:b/>
      <w:sz w:val="28"/>
      <w:szCs w:val="20"/>
      <w:lang w:val="en-GB"/>
    </w:rPr>
  </w:style>
  <w:style w:type="character" w:customStyle="1" w:styleId="FooterChar">
    <w:name w:val="Footer Char"/>
    <w:aliases w:val="footer odd Char,fo Char,footer Char"/>
    <w:basedOn w:val="DefaultParagraphFont"/>
    <w:link w:val="Footer"/>
    <w:uiPriority w:val="99"/>
    <w:rsid w:val="00726CC6"/>
    <w:rPr>
      <w:sz w:val="22"/>
      <w:szCs w:val="22"/>
      <w:lang w:val="en-US"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locked/>
    <w:rsid w:val="006A78A1"/>
    <w:rPr>
      <w:szCs w:val="22"/>
      <w:lang w:val="en-US" w:eastAsia="en-US"/>
    </w:rPr>
  </w:style>
  <w:style w:type="table" w:styleId="TableGrid">
    <w:name w:val="Table Grid"/>
    <w:basedOn w:val="TableNormal"/>
    <w:uiPriority w:val="39"/>
    <w:rsid w:val="00EA0E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23C01"/>
    <w:rPr>
      <w:szCs w:val="22"/>
      <w:lang w:val="en-US" w:eastAsia="en-US"/>
    </w:rPr>
  </w:style>
  <w:style w:type="character" w:styleId="UnresolvedMention">
    <w:name w:val="Unresolved Mention"/>
    <w:basedOn w:val="DefaultParagraphFont"/>
    <w:uiPriority w:val="99"/>
    <w:semiHidden/>
    <w:unhideWhenUsed/>
    <w:rsid w:val="00D256E0"/>
    <w:rPr>
      <w:color w:val="605E5C"/>
      <w:shd w:val="clear" w:color="auto" w:fill="E1DFDD"/>
    </w:rPr>
  </w:style>
  <w:style w:type="paragraph" w:styleId="EndnoteText">
    <w:name w:val="endnote text"/>
    <w:basedOn w:val="Normal"/>
    <w:link w:val="EndnoteTextChar"/>
    <w:uiPriority w:val="99"/>
    <w:semiHidden/>
    <w:unhideWhenUsed/>
    <w:rsid w:val="00AB3DA0"/>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AB3DA0"/>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AB3DA0"/>
    <w:rPr>
      <w:vertAlign w:val="superscript"/>
    </w:rPr>
  </w:style>
  <w:style w:type="paragraph" w:styleId="CommentSubject">
    <w:name w:val="annotation subject"/>
    <w:basedOn w:val="CommentText"/>
    <w:next w:val="CommentText"/>
    <w:link w:val="CommentSubjectChar"/>
    <w:semiHidden/>
    <w:unhideWhenUsed/>
    <w:rsid w:val="00426AB5"/>
    <w:pPr>
      <w:spacing w:line="240" w:lineRule="auto"/>
    </w:pPr>
    <w:rPr>
      <w:b/>
      <w:bCs/>
      <w:szCs w:val="20"/>
    </w:rPr>
  </w:style>
  <w:style w:type="character" w:customStyle="1" w:styleId="CommentSubjectChar">
    <w:name w:val="Comment Subject Char"/>
    <w:basedOn w:val="CommentTextChar"/>
    <w:link w:val="CommentSubject"/>
    <w:semiHidden/>
    <w:rsid w:val="00426AB5"/>
    <w:rPr>
      <w:b/>
      <w:bCs/>
      <w:szCs w:val="22"/>
      <w:lang w:val="en-US" w:eastAsia="en-US"/>
    </w:rPr>
  </w:style>
  <w:style w:type="paragraph" w:styleId="Revision">
    <w:name w:val="Revision"/>
    <w:hidden/>
    <w:uiPriority w:val="99"/>
    <w:semiHidden/>
    <w:rsid w:val="00833DF3"/>
    <w:rPr>
      <w:sz w:val="22"/>
      <w:szCs w:val="22"/>
      <w:lang w:val="en-US" w:eastAsia="en-US"/>
    </w:rPr>
  </w:style>
  <w:style w:type="paragraph" w:customStyle="1" w:styleId="Message">
    <w:name w:val="Message"/>
    <w:rsid w:val="008F6BC3"/>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character" w:customStyle="1" w:styleId="enumlev1Char">
    <w:name w:val="enumlev1 Char"/>
    <w:basedOn w:val="DefaultParagraphFont"/>
    <w:link w:val="enumlev1"/>
    <w:rsid w:val="00A03504"/>
    <w:rPr>
      <w:sz w:val="22"/>
      <w:szCs w:val="22"/>
      <w:lang w:val="en-US" w:eastAsia="en-US"/>
    </w:rPr>
  </w:style>
  <w:style w:type="character" w:customStyle="1" w:styleId="HeaderChar">
    <w:name w:val="Header Char"/>
    <w:aliases w:val="encabezado Char,he Char,encabezad Char"/>
    <w:basedOn w:val="DefaultParagraphFont"/>
    <w:link w:val="Header"/>
    <w:uiPriority w:val="99"/>
    <w:rsid w:val="00E126B4"/>
    <w:rPr>
      <w:sz w:val="22"/>
      <w:szCs w:val="22"/>
      <w:lang w:val="en-US" w:eastAsia="en-US"/>
    </w:rPr>
  </w:style>
  <w:style w:type="paragraph" w:customStyle="1" w:styleId="TextA">
    <w:name w:val="Text A"/>
    <w:rsid w:val="00E126B4"/>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olor w:val="000000"/>
      <w:sz w:val="24"/>
      <w:szCs w:val="24"/>
      <w:u w:color="000000"/>
      <w:bdr w:val="nil"/>
      <w:lang w:val="en-US"/>
    </w:rPr>
  </w:style>
  <w:style w:type="character" w:customStyle="1" w:styleId="Hyperlink0">
    <w:name w:val="Hyperlink.0"/>
    <w:basedOn w:val="DefaultParagraphFont"/>
    <w:rsid w:val="00E126B4"/>
    <w:rPr>
      <w:color w:val="0000FF"/>
      <w:u w:val="single" w:color="0000FF"/>
    </w:rPr>
  </w:style>
  <w:style w:type="paragraph" w:customStyle="1" w:styleId="call0">
    <w:name w:val="call"/>
    <w:basedOn w:val="Normal"/>
    <w:next w:val="Normal"/>
    <w:rsid w:val="008E542A"/>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cs="Times New Roman"/>
      <w:i/>
      <w:sz w:val="24"/>
      <w:szCs w:val="20"/>
      <w:lang w:val="en-GB"/>
    </w:rPr>
  </w:style>
  <w:style w:type="character" w:customStyle="1" w:styleId="NormalaftertitleChar">
    <w:name w:val="Normal after title Char"/>
    <w:basedOn w:val="DefaultParagraphFont"/>
    <w:link w:val="Normalaftertitle0"/>
    <w:rsid w:val="007D2424"/>
    <w:rPr>
      <w:rFonts w:ascii="Times New Roman" w:eastAsia="Times New Roman" w:hAnsi="Times New Roman" w:cs="Times New Roman"/>
      <w:sz w:val="24"/>
      <w:lang w:val="en-GB" w:eastAsia="en-US"/>
    </w:rPr>
  </w:style>
  <w:style w:type="character" w:customStyle="1" w:styleId="CallChar">
    <w:name w:val="Call Char"/>
    <w:link w:val="Call"/>
    <w:rsid w:val="007D2424"/>
    <w:rPr>
      <w:i/>
      <w:sz w:val="22"/>
      <w:szCs w:val="22"/>
      <w:lang w:val="en-US" w:eastAsia="en-US"/>
    </w:rPr>
  </w:style>
  <w:style w:type="paragraph" w:customStyle="1" w:styleId="Reasons">
    <w:name w:val="Reasons"/>
    <w:basedOn w:val="Normal"/>
    <w:link w:val="ReasonsChar"/>
    <w:qFormat/>
    <w:rsid w:val="003D021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paragraph" w:customStyle="1" w:styleId="Annexref">
    <w:name w:val="Annex_ref"/>
    <w:basedOn w:val="Normal"/>
    <w:next w:val="Annextitle"/>
    <w:rsid w:val="0001798C"/>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eastAsia="Times New Roman" w:cs="Times New Roman"/>
      <w:sz w:val="24"/>
      <w:szCs w:val="20"/>
      <w:lang w:val="en-GB"/>
    </w:rPr>
  </w:style>
  <w:style w:type="paragraph" w:customStyle="1" w:styleId="Subtitle1">
    <w:name w:val="Subtitle1"/>
    <w:basedOn w:val="Normal"/>
    <w:qFormat/>
    <w:rsid w:val="0001798C"/>
    <w:pPr>
      <w:framePr w:hSpace="180" w:wrap="around" w:hAnchor="text" w:x="1821" w:y="2317"/>
      <w:tabs>
        <w:tab w:val="clear" w:pos="794"/>
        <w:tab w:val="clear" w:pos="1191"/>
        <w:tab w:val="clear" w:pos="1588"/>
        <w:tab w:val="clear" w:pos="1985"/>
        <w:tab w:val="left" w:pos="567"/>
        <w:tab w:val="left" w:pos="1134"/>
        <w:tab w:val="left" w:pos="1701"/>
        <w:tab w:val="left" w:pos="2268"/>
        <w:tab w:val="left" w:pos="2835"/>
      </w:tabs>
      <w:spacing w:before="120" w:after="160" w:line="240" w:lineRule="auto"/>
      <w:jc w:val="left"/>
    </w:pPr>
    <w:rPr>
      <w:rFonts w:eastAsia="Times New Roman" w:cs="Times New Roman"/>
      <w:sz w:val="32"/>
      <w:szCs w:val="32"/>
      <w:lang w:val="en-GB"/>
    </w:rPr>
  </w:style>
  <w:style w:type="paragraph" w:customStyle="1" w:styleId="CEOMainDocParagraph">
    <w:name w:val="CEO_MainDoc_Paragraph"/>
    <w:basedOn w:val="Normal"/>
    <w:qFormat/>
    <w:rsid w:val="0001798C"/>
    <w:pPr>
      <w:tabs>
        <w:tab w:val="clear" w:pos="794"/>
        <w:tab w:val="clear" w:pos="1191"/>
        <w:tab w:val="clear" w:pos="1588"/>
        <w:tab w:val="clear" w:pos="1985"/>
      </w:tabs>
      <w:overflowPunct/>
      <w:autoSpaceDE/>
      <w:autoSpaceDN/>
      <w:adjustRightInd/>
      <w:spacing w:before="120" w:after="120" w:line="256" w:lineRule="auto"/>
      <w:jc w:val="left"/>
      <w:textAlignment w:val="auto"/>
    </w:pPr>
    <w:rPr>
      <w:rFonts w:asciiTheme="minorHAnsi" w:eastAsia="SimSun" w:hAnsiTheme="minorHAnsi" w:cstheme="minorBidi"/>
      <w:szCs w:val="19"/>
      <w:lang w:val="en-GB" w:eastAsia="zh-CN"/>
    </w:rPr>
  </w:style>
  <w:style w:type="character" w:customStyle="1" w:styleId="RestitleChar">
    <w:name w:val="Res_title Char"/>
    <w:link w:val="Restitle"/>
    <w:locked/>
    <w:rsid w:val="001C2E05"/>
    <w:rPr>
      <w:b/>
      <w:sz w:val="28"/>
      <w:szCs w:val="22"/>
      <w:lang w:val="en-US" w:eastAsia="en-US"/>
    </w:rPr>
  </w:style>
  <w:style w:type="character" w:customStyle="1" w:styleId="ui-provider">
    <w:name w:val="ui-provider"/>
    <w:basedOn w:val="DefaultParagraphFont"/>
    <w:rsid w:val="001C2E05"/>
  </w:style>
  <w:style w:type="character" w:styleId="Strong">
    <w:name w:val="Strong"/>
    <w:aliases w:val="ECC HL bold"/>
    <w:basedOn w:val="DefaultParagraphFont"/>
    <w:uiPriority w:val="1"/>
    <w:qFormat/>
    <w:rsid w:val="001C2E05"/>
    <w:rPr>
      <w:b/>
      <w:bCs/>
    </w:rPr>
  </w:style>
  <w:style w:type="character" w:customStyle="1" w:styleId="ReasonsChar">
    <w:name w:val="Reasons Char"/>
    <w:basedOn w:val="DefaultParagraphFont"/>
    <w:link w:val="Reasons"/>
    <w:rsid w:val="001C2E05"/>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6569">
      <w:bodyDiv w:val="1"/>
      <w:marLeft w:val="0"/>
      <w:marRight w:val="0"/>
      <w:marTop w:val="0"/>
      <w:marBottom w:val="0"/>
      <w:divBdr>
        <w:top w:val="none" w:sz="0" w:space="0" w:color="auto"/>
        <w:left w:val="none" w:sz="0" w:space="0" w:color="auto"/>
        <w:bottom w:val="none" w:sz="0" w:space="0" w:color="auto"/>
        <w:right w:val="none" w:sz="0" w:space="0" w:color="auto"/>
      </w:divBdr>
    </w:div>
    <w:div w:id="393621617">
      <w:bodyDiv w:val="1"/>
      <w:marLeft w:val="0"/>
      <w:marRight w:val="0"/>
      <w:marTop w:val="0"/>
      <w:marBottom w:val="0"/>
      <w:divBdr>
        <w:top w:val="none" w:sz="0" w:space="0" w:color="auto"/>
        <w:left w:val="none" w:sz="0" w:space="0" w:color="auto"/>
        <w:bottom w:val="none" w:sz="0" w:space="0" w:color="auto"/>
        <w:right w:val="none" w:sz="0" w:space="0" w:color="auto"/>
      </w:divBdr>
    </w:div>
    <w:div w:id="469635438">
      <w:bodyDiv w:val="1"/>
      <w:marLeft w:val="0"/>
      <w:marRight w:val="0"/>
      <w:marTop w:val="0"/>
      <w:marBottom w:val="0"/>
      <w:divBdr>
        <w:top w:val="none" w:sz="0" w:space="0" w:color="auto"/>
        <w:left w:val="none" w:sz="0" w:space="0" w:color="auto"/>
        <w:bottom w:val="none" w:sz="0" w:space="0" w:color="auto"/>
        <w:right w:val="none" w:sz="0" w:space="0" w:color="auto"/>
      </w:divBdr>
      <w:divsChild>
        <w:div w:id="2019309087">
          <w:marLeft w:val="0"/>
          <w:marRight w:val="0"/>
          <w:marTop w:val="0"/>
          <w:marBottom w:val="0"/>
          <w:divBdr>
            <w:top w:val="none" w:sz="0" w:space="0" w:color="auto"/>
            <w:left w:val="none" w:sz="0" w:space="0" w:color="auto"/>
            <w:bottom w:val="none" w:sz="0" w:space="0" w:color="auto"/>
            <w:right w:val="none" w:sz="0" w:space="0" w:color="auto"/>
          </w:divBdr>
        </w:div>
        <w:div w:id="1304314712">
          <w:marLeft w:val="0"/>
          <w:marRight w:val="0"/>
          <w:marTop w:val="0"/>
          <w:marBottom w:val="0"/>
          <w:divBdr>
            <w:top w:val="none" w:sz="0" w:space="0" w:color="auto"/>
            <w:left w:val="none" w:sz="0" w:space="0" w:color="auto"/>
            <w:bottom w:val="none" w:sz="0" w:space="0" w:color="auto"/>
            <w:right w:val="none" w:sz="0" w:space="0" w:color="auto"/>
          </w:divBdr>
        </w:div>
        <w:div w:id="791675321">
          <w:marLeft w:val="0"/>
          <w:marRight w:val="0"/>
          <w:marTop w:val="0"/>
          <w:marBottom w:val="0"/>
          <w:divBdr>
            <w:top w:val="none" w:sz="0" w:space="0" w:color="auto"/>
            <w:left w:val="none" w:sz="0" w:space="0" w:color="auto"/>
            <w:bottom w:val="none" w:sz="0" w:space="0" w:color="auto"/>
            <w:right w:val="none" w:sz="0" w:space="0" w:color="auto"/>
          </w:divBdr>
        </w:div>
        <w:div w:id="821506167">
          <w:marLeft w:val="0"/>
          <w:marRight w:val="0"/>
          <w:marTop w:val="0"/>
          <w:marBottom w:val="0"/>
          <w:divBdr>
            <w:top w:val="none" w:sz="0" w:space="0" w:color="auto"/>
            <w:left w:val="none" w:sz="0" w:space="0" w:color="auto"/>
            <w:bottom w:val="none" w:sz="0" w:space="0" w:color="auto"/>
            <w:right w:val="none" w:sz="0" w:space="0" w:color="auto"/>
          </w:divBdr>
        </w:div>
        <w:div w:id="1323849218">
          <w:marLeft w:val="0"/>
          <w:marRight w:val="0"/>
          <w:marTop w:val="0"/>
          <w:marBottom w:val="0"/>
          <w:divBdr>
            <w:top w:val="none" w:sz="0" w:space="0" w:color="auto"/>
            <w:left w:val="none" w:sz="0" w:space="0" w:color="auto"/>
            <w:bottom w:val="none" w:sz="0" w:space="0" w:color="auto"/>
            <w:right w:val="none" w:sz="0" w:space="0" w:color="auto"/>
          </w:divBdr>
        </w:div>
      </w:divsChild>
    </w:div>
    <w:div w:id="511918270">
      <w:bodyDiv w:val="1"/>
      <w:marLeft w:val="0"/>
      <w:marRight w:val="0"/>
      <w:marTop w:val="0"/>
      <w:marBottom w:val="0"/>
      <w:divBdr>
        <w:top w:val="none" w:sz="0" w:space="0" w:color="auto"/>
        <w:left w:val="none" w:sz="0" w:space="0" w:color="auto"/>
        <w:bottom w:val="none" w:sz="0" w:space="0" w:color="auto"/>
        <w:right w:val="none" w:sz="0" w:space="0" w:color="auto"/>
      </w:divBdr>
    </w:div>
    <w:div w:id="570505232">
      <w:bodyDiv w:val="1"/>
      <w:marLeft w:val="0"/>
      <w:marRight w:val="0"/>
      <w:marTop w:val="0"/>
      <w:marBottom w:val="0"/>
      <w:divBdr>
        <w:top w:val="none" w:sz="0" w:space="0" w:color="auto"/>
        <w:left w:val="none" w:sz="0" w:space="0" w:color="auto"/>
        <w:bottom w:val="none" w:sz="0" w:space="0" w:color="auto"/>
        <w:right w:val="none" w:sz="0" w:space="0" w:color="auto"/>
      </w:divBdr>
    </w:div>
    <w:div w:id="851072858">
      <w:bodyDiv w:val="1"/>
      <w:marLeft w:val="0"/>
      <w:marRight w:val="0"/>
      <w:marTop w:val="0"/>
      <w:marBottom w:val="0"/>
      <w:divBdr>
        <w:top w:val="none" w:sz="0" w:space="0" w:color="auto"/>
        <w:left w:val="none" w:sz="0" w:space="0" w:color="auto"/>
        <w:bottom w:val="none" w:sz="0" w:space="0" w:color="auto"/>
        <w:right w:val="none" w:sz="0" w:space="0" w:color="auto"/>
      </w:divBdr>
    </w:div>
    <w:div w:id="9539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132/en" TargetMode="External"/><Relationship Id="rId18" Type="http://schemas.openxmlformats.org/officeDocument/2006/relationships/header" Target="header2.xml"/><Relationship Id="rId26" Type="http://schemas.openxmlformats.org/officeDocument/2006/relationships/hyperlink" Target="mailto:memberstates@itu.int" TargetMode="External"/><Relationship Id="rId3" Type="http://schemas.openxmlformats.org/officeDocument/2006/relationships/customXml" Target="../customXml/item3.xml"/><Relationship Id="rId21" Type="http://schemas.openxmlformats.org/officeDocument/2006/relationships/hyperlink" Target="https://www.itu.int/md/S24-CL-C-0124/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4-CL-C-0124/en" TargetMode="External"/><Relationship Id="rId17" Type="http://schemas.openxmlformats.org/officeDocument/2006/relationships/header" Target="header1.xml"/><Relationship Id="rId25" Type="http://schemas.openxmlformats.org/officeDocument/2006/relationships/hyperlink" Target="https://www.itu.int/crmapp/online-consultation/"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emberstates@itu.int"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tates@itu.int" TargetMode="External"/><Relationship Id="rId24" Type="http://schemas.openxmlformats.org/officeDocument/2006/relationships/hyperlink" Target="https://www.itu.int/md/S24-CL-C-0132/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mberstates@itu.int" TargetMode="External"/><Relationship Id="rId23" Type="http://schemas.openxmlformats.org/officeDocument/2006/relationships/hyperlink" Target="https://www.itu.int/md/S24-CL-C-0125/en"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crmapp/online-consultation/" TargetMode="External"/><Relationship Id="rId22" Type="http://schemas.openxmlformats.org/officeDocument/2006/relationships/hyperlink" Target="https://www.itu.int/md/S24-CL-C-0030/en" TargetMode="External"/><Relationship Id="rId27" Type="http://schemas.openxmlformats.org/officeDocument/2006/relationships/hyperlink" Target="https://www.itu.int/md/S24-CL-C-0007/en" TargetMode="External"/><Relationship Id="rId30" Type="http://schemas.openxmlformats.org/officeDocument/2006/relationships/header" Target="header6.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in\application%20data\microsoft\templates\itu\letter-fax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1705CDD49044E0AE2C9D9CB691DEEA"/>
        <w:category>
          <w:name w:val="General"/>
          <w:gallery w:val="placeholder"/>
        </w:category>
        <w:types>
          <w:type w:val="bbPlcHdr"/>
        </w:types>
        <w:behaviors>
          <w:behavior w:val="content"/>
        </w:behaviors>
        <w:guid w:val="{66478F55-D11E-48FC-88B4-D7BD0EC64642}"/>
      </w:docPartPr>
      <w:docPartBody>
        <w:p w:rsidR="004656EC" w:rsidRDefault="00F478A8">
          <w:pPr>
            <w:pStyle w:val="831705CDD49044E0AE2C9D9CB691DEE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Bo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8A8"/>
    <w:rsid w:val="00036E5D"/>
    <w:rsid w:val="000868DC"/>
    <w:rsid w:val="000F2201"/>
    <w:rsid w:val="0012328E"/>
    <w:rsid w:val="00132F58"/>
    <w:rsid w:val="00144DC4"/>
    <w:rsid w:val="00175991"/>
    <w:rsid w:val="00187B85"/>
    <w:rsid w:val="002942A2"/>
    <w:rsid w:val="002C5470"/>
    <w:rsid w:val="0039602F"/>
    <w:rsid w:val="00397932"/>
    <w:rsid w:val="003A42CE"/>
    <w:rsid w:val="0042202C"/>
    <w:rsid w:val="00457FC9"/>
    <w:rsid w:val="004656EC"/>
    <w:rsid w:val="00467446"/>
    <w:rsid w:val="00481B6A"/>
    <w:rsid w:val="00582CD3"/>
    <w:rsid w:val="00662BC6"/>
    <w:rsid w:val="006D7255"/>
    <w:rsid w:val="006E61A6"/>
    <w:rsid w:val="006F5031"/>
    <w:rsid w:val="00703150"/>
    <w:rsid w:val="0071645B"/>
    <w:rsid w:val="00716FC5"/>
    <w:rsid w:val="00733F9D"/>
    <w:rsid w:val="00763B99"/>
    <w:rsid w:val="007B5392"/>
    <w:rsid w:val="007F036A"/>
    <w:rsid w:val="007F7FF0"/>
    <w:rsid w:val="00877D26"/>
    <w:rsid w:val="008A00EE"/>
    <w:rsid w:val="008B1ACC"/>
    <w:rsid w:val="008B7B72"/>
    <w:rsid w:val="008F306C"/>
    <w:rsid w:val="00964949"/>
    <w:rsid w:val="00993DC8"/>
    <w:rsid w:val="009A684D"/>
    <w:rsid w:val="009A6B72"/>
    <w:rsid w:val="009B1C38"/>
    <w:rsid w:val="00A7690B"/>
    <w:rsid w:val="00AA79D3"/>
    <w:rsid w:val="00AB3FD5"/>
    <w:rsid w:val="00AC0BC9"/>
    <w:rsid w:val="00B05BBD"/>
    <w:rsid w:val="00B2488F"/>
    <w:rsid w:val="00B35EBC"/>
    <w:rsid w:val="00BE40DA"/>
    <w:rsid w:val="00BF73EF"/>
    <w:rsid w:val="00C13B99"/>
    <w:rsid w:val="00C505D5"/>
    <w:rsid w:val="00C57DB7"/>
    <w:rsid w:val="00C71A4A"/>
    <w:rsid w:val="00C86BAA"/>
    <w:rsid w:val="00CB3892"/>
    <w:rsid w:val="00CC1D07"/>
    <w:rsid w:val="00D2652F"/>
    <w:rsid w:val="00DF3EB1"/>
    <w:rsid w:val="00E27457"/>
    <w:rsid w:val="00E57677"/>
    <w:rsid w:val="00E64C1C"/>
    <w:rsid w:val="00E80459"/>
    <w:rsid w:val="00E90B47"/>
    <w:rsid w:val="00EB17B0"/>
    <w:rsid w:val="00EB4B12"/>
    <w:rsid w:val="00EC2AF5"/>
    <w:rsid w:val="00F26907"/>
    <w:rsid w:val="00F405A5"/>
    <w:rsid w:val="00F478A8"/>
    <w:rsid w:val="00F74802"/>
    <w:rsid w:val="00FA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EC"/>
    <w:rPr>
      <w:color w:val="808080"/>
    </w:rPr>
  </w:style>
  <w:style w:type="paragraph" w:customStyle="1" w:styleId="831705CDD49044E0AE2C9D9CB691DEEA">
    <w:name w:val="831705CDD49044E0AE2C9D9CB691DEEA"/>
    <w:rsid w:val="00465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10606-4D5C-482B-AF49-105ADD361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51FE0-E905-41A6-BD22-7E73314AC712}">
  <ds:schemaRefs>
    <ds:schemaRef ds:uri="http://schemas.openxmlformats.org/officeDocument/2006/bibliography"/>
  </ds:schemaRefs>
</ds:datastoreItem>
</file>

<file path=customXml/itemProps3.xml><?xml version="1.0" encoding="utf-8"?>
<ds:datastoreItem xmlns:ds="http://schemas.openxmlformats.org/officeDocument/2006/customXml" ds:itemID="{44F2E575-E07A-4601-A80A-03ACE09D8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7277C-C62B-4838-A365-6338ADB5E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11</Pages>
  <Words>3203</Words>
  <Characters>18260</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2020 Session of the Council</vt:lpstr>
      <vt:lpstr>ITU-T Rec. Book 1 Resolutions ITU-T Series A Recommendations:</vt:lpstr>
    </vt:vector>
  </TitlesOfParts>
  <Company>ITU</Company>
  <LinksUpToDate>false</LinksUpToDate>
  <CharactersWithSpaces>21421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Session of the Council</dc:title>
  <dc:subject/>
  <dc:creator>Janin</dc:creator>
  <cp:keywords>C20</cp:keywords>
  <dc:description/>
  <cp:lastModifiedBy>Diallo, Maywenn</cp:lastModifiedBy>
  <cp:revision>2</cp:revision>
  <cp:lastPrinted>2020-06-19T09:08:00Z</cp:lastPrinted>
  <dcterms:created xsi:type="dcterms:W3CDTF">2024-06-24T11:47:00Z</dcterms:created>
  <dcterms:modified xsi:type="dcterms:W3CDTF">2024-06-24T11:47:00Z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0x010100B638F4433E584047A097BE66491F0F20</vt:lpwstr>
  </property>
</Properties>
</file>