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4560" w:rsidRDefault="007A7377" w:rsidP="009F3E45">
      <w:pPr>
        <w:pStyle w:val="RecNo"/>
        <w:spacing w:before="0"/>
      </w:pPr>
      <w:bookmarkStart w:id="0" w:name="_Toc414237053"/>
      <w:bookmarkStart w:id="1" w:name="_Toc164569928"/>
      <w:r>
        <w:t>RECOMMENDATION</w:t>
      </w:r>
      <w:r w:rsidR="00994560">
        <w:t xml:space="preserve"> </w:t>
      </w:r>
      <w:r w:rsidR="00994560">
        <w:rPr>
          <w:rStyle w:val="href"/>
        </w:rPr>
        <w:t>1</w:t>
      </w:r>
      <w:bookmarkEnd w:id="0"/>
      <w:r w:rsidR="00994560">
        <w:t xml:space="preserve"> (Kyoto, 1994)</w:t>
      </w:r>
      <w:bookmarkEnd w:id="1"/>
    </w:p>
    <w:p w:rsidR="00994560" w:rsidRDefault="00994560" w:rsidP="001524A3">
      <w:pPr>
        <w:pStyle w:val="Rectitle"/>
      </w:pPr>
      <w:bookmarkStart w:id="2" w:name="_Toc414237054"/>
      <w:bookmarkStart w:id="3" w:name="_Toc164569929"/>
      <w:r>
        <w:t>Deposit</w:t>
      </w:r>
      <w:r w:rsidR="007A7377">
        <w:t xml:space="preserve"> of instruments relating to the</w:t>
      </w:r>
      <w:r>
        <w:br/>
        <w:t xml:space="preserve">Constitution and </w:t>
      </w:r>
      <w:r w:rsidR="007A7377">
        <w:t>Convention of the International</w:t>
      </w:r>
      <w:r>
        <w:br/>
        <w:t>Telecommunication Union (Geneva, 1992)</w:t>
      </w:r>
      <w:bookmarkEnd w:id="2"/>
      <w:bookmarkEnd w:id="3"/>
    </w:p>
    <w:p w:rsidR="00994560" w:rsidRDefault="00994560" w:rsidP="00994560">
      <w:pPr>
        <w:pStyle w:val="Normalaftertitle"/>
      </w:pPr>
      <w:r>
        <w:t>The Plenipotentiary Conference of the International Telecommunication Union (Kyoto, 1994),</w:t>
      </w:r>
    </w:p>
    <w:p w:rsidR="00994560" w:rsidRDefault="00994560" w:rsidP="00994560">
      <w:pPr>
        <w:pStyle w:val="Call"/>
      </w:pPr>
      <w:r>
        <w:t>taking into account</w:t>
      </w:r>
    </w:p>
    <w:p w:rsidR="00994560" w:rsidRDefault="00994560" w:rsidP="00994560">
      <w:r>
        <w:t>Recommendation 1 of the Additional Plenipotentiary Conference (Geneva, 1992) on the deposit of instruments and the entry into force of the Constitution and Convention of the International Telecommunication Union,</w:t>
      </w:r>
    </w:p>
    <w:p w:rsidR="00994560" w:rsidRDefault="00994560" w:rsidP="00994560">
      <w:pPr>
        <w:pStyle w:val="Call"/>
      </w:pPr>
      <w:r>
        <w:t>considering</w:t>
      </w:r>
    </w:p>
    <w:p w:rsidR="00994560" w:rsidRDefault="00994560" w:rsidP="00994560">
      <w:r>
        <w:t>that, pursuant to No. 238 of Article 58 of the Constitution, the instruments of the Union referred to above entered into force on 1 July 1994 between Members having deposited their instrument of ratification, acceptance, approval or accession before that date,</w:t>
      </w:r>
    </w:p>
    <w:p w:rsidR="00994560" w:rsidRDefault="00994560" w:rsidP="00994560">
      <w:pPr>
        <w:pStyle w:val="Call"/>
      </w:pPr>
      <w:r>
        <w:t>considering further</w:t>
      </w:r>
    </w:p>
    <w:p w:rsidR="00994560" w:rsidRDefault="00994560" w:rsidP="00994560">
      <w:r>
        <w:t>that it is in the interest of the Union that all Members become parties to the said Constitution and the Convention as soon as possible,</w:t>
      </w:r>
    </w:p>
    <w:p w:rsidR="00994560" w:rsidRDefault="00994560" w:rsidP="00994560">
      <w:pPr>
        <w:pStyle w:val="Call"/>
      </w:pPr>
      <w:r>
        <w:t>invites</w:t>
      </w:r>
    </w:p>
    <w:p w:rsidR="00994560" w:rsidRDefault="00994560" w:rsidP="00994560">
      <w:r>
        <w:t>all the Members of the Union which have not already done so to expedite their respective national procedures for ratification, acceptance or approval of (see Article 52 of the Constitution), or accession to (see Article 53 of the Constitution) the Constitution and Convention of the International Telecommunication Union (Geneva, 1992) and to deposit their respective “single instrument” with the Secretary-General as soon as possible,</w:t>
      </w:r>
    </w:p>
    <w:p w:rsidR="00994560" w:rsidRDefault="00994560" w:rsidP="006C0C1C">
      <w:pPr>
        <w:pStyle w:val="Call"/>
        <w:keepNext w:val="0"/>
        <w:keepLines w:val="0"/>
        <w:pageBreakBefore/>
      </w:pPr>
      <w:r>
        <w:lastRenderedPageBreak/>
        <w:t>instructs the Secretary-General</w:t>
      </w:r>
    </w:p>
    <w:p w:rsidR="00994560" w:rsidRDefault="00994560" w:rsidP="00994560">
      <w:r>
        <w:t>to bring this Recommendation to the attention of all the Members of the Union and to recall its contents periodically, as he sees fit, to those Members of the Union which have not yet deposited their respective instrument.</w:t>
      </w:r>
    </w:p>
    <w:p w:rsidR="006C0C1C" w:rsidRPr="00F4513C" w:rsidRDefault="006C0C1C" w:rsidP="006C0C1C">
      <w:pPr>
        <w:pStyle w:val="refbasdepage"/>
        <w:rPr>
          <w:lang w:val="es-ES_tradnl"/>
        </w:rPr>
      </w:pPr>
      <w:r w:rsidRPr="00F4513C">
        <w:rPr>
          <w:lang w:val="es-ES_tradnl"/>
        </w:rPr>
        <w:t>(</w:t>
      </w:r>
      <w:r>
        <w:t>Kyoto, 1994</w:t>
      </w:r>
      <w:r w:rsidRPr="00F4513C">
        <w:rPr>
          <w:lang w:val="es-ES_tradnl"/>
        </w:rPr>
        <w:t>)</w:t>
      </w:r>
    </w:p>
    <w:p w:rsidR="006C0C1C" w:rsidRDefault="006C0C1C"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Pr="00F4513C" w:rsidRDefault="00EF06E4" w:rsidP="006C0C1C">
      <w:pPr>
        <w:rPr>
          <w:lang w:val="es-ES_tradnl"/>
        </w:rPr>
      </w:pPr>
    </w:p>
    <w:p w:rsidR="006C0C1C" w:rsidRDefault="006C0C1C">
      <w:pPr>
        <w:tabs>
          <w:tab w:val="clear" w:pos="567"/>
          <w:tab w:val="clear" w:pos="1134"/>
          <w:tab w:val="clear" w:pos="1701"/>
          <w:tab w:val="clear" w:pos="2268"/>
          <w:tab w:val="clear" w:pos="2835"/>
        </w:tabs>
        <w:overflowPunct/>
        <w:autoSpaceDE/>
        <w:autoSpaceDN/>
        <w:adjustRightInd/>
        <w:spacing w:before="0"/>
        <w:jc w:val="left"/>
        <w:textAlignment w:val="auto"/>
      </w:pPr>
      <w:r>
        <w:br w:type="page"/>
      </w:r>
    </w:p>
    <w:p w:rsidR="00994560" w:rsidRDefault="00994560" w:rsidP="001E77CB">
      <w:pPr>
        <w:pStyle w:val="RecNo"/>
      </w:pPr>
      <w:bookmarkStart w:id="4" w:name="_Toc414237055"/>
      <w:bookmarkStart w:id="5" w:name="_Toc164569930"/>
      <w:r>
        <w:lastRenderedPageBreak/>
        <w:t xml:space="preserve">RECOMMENDATION </w:t>
      </w:r>
      <w:r>
        <w:rPr>
          <w:rStyle w:val="href"/>
        </w:rPr>
        <w:t>2</w:t>
      </w:r>
      <w:bookmarkEnd w:id="4"/>
      <w:r>
        <w:t xml:space="preserve"> (Kyoto, 1994)</w:t>
      </w:r>
      <w:bookmarkEnd w:id="5"/>
    </w:p>
    <w:p w:rsidR="00994560" w:rsidRDefault="00994560" w:rsidP="001E77CB">
      <w:pPr>
        <w:pStyle w:val="Rectitle"/>
      </w:pPr>
      <w:bookmarkStart w:id="6" w:name="_Toc414237056"/>
      <w:bookmarkStart w:id="7" w:name="_Toc164569931"/>
      <w:r>
        <w:t xml:space="preserve">Unrestricted transmission of news and </w:t>
      </w:r>
      <w:r>
        <w:br/>
        <w:t>the right to communicate</w:t>
      </w:r>
      <w:bookmarkEnd w:id="6"/>
      <w:bookmarkEnd w:id="7"/>
    </w:p>
    <w:p w:rsidR="00994560" w:rsidRDefault="00994560" w:rsidP="00994560">
      <w:pPr>
        <w:pStyle w:val="Normalaftertitle"/>
      </w:pPr>
      <w:r>
        <w:t>The Plenipotentiary Conference of the International Telecommunication Union (Kyoto, 1994),</w:t>
      </w:r>
    </w:p>
    <w:p w:rsidR="00994560" w:rsidRDefault="00994560" w:rsidP="00994560">
      <w:pPr>
        <w:pStyle w:val="Call"/>
      </w:pPr>
      <w:r>
        <w:t>in view of</w:t>
      </w:r>
    </w:p>
    <w:p w:rsidR="00994560" w:rsidRDefault="00994560" w:rsidP="00994560">
      <w:r w:rsidRPr="00C16037">
        <w:rPr>
          <w:i/>
          <w:iCs/>
        </w:rPr>
        <w:t>a)</w:t>
      </w:r>
      <w:r>
        <w:tab/>
        <w:t>the Universal Declaration of Human Rights, adopted by the United Nations General Assembly on 10 December 1948;</w:t>
      </w:r>
    </w:p>
    <w:p w:rsidR="00994560" w:rsidRDefault="00994560" w:rsidP="00994560">
      <w:r w:rsidRPr="00C16037">
        <w:rPr>
          <w:i/>
          <w:iCs/>
        </w:rPr>
        <w:t>b)</w:t>
      </w:r>
      <w:r>
        <w:tab/>
        <w:t>the Preamble and Articles 1, 33, 34 and 35 of the Constitution of the International Telecommunication Union (Geneva, 1992);</w:t>
      </w:r>
    </w:p>
    <w:p w:rsidR="00994560" w:rsidRDefault="00994560" w:rsidP="00994560">
      <w:r w:rsidRPr="00C16037">
        <w:rPr>
          <w:i/>
          <w:iCs/>
        </w:rPr>
        <w:t>c)</w:t>
      </w:r>
      <w:r>
        <w:tab/>
        <w:t>the provision of the Constitution of the United Nations Educational, Scientific and Cultural Organization (UNESCO) concerning the free flow of ideas by words and images and the declaration on the basic principles, adopted by the XXth session of the UNESCO General Conference, concerning the contribution of the mass media to strengthening peace and international understanding, to the promotion of human rights and to countering racialism, apartheid and incitement to war and the relevant resolutions of the XXIst session of the UNESCO General Conference;</w:t>
      </w:r>
    </w:p>
    <w:p w:rsidR="00994560" w:rsidRDefault="00994560" w:rsidP="00994560">
      <w:r w:rsidRPr="00C16037">
        <w:rPr>
          <w:i/>
          <w:iCs/>
        </w:rPr>
        <w:t>d)</w:t>
      </w:r>
      <w:r>
        <w:tab/>
        <w:t>the recommendations of the World Conference on Human Rights adopted in Vienna in 1993, to the effect that the promotion and protection of human rights is a matter of priority for the international community,</w:t>
      </w:r>
    </w:p>
    <w:p w:rsidR="00994560" w:rsidRDefault="00994560" w:rsidP="00994560">
      <w:pPr>
        <w:pStyle w:val="Call"/>
      </w:pPr>
      <w:r>
        <w:t>conscious of</w:t>
      </w:r>
    </w:p>
    <w:p w:rsidR="00994560" w:rsidRDefault="00994560" w:rsidP="00994560">
      <w:r>
        <w:t>the noble principles that news should be freely transmitted and that the right to communicate is a basic human right,</w:t>
      </w:r>
    </w:p>
    <w:p w:rsidR="00994560" w:rsidRDefault="00994560" w:rsidP="006C0C1C">
      <w:pPr>
        <w:pStyle w:val="Call"/>
        <w:keepNext w:val="0"/>
        <w:keepLines w:val="0"/>
        <w:pageBreakBefore/>
      </w:pPr>
      <w:r>
        <w:lastRenderedPageBreak/>
        <w:t>conscious also of</w:t>
      </w:r>
    </w:p>
    <w:p w:rsidR="00994560" w:rsidRDefault="00994560" w:rsidP="00994560">
      <w:r>
        <w:t>the importance of the fact that these noble principles will promote the dissemination of news, thus strengthening peace, cooperation, mutual understanding between peoples and the spiritual enrichment of the human personality, as well as dissemination of culture and education among all people irrespective of their race, sex, language or religion,</w:t>
      </w:r>
    </w:p>
    <w:p w:rsidR="00994560" w:rsidRDefault="00994560" w:rsidP="00994560">
      <w:pPr>
        <w:pStyle w:val="Call"/>
      </w:pPr>
      <w:r>
        <w:t>recommends</w:t>
      </w:r>
    </w:p>
    <w:p w:rsidR="00994560" w:rsidRDefault="00994560" w:rsidP="00994560">
      <w:r>
        <w:t>that Members of the Union facilitate the unrestricted transmission of news by telecommunication services.</w:t>
      </w:r>
    </w:p>
    <w:p w:rsidR="006C0C1C" w:rsidRPr="00F4513C" w:rsidRDefault="006C0C1C" w:rsidP="006C0C1C">
      <w:pPr>
        <w:pStyle w:val="refbasdepage"/>
        <w:rPr>
          <w:lang w:val="es-ES_tradnl"/>
        </w:rPr>
      </w:pPr>
      <w:r w:rsidRPr="00F4513C">
        <w:rPr>
          <w:lang w:val="es-ES_tradnl"/>
        </w:rPr>
        <w:t>(</w:t>
      </w:r>
      <w:r>
        <w:t>Kyoto, 1994</w:t>
      </w:r>
      <w:r w:rsidRPr="00F4513C">
        <w:rPr>
          <w:lang w:val="es-ES_tradnl"/>
        </w:rPr>
        <w:t>)</w:t>
      </w:r>
    </w:p>
    <w:p w:rsidR="006C0C1C" w:rsidRDefault="006C0C1C"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Pr="00F4513C" w:rsidRDefault="00EF06E4" w:rsidP="006C0C1C">
      <w:pPr>
        <w:rPr>
          <w:lang w:val="es-ES_tradnl"/>
        </w:rPr>
      </w:pPr>
    </w:p>
    <w:p w:rsidR="00994560" w:rsidRDefault="00994560" w:rsidP="00AB7B15">
      <w:pPr>
        <w:pStyle w:val="NormalendS2"/>
      </w:pPr>
    </w:p>
    <w:p w:rsidR="00994560" w:rsidRPr="007A7377" w:rsidRDefault="00994560" w:rsidP="008A6FCB">
      <w:bookmarkStart w:id="8" w:name="_Toc414237057"/>
      <w:r>
        <w:br w:type="page"/>
      </w:r>
    </w:p>
    <w:p w:rsidR="00994560" w:rsidRDefault="00994560" w:rsidP="001524A3">
      <w:pPr>
        <w:pStyle w:val="RecNo"/>
      </w:pPr>
      <w:bookmarkStart w:id="9" w:name="_Toc164569932"/>
      <w:r>
        <w:lastRenderedPageBreak/>
        <w:t xml:space="preserve">RECOMMENDATION </w:t>
      </w:r>
      <w:r>
        <w:rPr>
          <w:rStyle w:val="href"/>
        </w:rPr>
        <w:t>3</w:t>
      </w:r>
      <w:bookmarkEnd w:id="8"/>
      <w:r>
        <w:t xml:space="preserve"> (Kyoto, 1994)</w:t>
      </w:r>
      <w:bookmarkEnd w:id="9"/>
    </w:p>
    <w:p w:rsidR="00994560" w:rsidRDefault="00994560" w:rsidP="001524A3">
      <w:pPr>
        <w:pStyle w:val="Rectitle"/>
      </w:pPr>
      <w:bookmarkStart w:id="10" w:name="_Toc414237058"/>
      <w:bookmarkStart w:id="11" w:name="_Toc164569933"/>
      <w:r>
        <w:t>Favourable treatment for developing countries</w:t>
      </w:r>
      <w:bookmarkEnd w:id="10"/>
      <w:bookmarkEnd w:id="11"/>
    </w:p>
    <w:p w:rsidR="00994560" w:rsidRDefault="00994560" w:rsidP="00994560">
      <w:pPr>
        <w:pStyle w:val="Normalaftertitle"/>
      </w:pPr>
      <w:r>
        <w:t xml:space="preserve">The </w:t>
      </w:r>
      <w:r w:rsidRPr="00D41545">
        <w:t>Plenipotentiary Conference</w:t>
      </w:r>
      <w:r>
        <w:t xml:space="preserve"> of the International Telecommunication Union (Kyoto, 1994),</w:t>
      </w:r>
    </w:p>
    <w:p w:rsidR="00994560" w:rsidRDefault="00994560" w:rsidP="00994560">
      <w:pPr>
        <w:pStyle w:val="Call"/>
      </w:pPr>
      <w:r>
        <w:t>in view of</w:t>
      </w:r>
    </w:p>
    <w:p w:rsidR="00994560" w:rsidRDefault="00994560" w:rsidP="00994560">
      <w:r w:rsidRPr="00C16037">
        <w:rPr>
          <w:i/>
          <w:iCs/>
        </w:rPr>
        <w:t>a)</w:t>
      </w:r>
      <w:r>
        <w:tab/>
        <w:t>the purpose of the Union, which is to maintain and extend international cooperation for the improvement and rational use of telecommunications of all kinds;</w:t>
      </w:r>
    </w:p>
    <w:p w:rsidR="00994560" w:rsidRDefault="00994560" w:rsidP="00994560">
      <w:r w:rsidRPr="00C16037">
        <w:rPr>
          <w:i/>
          <w:iCs/>
        </w:rPr>
        <w:t>b)</w:t>
      </w:r>
      <w:r>
        <w:tab/>
        <w:t>the ever-widening gap between the economic growth and technological progress of the developed and the developing countries;</w:t>
      </w:r>
    </w:p>
    <w:p w:rsidR="00994560" w:rsidRDefault="00994560" w:rsidP="00994560">
      <w:r w:rsidRPr="00C16037">
        <w:rPr>
          <w:i/>
          <w:iCs/>
        </w:rPr>
        <w:t>c)</w:t>
      </w:r>
      <w:r>
        <w:tab/>
        <w:t>the fact that the economic power of developed countries is founded on, or linked with, the high level of their technology, which is reflected in extensive and growing international markets, whereas the economies of developing countries are relatively weak and often in deficit because they are in the process of assimilating or acquiring technology,</w:t>
      </w:r>
    </w:p>
    <w:p w:rsidR="00994560" w:rsidRDefault="00994560" w:rsidP="00994560">
      <w:pPr>
        <w:pStyle w:val="Call"/>
      </w:pPr>
      <w:r>
        <w:t>recommends</w:t>
      </w:r>
    </w:p>
    <w:p w:rsidR="00994560" w:rsidRDefault="00994560" w:rsidP="00994560">
      <w:r>
        <w:t>1</w:t>
      </w:r>
      <w:r>
        <w:tab/>
        <w:t>that developed countries take into account requests for favourable treatment made by developing countries in service, commercial or other relations in telecommunications, thus helping to achieve the desired economic equilibrium conducive to a relaxation of present world tensions;</w:t>
      </w:r>
    </w:p>
    <w:p w:rsidR="00994560" w:rsidRDefault="00994560" w:rsidP="00994560">
      <w:r>
        <w:t>2</w:t>
      </w:r>
      <w:r>
        <w:tab/>
        <w:t>that the classification of countries in one or the other of these economic categories can be based on the criteria of per capita income, gross national income, national telephone development or any other mutually agreed parameters selected from those internationally recognized by the specialized information sources of the United Nations,</w:t>
      </w:r>
    </w:p>
    <w:p w:rsidR="00994560" w:rsidRDefault="00994560" w:rsidP="00994560">
      <w:pPr>
        <w:pStyle w:val="Call"/>
      </w:pPr>
      <w:r>
        <w:t>recommends further</w:t>
      </w:r>
    </w:p>
    <w:p w:rsidR="00994560" w:rsidRDefault="00994560" w:rsidP="00994560">
      <w:r>
        <w:t>that Members of the Union make available to the General Secretariat any relevant information on the implementation of this Recommendation,</w:t>
      </w:r>
    </w:p>
    <w:p w:rsidR="00994560" w:rsidRDefault="00994560" w:rsidP="006C0C1C">
      <w:pPr>
        <w:pStyle w:val="Call"/>
        <w:keepNext w:val="0"/>
        <w:keepLines w:val="0"/>
        <w:pageBreakBefore/>
      </w:pPr>
      <w:r>
        <w:lastRenderedPageBreak/>
        <w:t>instructs the Secretary-General</w:t>
      </w:r>
    </w:p>
    <w:p w:rsidR="00994560" w:rsidRDefault="00994560" w:rsidP="00994560">
      <w:r>
        <w:t>to monitor on the basis of information received from Members the extent to which any favourable treatment has been extended to developing countries by the developed countries,</w:t>
      </w:r>
    </w:p>
    <w:p w:rsidR="00994560" w:rsidRDefault="00994560" w:rsidP="00994560">
      <w:pPr>
        <w:pStyle w:val="Call"/>
      </w:pPr>
      <w:r>
        <w:t>instructs the Council</w:t>
      </w:r>
    </w:p>
    <w:p w:rsidR="00994560" w:rsidRDefault="00994560" w:rsidP="00994560">
      <w:r>
        <w:t>to review the results achieved and take any steps necessary to promote the objectives of this Recommendation.</w:t>
      </w:r>
    </w:p>
    <w:p w:rsidR="006C0C1C" w:rsidRPr="00F4513C" w:rsidRDefault="006C0C1C" w:rsidP="006C0C1C">
      <w:pPr>
        <w:pStyle w:val="refbasdepage"/>
        <w:rPr>
          <w:lang w:val="es-ES_tradnl"/>
        </w:rPr>
      </w:pPr>
      <w:r w:rsidRPr="00F4513C">
        <w:rPr>
          <w:lang w:val="es-ES_tradnl"/>
        </w:rPr>
        <w:t>(</w:t>
      </w:r>
      <w:r>
        <w:t>Kyoto, 1994</w:t>
      </w:r>
      <w:r w:rsidRPr="00F4513C">
        <w:rPr>
          <w:lang w:val="es-ES_tradnl"/>
        </w:rPr>
        <w:t>)</w:t>
      </w:r>
    </w:p>
    <w:p w:rsidR="006C0C1C" w:rsidRDefault="006C0C1C"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Default="00EF06E4" w:rsidP="006C0C1C">
      <w:pPr>
        <w:rPr>
          <w:lang w:val="es-ES_tradnl"/>
        </w:rPr>
      </w:pPr>
    </w:p>
    <w:p w:rsidR="00EF06E4" w:rsidRPr="00F4513C" w:rsidRDefault="00EF06E4" w:rsidP="006C0C1C">
      <w:pPr>
        <w:rPr>
          <w:lang w:val="es-ES_tradnl"/>
        </w:rPr>
      </w:pPr>
    </w:p>
    <w:p w:rsidR="00994560" w:rsidRDefault="00994560" w:rsidP="00AB7B15">
      <w:pPr>
        <w:pStyle w:val="NormalendS2"/>
      </w:pPr>
    </w:p>
    <w:p w:rsidR="00994560" w:rsidRPr="007A7377" w:rsidRDefault="00994560" w:rsidP="008A6FCB">
      <w:r>
        <w:br w:type="page"/>
      </w:r>
    </w:p>
    <w:p w:rsidR="00994560" w:rsidRDefault="00994560" w:rsidP="007A1AD6">
      <w:pPr>
        <w:pStyle w:val="RecNo"/>
      </w:pPr>
      <w:bookmarkStart w:id="12" w:name="_Toc164569934"/>
      <w:r>
        <w:lastRenderedPageBreak/>
        <w:t>REC</w:t>
      </w:r>
      <w:r w:rsidR="00AB7B15">
        <w:t>OMMENDATION</w:t>
      </w:r>
      <w:r>
        <w:t xml:space="preserve"> </w:t>
      </w:r>
      <w:r>
        <w:rPr>
          <w:rStyle w:val="href"/>
        </w:rPr>
        <w:t>4</w:t>
      </w:r>
      <w:r>
        <w:t xml:space="preserve"> (Marrakesh, 2002)</w:t>
      </w:r>
      <w:bookmarkEnd w:id="12"/>
    </w:p>
    <w:p w:rsidR="00994560" w:rsidRDefault="00994560" w:rsidP="007A1AD6">
      <w:pPr>
        <w:pStyle w:val="Rectitle"/>
      </w:pPr>
      <w:bookmarkStart w:id="13" w:name="_Toc164569935"/>
      <w:r>
        <w:t>General policy statements to plenipotentiary conferences</w:t>
      </w:r>
      <w:bookmarkEnd w:id="13"/>
    </w:p>
    <w:p w:rsidR="00994560" w:rsidRDefault="00994560" w:rsidP="00D41545">
      <w:pPr>
        <w:pStyle w:val="Normalaftertitle"/>
      </w:pPr>
      <w:r>
        <w:t xml:space="preserve">The </w:t>
      </w:r>
      <w:r w:rsidRPr="00D41545">
        <w:t>Plenipotentiary Conference of</w:t>
      </w:r>
      <w:r>
        <w:t xml:space="preserve"> the International Telecommunication Union (Marrakesh, 2002),</w:t>
      </w:r>
    </w:p>
    <w:p w:rsidR="00994560" w:rsidRDefault="00994560" w:rsidP="00994560">
      <w:pPr>
        <w:pStyle w:val="Call"/>
      </w:pPr>
      <w:r>
        <w:t>considering</w:t>
      </w:r>
    </w:p>
    <w:p w:rsidR="00994560" w:rsidRDefault="00994560" w:rsidP="00994560">
      <w:r>
        <w:t>Recommendation R22 of the Working Group on ITU Reform, which advocates that the length of general policy statements should be limited so as to minimize the amount of time used for this purpose at the Plenipotentiary Conference and make the conference more efficient,</w:t>
      </w:r>
    </w:p>
    <w:p w:rsidR="00994560" w:rsidRDefault="00994560" w:rsidP="00994560">
      <w:pPr>
        <w:pStyle w:val="Call"/>
      </w:pPr>
      <w:r>
        <w:t>seeking</w:t>
      </w:r>
    </w:p>
    <w:p w:rsidR="00994560" w:rsidRDefault="00994560" w:rsidP="00994560">
      <w:r>
        <w:t xml:space="preserve">to standardize the duration of general policy statements in order, </w:t>
      </w:r>
      <w:r>
        <w:rPr>
          <w:i/>
          <w:iCs/>
        </w:rPr>
        <w:t>inter alia</w:t>
      </w:r>
      <w:r>
        <w:t>, to economize on the Union’s financial resources,</w:t>
      </w:r>
    </w:p>
    <w:p w:rsidR="00994560" w:rsidRDefault="00994560" w:rsidP="00994560">
      <w:pPr>
        <w:pStyle w:val="Call"/>
      </w:pPr>
      <w:r>
        <w:t>aware</w:t>
      </w:r>
    </w:p>
    <w:p w:rsidR="00994560" w:rsidRDefault="00994560" w:rsidP="00994560">
      <w:r>
        <w:t>that plenipotentiary conferences are likely to face increasingly heavy workloads,</w:t>
      </w:r>
    </w:p>
    <w:p w:rsidR="00994560" w:rsidRDefault="00994560" w:rsidP="00994560">
      <w:pPr>
        <w:pStyle w:val="Call"/>
      </w:pPr>
      <w:r>
        <w:t>taking into account</w:t>
      </w:r>
    </w:p>
    <w:p w:rsidR="00994560" w:rsidRDefault="00994560" w:rsidP="00994560">
      <w:r>
        <w:t>that general policy statements should be made only during the first week of the conference,</w:t>
      </w:r>
    </w:p>
    <w:p w:rsidR="00994560" w:rsidRDefault="00994560" w:rsidP="00994560">
      <w:pPr>
        <w:pStyle w:val="Call"/>
      </w:pPr>
      <w:r>
        <w:t>recommends</w:t>
      </w:r>
    </w:p>
    <w:p w:rsidR="00994560" w:rsidRDefault="00994560" w:rsidP="00994560">
      <w:r>
        <w:t>that Member States limit their general policy statements to a maximum of five minutes,</w:t>
      </w:r>
    </w:p>
    <w:p w:rsidR="00994560" w:rsidRDefault="00994560" w:rsidP="00994560">
      <w:pPr>
        <w:pStyle w:val="Call"/>
      </w:pPr>
      <w:r>
        <w:t>instructs the Secretary-General</w:t>
      </w:r>
    </w:p>
    <w:p w:rsidR="00994560" w:rsidRDefault="00994560" w:rsidP="00994560">
      <w:r>
        <w:t xml:space="preserve">to publish on the conference website the full text of all general policy statements including those which have not been made during the first week of the conference. </w:t>
      </w:r>
    </w:p>
    <w:p w:rsidR="006C0C1C" w:rsidRPr="00F4513C" w:rsidRDefault="006C0C1C" w:rsidP="006C0C1C">
      <w:pPr>
        <w:pStyle w:val="refbasdepage"/>
        <w:rPr>
          <w:lang w:val="es-ES_tradnl"/>
        </w:rPr>
      </w:pPr>
      <w:r w:rsidRPr="00F4513C">
        <w:rPr>
          <w:lang w:val="es-ES_tradnl"/>
        </w:rPr>
        <w:t>(</w:t>
      </w:r>
      <w:r>
        <w:t>Marrakesh, 2002</w:t>
      </w:r>
      <w:r w:rsidRPr="00F4513C">
        <w:rPr>
          <w:lang w:val="es-ES_tradnl"/>
        </w:rPr>
        <w:t>)</w:t>
      </w:r>
    </w:p>
    <w:p w:rsidR="00994560" w:rsidRDefault="00994560" w:rsidP="00AB462F">
      <w:pPr>
        <w:pStyle w:val="NormalendS2"/>
      </w:pPr>
    </w:p>
    <w:p w:rsidR="00994560" w:rsidRPr="007A7377" w:rsidRDefault="00994560" w:rsidP="008A6FCB">
      <w:r>
        <w:br w:type="page"/>
      </w:r>
    </w:p>
    <w:p w:rsidR="00994560" w:rsidRDefault="00AB462F" w:rsidP="007A1AD6">
      <w:pPr>
        <w:pStyle w:val="RecNo"/>
      </w:pPr>
      <w:bookmarkStart w:id="14" w:name="_Toc164569936"/>
      <w:r>
        <w:lastRenderedPageBreak/>
        <w:t>RECOMMENDATION</w:t>
      </w:r>
      <w:r w:rsidR="00994560">
        <w:t xml:space="preserve"> </w:t>
      </w:r>
      <w:r w:rsidR="00994560">
        <w:rPr>
          <w:rStyle w:val="href"/>
        </w:rPr>
        <w:t>5</w:t>
      </w:r>
      <w:r w:rsidR="00994560">
        <w:t xml:space="preserve"> (Marrakesh, 2002)</w:t>
      </w:r>
      <w:bookmarkEnd w:id="14"/>
    </w:p>
    <w:p w:rsidR="00994560" w:rsidRDefault="00994560" w:rsidP="007A1AD6">
      <w:pPr>
        <w:pStyle w:val="Rectitle"/>
      </w:pPr>
      <w:bookmarkStart w:id="15" w:name="_Toc164569937"/>
      <w:r>
        <w:t xml:space="preserve">Submission of the first report of the Credentials Committee </w:t>
      </w:r>
      <w:r>
        <w:br/>
        <w:t>to the Plenipotentiary Conference</w:t>
      </w:r>
      <w:bookmarkEnd w:id="15"/>
    </w:p>
    <w:p w:rsidR="00994560" w:rsidRDefault="00994560" w:rsidP="00994560">
      <w:pPr>
        <w:pStyle w:val="Normalaftertitle"/>
      </w:pPr>
      <w:r>
        <w:t>The Plenipotentiary Conference of the International Telecommunication Union (Marrakesh, 2002),</w:t>
      </w:r>
    </w:p>
    <w:p w:rsidR="00994560" w:rsidRPr="00CD049D" w:rsidRDefault="00994560" w:rsidP="00994560">
      <w:pPr>
        <w:pStyle w:val="Call"/>
      </w:pPr>
      <w:r>
        <w:t>considering</w:t>
      </w:r>
    </w:p>
    <w:p w:rsidR="00994560" w:rsidRDefault="00994560" w:rsidP="00994560">
      <w:r>
        <w:t>Article 31 of the ITU Convention, concerning credentials for conferences of the Union,</w:t>
      </w:r>
    </w:p>
    <w:p w:rsidR="00994560" w:rsidRDefault="00994560" w:rsidP="00994560">
      <w:pPr>
        <w:pStyle w:val="Call"/>
      </w:pPr>
      <w:r>
        <w:t>considering further</w:t>
      </w:r>
    </w:p>
    <w:p w:rsidR="00994560" w:rsidRDefault="00994560" w:rsidP="00994560">
      <w:r>
        <w:t>No. 176 of the General Rules of conferences, assemblies and meetings of the Union, which stipulate that elections shall begin on the ninth calendar day of a plenipotentiary conference,</w:t>
      </w:r>
    </w:p>
    <w:p w:rsidR="00994560" w:rsidRDefault="00994560" w:rsidP="00994560">
      <w:pPr>
        <w:pStyle w:val="Call"/>
      </w:pPr>
      <w:r>
        <w:t>recognizing</w:t>
      </w:r>
    </w:p>
    <w:p w:rsidR="00994560" w:rsidRDefault="00994560" w:rsidP="00994560">
      <w:r>
        <w:rPr>
          <w:i/>
          <w:iCs/>
        </w:rPr>
        <w:t>a)</w:t>
      </w:r>
      <w:r>
        <w:tab/>
        <w:t>that it is the responsibility of the Credentials Committee referred to in No. 68 of the General Rules of conferences, assemblies and meetings of the Union to verify the credentials of delegations and report its conclusions to the plenary meeting within the time-frame specified by the latter;</w:t>
      </w:r>
    </w:p>
    <w:p w:rsidR="00994560" w:rsidRDefault="00994560" w:rsidP="00994560">
      <w:r>
        <w:rPr>
          <w:i/>
          <w:iCs/>
        </w:rPr>
        <w:t>b)</w:t>
      </w:r>
      <w:r>
        <w:tab/>
        <w:t>that it is desirable that the plenary meeting take a decision on the first report of the Credentials Committee as rapidly as possible, and in any event before the ninth calendar day of a plenipotentiary conference,</w:t>
      </w:r>
    </w:p>
    <w:p w:rsidR="00994560" w:rsidRDefault="00994560" w:rsidP="00994560">
      <w:pPr>
        <w:pStyle w:val="Call"/>
      </w:pPr>
      <w:r>
        <w:t>recommends</w:t>
      </w:r>
    </w:p>
    <w:p w:rsidR="00994560" w:rsidRDefault="00994560" w:rsidP="00994560">
      <w:r>
        <w:t>that future plenipotentiary conferences set the date for submission of the first report of the Credentials Committee at a date earlier than the ninth calendar day of the conference,</w:t>
      </w:r>
    </w:p>
    <w:p w:rsidR="00994560" w:rsidRDefault="00994560" w:rsidP="00994560">
      <w:pPr>
        <w:pStyle w:val="Call"/>
      </w:pPr>
      <w:r>
        <w:lastRenderedPageBreak/>
        <w:t>further recommends</w:t>
      </w:r>
    </w:p>
    <w:p w:rsidR="00994560" w:rsidRDefault="00994560" w:rsidP="00994560">
      <w:pPr>
        <w:keepNext/>
        <w:keepLines/>
      </w:pPr>
      <w:r>
        <w:t>that Member States send the originals of their credentials to the secretariat as early as possible, signed by one of the authorities referred to in No. 325 of the Convention, accompanied, as necessary, by a certified translation in one of the official languages of the Union, and pay the greatest heed to the provisions of Nos. 329, 330 and 331 of the Convention,</w:t>
      </w:r>
    </w:p>
    <w:p w:rsidR="00994560" w:rsidRDefault="00994560" w:rsidP="00994560">
      <w:pPr>
        <w:pStyle w:val="Call"/>
      </w:pPr>
      <w:r>
        <w:t>instructs the Secretary-General</w:t>
      </w:r>
    </w:p>
    <w:p w:rsidR="00994560" w:rsidRDefault="00994560" w:rsidP="00994560">
      <w:r>
        <w:t>to make appropriate administrative arrangements to keep Member States informed of the procedures to be followed.</w:t>
      </w:r>
    </w:p>
    <w:p w:rsidR="006C0C1C" w:rsidRPr="00F4513C" w:rsidRDefault="006C0C1C" w:rsidP="006C0C1C">
      <w:pPr>
        <w:pStyle w:val="refbasdepage"/>
        <w:rPr>
          <w:lang w:val="es-ES_tradnl"/>
        </w:rPr>
      </w:pPr>
      <w:r w:rsidRPr="00F4513C">
        <w:rPr>
          <w:lang w:val="es-ES_tradnl"/>
        </w:rPr>
        <w:t>(</w:t>
      </w:r>
      <w:r>
        <w:t>Marrakesh, 2002</w:t>
      </w:r>
      <w:r w:rsidRPr="00F4513C">
        <w:rPr>
          <w:lang w:val="es-ES_tradnl"/>
        </w:rPr>
        <w:t>)</w:t>
      </w:r>
    </w:p>
    <w:p w:rsidR="006C0C1C" w:rsidRDefault="006C0C1C" w:rsidP="006C0C1C">
      <w:pPr>
        <w:pStyle w:val="NormalendS2"/>
      </w:pPr>
    </w:p>
    <w:p w:rsidR="00EF06E4" w:rsidRDefault="00EF06E4" w:rsidP="006C0C1C">
      <w:pPr>
        <w:pStyle w:val="NormalendS2"/>
      </w:pPr>
    </w:p>
    <w:p w:rsidR="00EF06E4" w:rsidRDefault="00EF06E4" w:rsidP="006C0C1C">
      <w:pPr>
        <w:pStyle w:val="NormalendS2"/>
      </w:pPr>
    </w:p>
    <w:p w:rsidR="00EF06E4" w:rsidRDefault="00EF06E4" w:rsidP="006C0C1C">
      <w:pPr>
        <w:pStyle w:val="NormalendS2"/>
      </w:pPr>
    </w:p>
    <w:p w:rsidR="00EF06E4" w:rsidRDefault="00EF06E4" w:rsidP="006C0C1C">
      <w:pPr>
        <w:pStyle w:val="NormalendS2"/>
      </w:pPr>
    </w:p>
    <w:p w:rsidR="00EF06E4" w:rsidRDefault="00EF06E4" w:rsidP="006C0C1C">
      <w:pPr>
        <w:pStyle w:val="NormalendS2"/>
      </w:pPr>
    </w:p>
    <w:p w:rsidR="00994560" w:rsidRDefault="00994560" w:rsidP="00DB43F5">
      <w:pPr>
        <w:pStyle w:val="NormalendS2"/>
      </w:pPr>
    </w:p>
    <w:p w:rsidR="00DB43F5" w:rsidRDefault="00DB43F5" w:rsidP="00C16037">
      <w:bookmarkStart w:id="16" w:name="_Toc164569938"/>
      <w:r>
        <w:br w:type="page"/>
      </w:r>
    </w:p>
    <w:p w:rsidR="00994560" w:rsidRDefault="00DB43F5" w:rsidP="007A1AD6">
      <w:pPr>
        <w:pStyle w:val="RecNo"/>
      </w:pPr>
      <w:r>
        <w:lastRenderedPageBreak/>
        <w:t>RECOMMENDATION</w:t>
      </w:r>
      <w:r w:rsidR="00994560">
        <w:t xml:space="preserve"> </w:t>
      </w:r>
      <w:r w:rsidR="00994560">
        <w:rPr>
          <w:rStyle w:val="href"/>
        </w:rPr>
        <w:t>6</w:t>
      </w:r>
      <w:r w:rsidR="00994560">
        <w:t xml:space="preserve"> (Marrakesh, 2002)</w:t>
      </w:r>
      <w:bookmarkEnd w:id="16"/>
    </w:p>
    <w:p w:rsidR="00994560" w:rsidRDefault="00994560" w:rsidP="007A1AD6">
      <w:pPr>
        <w:pStyle w:val="Rectitle"/>
      </w:pPr>
      <w:bookmarkStart w:id="17" w:name="_Toc164569939"/>
      <w:r>
        <w:t>Rotation of Council Member States</w:t>
      </w:r>
      <w:bookmarkEnd w:id="17"/>
    </w:p>
    <w:p w:rsidR="00994560" w:rsidRDefault="00994560" w:rsidP="00994560">
      <w:pPr>
        <w:pStyle w:val="Normalaftertitle"/>
      </w:pPr>
      <w:r>
        <w:t>The Plenipotentiary Conference of the International Telecommunication Union (Marrakesh, 2002),</w:t>
      </w:r>
    </w:p>
    <w:p w:rsidR="00994560" w:rsidRDefault="00994560" w:rsidP="00994560">
      <w:pPr>
        <w:pStyle w:val="Call"/>
      </w:pPr>
      <w:r>
        <w:t>considering</w:t>
      </w:r>
    </w:p>
    <w:p w:rsidR="00994560" w:rsidRDefault="00994560" w:rsidP="00994560">
      <w:r>
        <w:rPr>
          <w:i/>
          <w:iCs/>
        </w:rPr>
        <w:t>a)</w:t>
      </w:r>
      <w:r>
        <w:tab/>
        <w:t>that the Council is composed of Member States elected by the Plenipotentiary Conference;</w:t>
      </w:r>
    </w:p>
    <w:p w:rsidR="00994560" w:rsidRDefault="00994560" w:rsidP="00994560">
      <w:r>
        <w:rPr>
          <w:i/>
          <w:iCs/>
        </w:rPr>
        <w:t>b)</w:t>
      </w:r>
      <w:r>
        <w:tab/>
        <w:t>that each Member State has the potential to contribute to the purposes of the Union through participation in the Council;</w:t>
      </w:r>
    </w:p>
    <w:p w:rsidR="00994560" w:rsidRDefault="00994560" w:rsidP="00994560">
      <w:r>
        <w:rPr>
          <w:i/>
          <w:iCs/>
        </w:rPr>
        <w:t>c)</w:t>
      </w:r>
      <w:r>
        <w:tab/>
        <w:t>the decision to admit Member States as observers at Council sessions as well as the improvement in their status as observers adopted by this conference,</w:t>
      </w:r>
    </w:p>
    <w:p w:rsidR="00994560" w:rsidRDefault="00994560" w:rsidP="00994560">
      <w:pPr>
        <w:pStyle w:val="Call"/>
      </w:pPr>
      <w:r>
        <w:t>noting</w:t>
      </w:r>
    </w:p>
    <w:p w:rsidR="00994560" w:rsidRDefault="00994560" w:rsidP="00994560">
      <w:r>
        <w:rPr>
          <w:i/>
          <w:iCs/>
        </w:rPr>
        <w:t>a)</w:t>
      </w:r>
      <w:r>
        <w:tab/>
        <w:t>that the number of Member States of the Council shall not exceed 25 per cent of the total number of Member States of the Union;</w:t>
      </w:r>
    </w:p>
    <w:p w:rsidR="00994560" w:rsidRDefault="00994560" w:rsidP="00994560">
      <w:r>
        <w:rPr>
          <w:i/>
          <w:iCs/>
        </w:rPr>
        <w:t>b)</w:t>
      </w:r>
      <w:r>
        <w:tab/>
        <w:t>that examples of regional coordination in this regard on a voluntary basis already exist, with positive results,</w:t>
      </w:r>
    </w:p>
    <w:p w:rsidR="00994560" w:rsidRDefault="00994560" w:rsidP="00994560">
      <w:pPr>
        <w:pStyle w:val="Call"/>
      </w:pPr>
      <w:r>
        <w:t>recalling</w:t>
      </w:r>
    </w:p>
    <w:p w:rsidR="00994560" w:rsidRDefault="00994560" w:rsidP="00994560">
      <w:r>
        <w:t>that any such regional or subregional coordination in this regard would considerably facilitate the elections at plenipotentiary conferences,</w:t>
      </w:r>
    </w:p>
    <w:p w:rsidR="00994560" w:rsidRDefault="00994560" w:rsidP="00994560">
      <w:pPr>
        <w:pStyle w:val="Call"/>
      </w:pPr>
      <w:r>
        <w:t>recognizing</w:t>
      </w:r>
      <w:bookmarkStart w:id="18" w:name="_GoBack"/>
      <w:bookmarkEnd w:id="18"/>
    </w:p>
    <w:p w:rsidR="00994560" w:rsidRDefault="00994560" w:rsidP="00994560">
      <w:r>
        <w:t xml:space="preserve">that, without some element of rotation of Council membership, the principle mentioned in </w:t>
      </w:r>
      <w:r>
        <w:rPr>
          <w:i/>
          <w:iCs/>
        </w:rPr>
        <w:t xml:space="preserve">considering b) </w:t>
      </w:r>
      <w:r>
        <w:t>above cannot be fully implemented,</w:t>
      </w:r>
    </w:p>
    <w:p w:rsidR="00994560" w:rsidRDefault="00994560" w:rsidP="00994560">
      <w:pPr>
        <w:pStyle w:val="Call"/>
      </w:pPr>
      <w:r>
        <w:t>recommends</w:t>
      </w:r>
    </w:p>
    <w:p w:rsidR="00994560" w:rsidRDefault="00994560" w:rsidP="00994560">
      <w:pPr>
        <w:keepNext/>
        <w:keepLines/>
      </w:pPr>
      <w:r>
        <w:t>that Member States concerned should engage in bilateral and multilateral coordination through appropriate ways and means, such as regional or subregional meetings, in order to facilitate such rotation on a voluntary basis.</w:t>
      </w:r>
    </w:p>
    <w:p w:rsidR="006C0C1C" w:rsidRPr="00F4513C" w:rsidRDefault="006C0C1C" w:rsidP="006C0C1C">
      <w:pPr>
        <w:pStyle w:val="refbasdepage"/>
        <w:rPr>
          <w:lang w:val="es-ES_tradnl"/>
        </w:rPr>
      </w:pPr>
      <w:r w:rsidRPr="00F4513C">
        <w:rPr>
          <w:lang w:val="es-ES_tradnl"/>
        </w:rPr>
        <w:t>(</w:t>
      </w:r>
      <w:r>
        <w:t>Marrakesh, 2002</w:t>
      </w:r>
      <w:r w:rsidRPr="00F4513C">
        <w:rPr>
          <w:lang w:val="es-ES_tradnl"/>
        </w:rPr>
        <w:t>)</w:t>
      </w:r>
    </w:p>
    <w:p w:rsidR="006C0C1C" w:rsidRDefault="006C0C1C" w:rsidP="006C0C1C">
      <w:pPr>
        <w:pStyle w:val="NormalendS2"/>
      </w:pPr>
    </w:p>
    <w:sectPr w:rsidR="006C0C1C" w:rsidSect="00E66E47">
      <w:headerReference w:type="even" r:id="rId8"/>
      <w:headerReference w:type="default" r:id="rId9"/>
      <w:footnotePr>
        <w:pos w:val="beneathText"/>
      </w:footnotePr>
      <w:type w:val="oddPage"/>
      <w:pgSz w:w="11907" w:h="16840" w:code="9"/>
      <w:pgMar w:top="1418" w:right="1134" w:bottom="1134" w:left="1418" w:header="720" w:footer="720" w:gutter="0"/>
      <w:pgNumType w:start="833"/>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F04" w:rsidRDefault="00543F04">
      <w:r>
        <w:separator/>
      </w:r>
    </w:p>
  </w:endnote>
  <w:endnote w:type="continuationSeparator" w:id="0">
    <w:p w:rsidR="00543F04" w:rsidRDefault="00543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F04" w:rsidRDefault="00543F04">
      <w:r>
        <w:t>____________________</w:t>
      </w:r>
    </w:p>
  </w:footnote>
  <w:footnote w:type="continuationSeparator" w:id="0">
    <w:p w:rsidR="00543F04" w:rsidRDefault="00543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351" w:rsidRPr="00960C2D" w:rsidRDefault="00AB0351" w:rsidP="00EF06E4">
    <w:pPr>
      <w:pStyle w:val="Header"/>
      <w:jc w:val="left"/>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E66E47">
      <w:rPr>
        <w:rStyle w:val="PageNumber"/>
        <w:b/>
        <w:bCs/>
        <w:noProof/>
        <w:szCs w:val="22"/>
      </w:rPr>
      <w:t>834</w:t>
    </w:r>
    <w:r w:rsidRPr="00EE2B2D">
      <w:rPr>
        <w:rStyle w:val="PageNumber"/>
        <w:b/>
        <w:bCs/>
        <w:szCs w:val="22"/>
      </w:rPr>
      <w:fldChar w:fldCharType="end"/>
    </w:r>
    <w:r>
      <w:rPr>
        <w:b/>
        <w:bCs/>
        <w:szCs w:val="22"/>
      </w:rPr>
      <w:tab/>
      <w:t xml:space="preserve">Rec.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E66E47">
      <w:rPr>
        <w:b/>
        <w:bCs/>
        <w:noProof/>
        <w:szCs w:val="22"/>
      </w:rPr>
      <w:t>1</w:t>
    </w:r>
    <w:r w:rsidRPr="00F55D58">
      <w:rPr>
        <w:b/>
        <w:bCs/>
        <w:szCs w:val="22"/>
      </w:rPr>
      <w:fldChar w:fldCharType="end"/>
    </w:r>
    <w:r>
      <w:rPr>
        <w:b/>
        <w:bCs/>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C2D" w:rsidRPr="00960C2D" w:rsidRDefault="00960C2D" w:rsidP="00AB0351">
    <w:pPr>
      <w:pStyle w:val="Header"/>
      <w:jc w:val="left"/>
    </w:pPr>
    <w:r>
      <w:rPr>
        <w:b/>
        <w:bCs/>
        <w:szCs w:val="22"/>
      </w:rPr>
      <w:tab/>
      <w:t xml:space="preserve">Rec.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E66E47">
      <w:rPr>
        <w:b/>
        <w:bCs/>
        <w:noProof/>
        <w:szCs w:val="22"/>
      </w:rPr>
      <w:t>1</w:t>
    </w:r>
    <w:r w:rsidRPr="00F55D58">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E66E47">
      <w:rPr>
        <w:rStyle w:val="PageNumber"/>
        <w:b/>
        <w:bCs/>
        <w:noProof/>
        <w:szCs w:val="22"/>
      </w:rPr>
      <w:t>833</w:t>
    </w:r>
    <w:r w:rsidRPr="00EE2B2D">
      <w:rPr>
        <w:rStyle w:val="PageNumber"/>
        <w:b/>
        <w:bCs/>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948FBA4"/>
    <w:lvl w:ilvl="0">
      <w:start w:val="1"/>
      <w:numFmt w:val="decimal"/>
      <w:lvlText w:val="%1."/>
      <w:lvlJc w:val="left"/>
      <w:pPr>
        <w:tabs>
          <w:tab w:val="num" w:pos="1492"/>
        </w:tabs>
        <w:ind w:left="1492" w:hanging="360"/>
      </w:pPr>
    </w:lvl>
  </w:abstractNum>
  <w:abstractNum w:abstractNumId="1">
    <w:nsid w:val="FFFFFF7D"/>
    <w:multiLevelType w:val="singleLevel"/>
    <w:tmpl w:val="3E906D4E"/>
    <w:lvl w:ilvl="0">
      <w:start w:val="1"/>
      <w:numFmt w:val="decimal"/>
      <w:lvlText w:val="%1."/>
      <w:lvlJc w:val="left"/>
      <w:pPr>
        <w:tabs>
          <w:tab w:val="num" w:pos="1209"/>
        </w:tabs>
        <w:ind w:left="1209" w:hanging="360"/>
      </w:pPr>
    </w:lvl>
  </w:abstractNum>
  <w:abstractNum w:abstractNumId="2">
    <w:nsid w:val="FFFFFF7E"/>
    <w:multiLevelType w:val="singleLevel"/>
    <w:tmpl w:val="9540612C"/>
    <w:lvl w:ilvl="0">
      <w:start w:val="1"/>
      <w:numFmt w:val="decimal"/>
      <w:lvlText w:val="%1."/>
      <w:lvlJc w:val="left"/>
      <w:pPr>
        <w:tabs>
          <w:tab w:val="num" w:pos="926"/>
        </w:tabs>
        <w:ind w:left="926" w:hanging="360"/>
      </w:pPr>
    </w:lvl>
  </w:abstractNum>
  <w:abstractNum w:abstractNumId="3">
    <w:nsid w:val="FFFFFF7F"/>
    <w:multiLevelType w:val="singleLevel"/>
    <w:tmpl w:val="24727596"/>
    <w:lvl w:ilvl="0">
      <w:start w:val="1"/>
      <w:numFmt w:val="decimal"/>
      <w:lvlText w:val="%1."/>
      <w:lvlJc w:val="left"/>
      <w:pPr>
        <w:tabs>
          <w:tab w:val="num" w:pos="643"/>
        </w:tabs>
        <w:ind w:left="643" w:hanging="360"/>
      </w:pPr>
    </w:lvl>
  </w:abstractNum>
  <w:abstractNum w:abstractNumId="4">
    <w:nsid w:val="FFFFFF80"/>
    <w:multiLevelType w:val="singleLevel"/>
    <w:tmpl w:val="9248718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E8C27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2CC67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872975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C7648CC"/>
    <w:lvl w:ilvl="0">
      <w:start w:val="1"/>
      <w:numFmt w:val="decimal"/>
      <w:lvlText w:val="%1."/>
      <w:lvlJc w:val="left"/>
      <w:pPr>
        <w:tabs>
          <w:tab w:val="num" w:pos="360"/>
        </w:tabs>
        <w:ind w:left="360" w:hanging="360"/>
      </w:pPr>
    </w:lvl>
  </w:abstractNum>
  <w:abstractNum w:abstractNumId="9">
    <w:nsid w:val="FFFFFF89"/>
    <w:multiLevelType w:val="singleLevel"/>
    <w:tmpl w:val="761C8668"/>
    <w:lvl w:ilvl="0">
      <w:start w:val="1"/>
      <w:numFmt w:val="bullet"/>
      <w:lvlText w:val=""/>
      <w:lvlJc w:val="left"/>
      <w:pPr>
        <w:tabs>
          <w:tab w:val="num" w:pos="360"/>
        </w:tabs>
        <w:ind w:left="360" w:hanging="360"/>
      </w:pPr>
      <w:rPr>
        <w:rFonts w:ascii="Symbol" w:hAnsi="Symbol" w:hint="default"/>
      </w:rPr>
    </w:lvl>
  </w:abstractNum>
  <w:abstractNum w:abstractNumId="10">
    <w:nsid w:val="71326431"/>
    <w:multiLevelType w:val="hybridMultilevel"/>
    <w:tmpl w:val="AC84B2EE"/>
    <w:lvl w:ilvl="0" w:tplc="FA869764">
      <w:start w:val="1"/>
      <w:numFmt w:val="lowerLetter"/>
      <w:lvlText w:val="%1)"/>
      <w:lvlJc w:val="left"/>
      <w:pPr>
        <w:tabs>
          <w:tab w:val="num" w:pos="567"/>
        </w:tabs>
        <w:ind w:left="0" w:firstLine="0"/>
      </w:pPr>
      <w:rPr>
        <w:rFonts w:hint="default"/>
        <w:i/>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pos w:val="beneathTex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560"/>
    <w:rsid w:val="00000AF8"/>
    <w:rsid w:val="00001935"/>
    <w:rsid w:val="000048E4"/>
    <w:rsid w:val="00010B2A"/>
    <w:rsid w:val="00011208"/>
    <w:rsid w:val="000143FA"/>
    <w:rsid w:val="00014808"/>
    <w:rsid w:val="00015E97"/>
    <w:rsid w:val="00036E37"/>
    <w:rsid w:val="00082EB9"/>
    <w:rsid w:val="0008540E"/>
    <w:rsid w:val="00094B4F"/>
    <w:rsid w:val="000A1015"/>
    <w:rsid w:val="000A39E9"/>
    <w:rsid w:val="000B03F9"/>
    <w:rsid w:val="000B0A77"/>
    <w:rsid w:val="000B0D6C"/>
    <w:rsid w:val="000B2805"/>
    <w:rsid w:val="000B5BB9"/>
    <w:rsid w:val="000B7152"/>
    <w:rsid w:val="000C4701"/>
    <w:rsid w:val="000D5B17"/>
    <w:rsid w:val="000E4C7A"/>
    <w:rsid w:val="000E5E15"/>
    <w:rsid w:val="000F5A9A"/>
    <w:rsid w:val="000F73D1"/>
    <w:rsid w:val="001001C5"/>
    <w:rsid w:val="00105EFE"/>
    <w:rsid w:val="00106777"/>
    <w:rsid w:val="00114BA3"/>
    <w:rsid w:val="00115DEC"/>
    <w:rsid w:val="00123F09"/>
    <w:rsid w:val="00136175"/>
    <w:rsid w:val="00140FF0"/>
    <w:rsid w:val="00146057"/>
    <w:rsid w:val="001524A3"/>
    <w:rsid w:val="00156194"/>
    <w:rsid w:val="001605E4"/>
    <w:rsid w:val="0016633C"/>
    <w:rsid w:val="00171990"/>
    <w:rsid w:val="00173D22"/>
    <w:rsid w:val="00181B28"/>
    <w:rsid w:val="00195B70"/>
    <w:rsid w:val="001A0EEB"/>
    <w:rsid w:val="001B18AB"/>
    <w:rsid w:val="001B70D1"/>
    <w:rsid w:val="001C3804"/>
    <w:rsid w:val="001D19FA"/>
    <w:rsid w:val="001D3322"/>
    <w:rsid w:val="001E01A5"/>
    <w:rsid w:val="001E05E2"/>
    <w:rsid w:val="001E1C8F"/>
    <w:rsid w:val="001E77CB"/>
    <w:rsid w:val="002115E0"/>
    <w:rsid w:val="00232B31"/>
    <w:rsid w:val="00235A3B"/>
    <w:rsid w:val="00243BE4"/>
    <w:rsid w:val="00246C3B"/>
    <w:rsid w:val="00257188"/>
    <w:rsid w:val="002578B4"/>
    <w:rsid w:val="00267D12"/>
    <w:rsid w:val="00267EBA"/>
    <w:rsid w:val="00281792"/>
    <w:rsid w:val="0028799E"/>
    <w:rsid w:val="002962A8"/>
    <w:rsid w:val="002A24AA"/>
    <w:rsid w:val="002C047B"/>
    <w:rsid w:val="002D7BD1"/>
    <w:rsid w:val="002F36B9"/>
    <w:rsid w:val="002F5FA2"/>
    <w:rsid w:val="003126B0"/>
    <w:rsid w:val="00314046"/>
    <w:rsid w:val="00314127"/>
    <w:rsid w:val="00314C12"/>
    <w:rsid w:val="003261C3"/>
    <w:rsid w:val="0033350F"/>
    <w:rsid w:val="003453DA"/>
    <w:rsid w:val="00357754"/>
    <w:rsid w:val="003578E4"/>
    <w:rsid w:val="00361097"/>
    <w:rsid w:val="00373A0D"/>
    <w:rsid w:val="00375076"/>
    <w:rsid w:val="00375BBA"/>
    <w:rsid w:val="00377EBB"/>
    <w:rsid w:val="00395CE4"/>
    <w:rsid w:val="003A5FFB"/>
    <w:rsid w:val="003A7FB6"/>
    <w:rsid w:val="003B3751"/>
    <w:rsid w:val="003F5771"/>
    <w:rsid w:val="004014B0"/>
    <w:rsid w:val="004059B0"/>
    <w:rsid w:val="00410916"/>
    <w:rsid w:val="00420E78"/>
    <w:rsid w:val="0042246F"/>
    <w:rsid w:val="00423663"/>
    <w:rsid w:val="00426AC1"/>
    <w:rsid w:val="00435AA4"/>
    <w:rsid w:val="00435EA8"/>
    <w:rsid w:val="004360BB"/>
    <w:rsid w:val="0045533C"/>
    <w:rsid w:val="004606DA"/>
    <w:rsid w:val="00463092"/>
    <w:rsid w:val="004676C0"/>
    <w:rsid w:val="00474E00"/>
    <w:rsid w:val="004835DB"/>
    <w:rsid w:val="00491D2D"/>
    <w:rsid w:val="00494797"/>
    <w:rsid w:val="00494965"/>
    <w:rsid w:val="004A2CB7"/>
    <w:rsid w:val="004B0C10"/>
    <w:rsid w:val="004B7CD7"/>
    <w:rsid w:val="004C19D7"/>
    <w:rsid w:val="004C297B"/>
    <w:rsid w:val="004C73C9"/>
    <w:rsid w:val="004D5491"/>
    <w:rsid w:val="004E01FA"/>
    <w:rsid w:val="004E6764"/>
    <w:rsid w:val="004F041D"/>
    <w:rsid w:val="004F1C55"/>
    <w:rsid w:val="00504FE5"/>
    <w:rsid w:val="00507348"/>
    <w:rsid w:val="0052054E"/>
    <w:rsid w:val="00522C97"/>
    <w:rsid w:val="00526814"/>
    <w:rsid w:val="005356FD"/>
    <w:rsid w:val="00543F04"/>
    <w:rsid w:val="00547D75"/>
    <w:rsid w:val="00551C8B"/>
    <w:rsid w:val="00554E24"/>
    <w:rsid w:val="00555A0F"/>
    <w:rsid w:val="00563F2B"/>
    <w:rsid w:val="00567130"/>
    <w:rsid w:val="0057034B"/>
    <w:rsid w:val="005719F5"/>
    <w:rsid w:val="00576125"/>
    <w:rsid w:val="00581E8F"/>
    <w:rsid w:val="00584F2D"/>
    <w:rsid w:val="00586A98"/>
    <w:rsid w:val="00587462"/>
    <w:rsid w:val="005927A4"/>
    <w:rsid w:val="00596B48"/>
    <w:rsid w:val="005B10E8"/>
    <w:rsid w:val="005B5026"/>
    <w:rsid w:val="005C3315"/>
    <w:rsid w:val="005E1CC3"/>
    <w:rsid w:val="005E6AD3"/>
    <w:rsid w:val="005F05C8"/>
    <w:rsid w:val="00602628"/>
    <w:rsid w:val="00604079"/>
    <w:rsid w:val="00617BE4"/>
    <w:rsid w:val="00620233"/>
    <w:rsid w:val="0063670E"/>
    <w:rsid w:val="006404B0"/>
    <w:rsid w:val="00653AD1"/>
    <w:rsid w:val="0066499C"/>
    <w:rsid w:val="006A7108"/>
    <w:rsid w:val="006B40DA"/>
    <w:rsid w:val="006C0C1C"/>
    <w:rsid w:val="006C5D5D"/>
    <w:rsid w:val="006D0A69"/>
    <w:rsid w:val="006D3888"/>
    <w:rsid w:val="006E215D"/>
    <w:rsid w:val="006E57C8"/>
    <w:rsid w:val="006E70E1"/>
    <w:rsid w:val="00701ABB"/>
    <w:rsid w:val="00711035"/>
    <w:rsid w:val="007130ED"/>
    <w:rsid w:val="0071582A"/>
    <w:rsid w:val="00722595"/>
    <w:rsid w:val="0073319E"/>
    <w:rsid w:val="00733C8A"/>
    <w:rsid w:val="007364EB"/>
    <w:rsid w:val="00745A37"/>
    <w:rsid w:val="00750829"/>
    <w:rsid w:val="007538C9"/>
    <w:rsid w:val="00753F63"/>
    <w:rsid w:val="007542C4"/>
    <w:rsid w:val="00755067"/>
    <w:rsid w:val="007561B6"/>
    <w:rsid w:val="0076410C"/>
    <w:rsid w:val="007649DA"/>
    <w:rsid w:val="00765553"/>
    <w:rsid w:val="00770891"/>
    <w:rsid w:val="00777B8B"/>
    <w:rsid w:val="00794795"/>
    <w:rsid w:val="007949EA"/>
    <w:rsid w:val="00796304"/>
    <w:rsid w:val="00796849"/>
    <w:rsid w:val="007A1AD6"/>
    <w:rsid w:val="007A59C3"/>
    <w:rsid w:val="007A7377"/>
    <w:rsid w:val="007B0E06"/>
    <w:rsid w:val="007B30FC"/>
    <w:rsid w:val="007C3643"/>
    <w:rsid w:val="007C5E52"/>
    <w:rsid w:val="007D227F"/>
    <w:rsid w:val="007E00D2"/>
    <w:rsid w:val="007E2AD4"/>
    <w:rsid w:val="007F4E08"/>
    <w:rsid w:val="0082780C"/>
    <w:rsid w:val="008333C7"/>
    <w:rsid w:val="00833E0F"/>
    <w:rsid w:val="008404FD"/>
    <w:rsid w:val="00850AEF"/>
    <w:rsid w:val="00860C6A"/>
    <w:rsid w:val="00862891"/>
    <w:rsid w:val="00865236"/>
    <w:rsid w:val="0087032B"/>
    <w:rsid w:val="00875048"/>
    <w:rsid w:val="00875BE1"/>
    <w:rsid w:val="00877715"/>
    <w:rsid w:val="00895CE3"/>
    <w:rsid w:val="0089603F"/>
    <w:rsid w:val="00897970"/>
    <w:rsid w:val="008A33FB"/>
    <w:rsid w:val="008A6FCB"/>
    <w:rsid w:val="008A7420"/>
    <w:rsid w:val="008B5A71"/>
    <w:rsid w:val="008D3BE2"/>
    <w:rsid w:val="008D4D98"/>
    <w:rsid w:val="008E2A7B"/>
    <w:rsid w:val="008E6E9B"/>
    <w:rsid w:val="008F2C56"/>
    <w:rsid w:val="008F3C99"/>
    <w:rsid w:val="00900D5B"/>
    <w:rsid w:val="009236FE"/>
    <w:rsid w:val="00924EA5"/>
    <w:rsid w:val="00940E00"/>
    <w:rsid w:val="0094190B"/>
    <w:rsid w:val="00945D4B"/>
    <w:rsid w:val="00950E0F"/>
    <w:rsid w:val="00960C2D"/>
    <w:rsid w:val="009630FA"/>
    <w:rsid w:val="00967670"/>
    <w:rsid w:val="00970996"/>
    <w:rsid w:val="00972811"/>
    <w:rsid w:val="00973D6C"/>
    <w:rsid w:val="00973F73"/>
    <w:rsid w:val="009800CC"/>
    <w:rsid w:val="00993ABE"/>
    <w:rsid w:val="00994560"/>
    <w:rsid w:val="009975A1"/>
    <w:rsid w:val="009A078E"/>
    <w:rsid w:val="009A2B30"/>
    <w:rsid w:val="009A4211"/>
    <w:rsid w:val="009A47A2"/>
    <w:rsid w:val="009E425E"/>
    <w:rsid w:val="009E4322"/>
    <w:rsid w:val="009E4DEB"/>
    <w:rsid w:val="009F0ADD"/>
    <w:rsid w:val="009F3E45"/>
    <w:rsid w:val="009F4384"/>
    <w:rsid w:val="009F442D"/>
    <w:rsid w:val="009F50DA"/>
    <w:rsid w:val="009F50E6"/>
    <w:rsid w:val="00A06D56"/>
    <w:rsid w:val="00A267CB"/>
    <w:rsid w:val="00A314A2"/>
    <w:rsid w:val="00A478C6"/>
    <w:rsid w:val="00A619C5"/>
    <w:rsid w:val="00A80BFF"/>
    <w:rsid w:val="00A8262F"/>
    <w:rsid w:val="00A84B32"/>
    <w:rsid w:val="00A84B3A"/>
    <w:rsid w:val="00A93B71"/>
    <w:rsid w:val="00AB0351"/>
    <w:rsid w:val="00AB0B32"/>
    <w:rsid w:val="00AB462F"/>
    <w:rsid w:val="00AB5C39"/>
    <w:rsid w:val="00AB75A9"/>
    <w:rsid w:val="00AB7B15"/>
    <w:rsid w:val="00AD1C5C"/>
    <w:rsid w:val="00AD566F"/>
    <w:rsid w:val="00B1733E"/>
    <w:rsid w:val="00B25A86"/>
    <w:rsid w:val="00B304B9"/>
    <w:rsid w:val="00B33FE6"/>
    <w:rsid w:val="00B55E1A"/>
    <w:rsid w:val="00B5605D"/>
    <w:rsid w:val="00B57988"/>
    <w:rsid w:val="00B62032"/>
    <w:rsid w:val="00B65F8C"/>
    <w:rsid w:val="00B7263B"/>
    <w:rsid w:val="00B73F47"/>
    <w:rsid w:val="00B7638A"/>
    <w:rsid w:val="00B80DF9"/>
    <w:rsid w:val="00B840D8"/>
    <w:rsid w:val="00B96467"/>
    <w:rsid w:val="00BA154E"/>
    <w:rsid w:val="00BA37CE"/>
    <w:rsid w:val="00BA4692"/>
    <w:rsid w:val="00BC6FDB"/>
    <w:rsid w:val="00BC7DE8"/>
    <w:rsid w:val="00BE0966"/>
    <w:rsid w:val="00BF43BA"/>
    <w:rsid w:val="00BF5722"/>
    <w:rsid w:val="00BF60B4"/>
    <w:rsid w:val="00BF6268"/>
    <w:rsid w:val="00BF720B"/>
    <w:rsid w:val="00C04511"/>
    <w:rsid w:val="00C16037"/>
    <w:rsid w:val="00C16846"/>
    <w:rsid w:val="00C34851"/>
    <w:rsid w:val="00C42A5B"/>
    <w:rsid w:val="00C549FA"/>
    <w:rsid w:val="00C56038"/>
    <w:rsid w:val="00C72664"/>
    <w:rsid w:val="00C86F24"/>
    <w:rsid w:val="00CA38C9"/>
    <w:rsid w:val="00CB4984"/>
    <w:rsid w:val="00CB5DD7"/>
    <w:rsid w:val="00CB77D5"/>
    <w:rsid w:val="00CC14F0"/>
    <w:rsid w:val="00CD049D"/>
    <w:rsid w:val="00CD2A5E"/>
    <w:rsid w:val="00CE3B0F"/>
    <w:rsid w:val="00CE40BB"/>
    <w:rsid w:val="00CF1C71"/>
    <w:rsid w:val="00D07696"/>
    <w:rsid w:val="00D11956"/>
    <w:rsid w:val="00D15A98"/>
    <w:rsid w:val="00D41545"/>
    <w:rsid w:val="00D500DC"/>
    <w:rsid w:val="00D54B39"/>
    <w:rsid w:val="00D63134"/>
    <w:rsid w:val="00D64FF3"/>
    <w:rsid w:val="00D657A2"/>
    <w:rsid w:val="00D760C8"/>
    <w:rsid w:val="00D83FFD"/>
    <w:rsid w:val="00D8617D"/>
    <w:rsid w:val="00D92563"/>
    <w:rsid w:val="00D9796E"/>
    <w:rsid w:val="00DB43F5"/>
    <w:rsid w:val="00DB4C98"/>
    <w:rsid w:val="00DC6E02"/>
    <w:rsid w:val="00DC7C10"/>
    <w:rsid w:val="00DD26B1"/>
    <w:rsid w:val="00DD5177"/>
    <w:rsid w:val="00DE16B8"/>
    <w:rsid w:val="00DE4CC2"/>
    <w:rsid w:val="00DF23FC"/>
    <w:rsid w:val="00DF39CD"/>
    <w:rsid w:val="00E0094D"/>
    <w:rsid w:val="00E10E27"/>
    <w:rsid w:val="00E13427"/>
    <w:rsid w:val="00E1374D"/>
    <w:rsid w:val="00E20134"/>
    <w:rsid w:val="00E20229"/>
    <w:rsid w:val="00E24CB2"/>
    <w:rsid w:val="00E3268D"/>
    <w:rsid w:val="00E32F63"/>
    <w:rsid w:val="00E3536D"/>
    <w:rsid w:val="00E44456"/>
    <w:rsid w:val="00E5254D"/>
    <w:rsid w:val="00E553B9"/>
    <w:rsid w:val="00E56E57"/>
    <w:rsid w:val="00E646D8"/>
    <w:rsid w:val="00E64F08"/>
    <w:rsid w:val="00E6599B"/>
    <w:rsid w:val="00E66E47"/>
    <w:rsid w:val="00E726DE"/>
    <w:rsid w:val="00E871C2"/>
    <w:rsid w:val="00E97188"/>
    <w:rsid w:val="00E97D8E"/>
    <w:rsid w:val="00EA1BAA"/>
    <w:rsid w:val="00EA2E3B"/>
    <w:rsid w:val="00EB5637"/>
    <w:rsid w:val="00ED401C"/>
    <w:rsid w:val="00EE1A6B"/>
    <w:rsid w:val="00EE333B"/>
    <w:rsid w:val="00EF06E4"/>
    <w:rsid w:val="00EF2642"/>
    <w:rsid w:val="00EF3681"/>
    <w:rsid w:val="00F10790"/>
    <w:rsid w:val="00F10E7C"/>
    <w:rsid w:val="00F13C1E"/>
    <w:rsid w:val="00F20BC2"/>
    <w:rsid w:val="00F342E4"/>
    <w:rsid w:val="00F35330"/>
    <w:rsid w:val="00F41C91"/>
    <w:rsid w:val="00F433A4"/>
    <w:rsid w:val="00F4421A"/>
    <w:rsid w:val="00F47316"/>
    <w:rsid w:val="00F5047F"/>
    <w:rsid w:val="00F55DA5"/>
    <w:rsid w:val="00F95ABE"/>
    <w:rsid w:val="00F9756D"/>
    <w:rsid w:val="00FB5F12"/>
    <w:rsid w:val="00FD417F"/>
    <w:rsid w:val="00FD7B1D"/>
    <w:rsid w:val="00FE1E22"/>
    <w:rsid w:val="00FF6C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DC88A68C-A7FB-46A6-9662-F1D3A2ED0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7420"/>
    <w:pPr>
      <w:tabs>
        <w:tab w:val="left" w:pos="567"/>
        <w:tab w:val="left" w:pos="1134"/>
        <w:tab w:val="left" w:pos="1701"/>
        <w:tab w:val="left" w:pos="2268"/>
        <w:tab w:val="left" w:pos="2835"/>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link w:val="Heading1Char"/>
    <w:qFormat/>
    <w:rsid w:val="00994560"/>
    <w:pPr>
      <w:keepNext/>
      <w:keepLines/>
      <w:spacing w:before="480"/>
      <w:ind w:left="567" w:hanging="567"/>
      <w:outlineLvl w:val="0"/>
    </w:pPr>
    <w:rPr>
      <w:b/>
      <w:sz w:val="28"/>
    </w:rPr>
  </w:style>
  <w:style w:type="paragraph" w:styleId="Heading2">
    <w:name w:val="heading 2"/>
    <w:basedOn w:val="Heading1"/>
    <w:next w:val="Normal"/>
    <w:link w:val="Heading2Char"/>
    <w:qFormat/>
    <w:rsid w:val="00994560"/>
    <w:pPr>
      <w:spacing w:before="320"/>
      <w:outlineLvl w:val="1"/>
    </w:pPr>
    <w:rPr>
      <w:sz w:val="24"/>
    </w:rPr>
  </w:style>
  <w:style w:type="paragraph" w:styleId="Heading3">
    <w:name w:val="heading 3"/>
    <w:basedOn w:val="Heading1"/>
    <w:next w:val="Normal"/>
    <w:link w:val="Heading3Char"/>
    <w:qFormat/>
    <w:rsid w:val="00994560"/>
    <w:pPr>
      <w:spacing w:before="200"/>
      <w:outlineLvl w:val="2"/>
    </w:pPr>
    <w:rPr>
      <w:sz w:val="24"/>
    </w:rPr>
  </w:style>
  <w:style w:type="paragraph" w:styleId="Heading4">
    <w:name w:val="heading 4"/>
    <w:basedOn w:val="Heading3"/>
    <w:next w:val="Normal"/>
    <w:link w:val="Heading4Char"/>
    <w:qFormat/>
    <w:rsid w:val="00994560"/>
    <w:pPr>
      <w:ind w:left="1134" w:hanging="1134"/>
      <w:outlineLvl w:val="3"/>
    </w:pPr>
  </w:style>
  <w:style w:type="paragraph" w:styleId="Heading5">
    <w:name w:val="heading 5"/>
    <w:basedOn w:val="Heading4"/>
    <w:next w:val="Normal"/>
    <w:link w:val="Heading5Char"/>
    <w:qFormat/>
    <w:rsid w:val="00994560"/>
    <w:pPr>
      <w:outlineLvl w:val="4"/>
    </w:pPr>
  </w:style>
  <w:style w:type="paragraph" w:styleId="Heading6">
    <w:name w:val="heading 6"/>
    <w:basedOn w:val="Heading4"/>
    <w:next w:val="Normal"/>
    <w:link w:val="Heading6Char"/>
    <w:qFormat/>
    <w:rsid w:val="00994560"/>
    <w:pPr>
      <w:outlineLvl w:val="5"/>
    </w:pPr>
  </w:style>
  <w:style w:type="paragraph" w:styleId="Heading7">
    <w:name w:val="heading 7"/>
    <w:basedOn w:val="Heading4"/>
    <w:next w:val="Normal"/>
    <w:link w:val="Heading7Char"/>
    <w:qFormat/>
    <w:rsid w:val="00994560"/>
    <w:pPr>
      <w:ind w:left="1701" w:hanging="1701"/>
      <w:outlineLvl w:val="6"/>
    </w:pPr>
  </w:style>
  <w:style w:type="paragraph" w:styleId="Heading8">
    <w:name w:val="heading 8"/>
    <w:basedOn w:val="Heading4"/>
    <w:next w:val="Normal"/>
    <w:link w:val="Heading8Char"/>
    <w:qFormat/>
    <w:rsid w:val="00994560"/>
    <w:pPr>
      <w:ind w:left="1701" w:hanging="1701"/>
      <w:outlineLvl w:val="7"/>
    </w:pPr>
  </w:style>
  <w:style w:type="paragraph" w:styleId="Heading9">
    <w:name w:val="heading 9"/>
    <w:basedOn w:val="Heading4"/>
    <w:next w:val="Normal"/>
    <w:link w:val="Heading9Char"/>
    <w:qFormat/>
    <w:rsid w:val="00994560"/>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4560"/>
    <w:rPr>
      <w:rFonts w:ascii="Calibri" w:hAnsi="Calibri"/>
      <w:b/>
      <w:sz w:val="28"/>
      <w:lang w:val="en-GB" w:eastAsia="en-US"/>
    </w:rPr>
  </w:style>
  <w:style w:type="character" w:customStyle="1" w:styleId="Heading2Char">
    <w:name w:val="Heading 2 Char"/>
    <w:basedOn w:val="DefaultParagraphFont"/>
    <w:link w:val="Heading2"/>
    <w:rsid w:val="00994560"/>
    <w:rPr>
      <w:rFonts w:ascii="Calibri" w:hAnsi="Calibri"/>
      <w:b/>
      <w:sz w:val="24"/>
      <w:lang w:val="en-GB" w:eastAsia="en-US"/>
    </w:rPr>
  </w:style>
  <w:style w:type="character" w:customStyle="1" w:styleId="Heading3Char">
    <w:name w:val="Heading 3 Char"/>
    <w:basedOn w:val="DefaultParagraphFont"/>
    <w:link w:val="Heading3"/>
    <w:rsid w:val="00994560"/>
    <w:rPr>
      <w:rFonts w:ascii="Calibri" w:hAnsi="Calibri"/>
      <w:b/>
      <w:sz w:val="24"/>
      <w:lang w:val="en-GB" w:eastAsia="en-US"/>
    </w:rPr>
  </w:style>
  <w:style w:type="character" w:customStyle="1" w:styleId="Heading4Char">
    <w:name w:val="Heading 4 Char"/>
    <w:basedOn w:val="DefaultParagraphFont"/>
    <w:link w:val="Heading4"/>
    <w:rsid w:val="00994560"/>
    <w:rPr>
      <w:rFonts w:ascii="Calibri" w:hAnsi="Calibri"/>
      <w:b/>
      <w:sz w:val="24"/>
      <w:lang w:val="en-GB" w:eastAsia="en-US"/>
    </w:rPr>
  </w:style>
  <w:style w:type="character" w:customStyle="1" w:styleId="Heading5Char">
    <w:name w:val="Heading 5 Char"/>
    <w:basedOn w:val="DefaultParagraphFont"/>
    <w:link w:val="Heading5"/>
    <w:rsid w:val="00994560"/>
    <w:rPr>
      <w:rFonts w:ascii="Calibri" w:hAnsi="Calibri"/>
      <w:b/>
      <w:sz w:val="24"/>
      <w:lang w:val="en-GB" w:eastAsia="en-US"/>
    </w:rPr>
  </w:style>
  <w:style w:type="character" w:customStyle="1" w:styleId="Heading6Char">
    <w:name w:val="Heading 6 Char"/>
    <w:basedOn w:val="DefaultParagraphFont"/>
    <w:link w:val="Heading6"/>
    <w:rsid w:val="00994560"/>
    <w:rPr>
      <w:rFonts w:ascii="Calibri" w:hAnsi="Calibri"/>
      <w:b/>
      <w:sz w:val="24"/>
      <w:lang w:val="en-GB" w:eastAsia="en-US"/>
    </w:rPr>
  </w:style>
  <w:style w:type="character" w:customStyle="1" w:styleId="Heading7Char">
    <w:name w:val="Heading 7 Char"/>
    <w:basedOn w:val="DefaultParagraphFont"/>
    <w:link w:val="Heading7"/>
    <w:rsid w:val="00994560"/>
    <w:rPr>
      <w:rFonts w:ascii="Calibri" w:hAnsi="Calibri"/>
      <w:b/>
      <w:sz w:val="24"/>
      <w:lang w:val="en-GB" w:eastAsia="en-US"/>
    </w:rPr>
  </w:style>
  <w:style w:type="character" w:customStyle="1" w:styleId="Heading8Char">
    <w:name w:val="Heading 8 Char"/>
    <w:basedOn w:val="DefaultParagraphFont"/>
    <w:link w:val="Heading8"/>
    <w:rsid w:val="00994560"/>
    <w:rPr>
      <w:rFonts w:ascii="Calibri" w:hAnsi="Calibri"/>
      <w:b/>
      <w:sz w:val="24"/>
      <w:lang w:val="en-GB" w:eastAsia="en-US"/>
    </w:rPr>
  </w:style>
  <w:style w:type="character" w:customStyle="1" w:styleId="Heading9Char">
    <w:name w:val="Heading 9 Char"/>
    <w:basedOn w:val="DefaultParagraphFont"/>
    <w:link w:val="Heading9"/>
    <w:rsid w:val="00994560"/>
    <w:rPr>
      <w:rFonts w:ascii="Calibri" w:hAnsi="Calibri"/>
      <w:b/>
      <w:sz w:val="24"/>
      <w:lang w:val="en-GB" w:eastAsia="en-US"/>
    </w:rPr>
  </w:style>
  <w:style w:type="paragraph" w:styleId="TOC8">
    <w:name w:val="toc 8"/>
    <w:basedOn w:val="Normal"/>
    <w:next w:val="Normal"/>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994560"/>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994560"/>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994560"/>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link w:val="FooterChar"/>
    <w:rsid w:val="00994560"/>
    <w:pPr>
      <w:tabs>
        <w:tab w:val="clear" w:pos="567"/>
        <w:tab w:val="clear" w:pos="1134"/>
        <w:tab w:val="clear" w:pos="1701"/>
        <w:tab w:val="clear" w:pos="2268"/>
        <w:tab w:val="clear" w:pos="2835"/>
        <w:tab w:val="left" w:pos="5954"/>
        <w:tab w:val="right" w:pos="9639"/>
      </w:tabs>
      <w:spacing w:before="0"/>
    </w:pPr>
    <w:rPr>
      <w:caps/>
      <w:noProof/>
      <w:sz w:val="16"/>
    </w:rPr>
  </w:style>
  <w:style w:type="character" w:customStyle="1" w:styleId="FooterChar">
    <w:name w:val="Footer Char"/>
    <w:basedOn w:val="DefaultParagraphFont"/>
    <w:link w:val="Footer"/>
    <w:rsid w:val="00994560"/>
    <w:rPr>
      <w:rFonts w:ascii="Calibri" w:hAnsi="Calibri"/>
      <w:caps/>
      <w:noProof/>
      <w:sz w:val="16"/>
      <w:lang w:val="en-GB" w:eastAsia="en-US"/>
    </w:rPr>
  </w:style>
  <w:style w:type="paragraph" w:styleId="Header">
    <w:name w:val="header"/>
    <w:basedOn w:val="Normal"/>
    <w:link w:val="HeaderChar"/>
    <w:uiPriority w:val="99"/>
    <w:rsid w:val="00AB0351"/>
    <w:pPr>
      <w:tabs>
        <w:tab w:val="clear" w:pos="567"/>
        <w:tab w:val="clear" w:pos="1134"/>
        <w:tab w:val="clear" w:pos="1701"/>
        <w:tab w:val="clear" w:pos="2268"/>
        <w:tab w:val="clear" w:pos="2835"/>
        <w:tab w:val="center" w:pos="4678"/>
        <w:tab w:val="right" w:pos="9356"/>
      </w:tabs>
      <w:spacing w:before="0"/>
      <w:jc w:val="center"/>
    </w:pPr>
    <w:rPr>
      <w:sz w:val="22"/>
    </w:rPr>
  </w:style>
  <w:style w:type="character" w:customStyle="1" w:styleId="HeaderChar">
    <w:name w:val="Header Char"/>
    <w:basedOn w:val="DefaultParagraphFont"/>
    <w:link w:val="Header"/>
    <w:uiPriority w:val="99"/>
    <w:rsid w:val="00AB0351"/>
    <w:rPr>
      <w:rFonts w:ascii="Calibri" w:hAnsi="Calibri"/>
      <w:sz w:val="22"/>
      <w:lang w:val="en-GB" w:eastAsia="en-US"/>
    </w:rPr>
  </w:style>
  <w:style w:type="character" w:styleId="FootnoteReference">
    <w:name w:val="footnote reference"/>
    <w:basedOn w:val="DefaultParagraphFont"/>
    <w:rsid w:val="00994560"/>
    <w:rPr>
      <w:rFonts w:ascii="Calibri" w:hAnsi="Calibri"/>
      <w:position w:val="6"/>
      <w:sz w:val="16"/>
    </w:rPr>
  </w:style>
  <w:style w:type="paragraph" w:styleId="FootnoteText">
    <w:name w:val="footnote text"/>
    <w:basedOn w:val="Normal"/>
    <w:link w:val="FootnoteTextChar"/>
    <w:rsid w:val="00994560"/>
    <w:pPr>
      <w:keepLines/>
      <w:tabs>
        <w:tab w:val="left" w:pos="256"/>
      </w:tabs>
      <w:ind w:left="256" w:hanging="256"/>
    </w:pPr>
  </w:style>
  <w:style w:type="character" w:customStyle="1" w:styleId="FootnoteTextChar">
    <w:name w:val="Footnote Text Char"/>
    <w:basedOn w:val="DefaultParagraphFont"/>
    <w:link w:val="FootnoteText"/>
    <w:rsid w:val="00994560"/>
    <w:rPr>
      <w:rFonts w:ascii="Calibri" w:hAnsi="Calibri"/>
      <w:sz w:val="24"/>
      <w:lang w:val="en-GB" w:eastAsia="en-US"/>
    </w:rPr>
  </w:style>
  <w:style w:type="paragraph" w:styleId="NormalIndent">
    <w:name w:val="Normal Indent"/>
    <w:basedOn w:val="Normal"/>
    <w:rsid w:val="00994560"/>
    <w:pPr>
      <w:ind w:left="567"/>
    </w:pPr>
  </w:style>
  <w:style w:type="paragraph" w:customStyle="1" w:styleId="Tablelegend">
    <w:name w:val="Table_legend"/>
    <w:basedOn w:val="Tabletext"/>
    <w:rsid w:val="00994560"/>
    <w:pPr>
      <w:spacing w:before="120"/>
    </w:pPr>
  </w:style>
  <w:style w:type="paragraph" w:customStyle="1" w:styleId="Tabletext">
    <w:name w:val="Table_text"/>
    <w:basedOn w:val="Normal"/>
    <w:rsid w:val="00994560"/>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994560"/>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994560"/>
    <w:pPr>
      <w:keepNext/>
      <w:spacing w:before="560" w:after="120"/>
      <w:jc w:val="center"/>
    </w:pPr>
    <w:rPr>
      <w:caps/>
    </w:rPr>
  </w:style>
  <w:style w:type="paragraph" w:customStyle="1" w:styleId="enumlev1">
    <w:name w:val="enumlev1"/>
    <w:basedOn w:val="Normal"/>
    <w:link w:val="enumlev1Char"/>
    <w:rsid w:val="00994560"/>
    <w:pPr>
      <w:spacing w:before="86"/>
      <w:ind w:left="567" w:hanging="567"/>
    </w:pPr>
  </w:style>
  <w:style w:type="character" w:customStyle="1" w:styleId="enumlev1Char">
    <w:name w:val="enumlev1 Char"/>
    <w:basedOn w:val="DefaultParagraphFont"/>
    <w:link w:val="enumlev1"/>
    <w:rsid w:val="00994560"/>
    <w:rPr>
      <w:rFonts w:ascii="Calibri" w:hAnsi="Calibri"/>
      <w:sz w:val="24"/>
      <w:lang w:val="en-GB" w:eastAsia="en-US"/>
    </w:rPr>
  </w:style>
  <w:style w:type="paragraph" w:customStyle="1" w:styleId="enumlev2">
    <w:name w:val="enumlev2"/>
    <w:basedOn w:val="enumlev1"/>
    <w:link w:val="enumlev2Char"/>
    <w:rsid w:val="00994560"/>
    <w:pPr>
      <w:ind w:left="1134"/>
    </w:pPr>
  </w:style>
  <w:style w:type="character" w:customStyle="1" w:styleId="enumlev2Char">
    <w:name w:val="enumlev2 Char"/>
    <w:basedOn w:val="enumlev1Char"/>
    <w:link w:val="enumlev2"/>
    <w:rsid w:val="00994560"/>
    <w:rPr>
      <w:rFonts w:ascii="Calibri" w:hAnsi="Calibri"/>
      <w:sz w:val="24"/>
      <w:lang w:val="en-GB" w:eastAsia="en-US"/>
    </w:rPr>
  </w:style>
  <w:style w:type="paragraph" w:customStyle="1" w:styleId="enumlev3">
    <w:name w:val="enumlev3"/>
    <w:basedOn w:val="enumlev2"/>
    <w:rsid w:val="00994560"/>
    <w:pPr>
      <w:ind w:left="1701"/>
    </w:pPr>
  </w:style>
  <w:style w:type="paragraph" w:customStyle="1" w:styleId="Tablehead">
    <w:name w:val="Table_head"/>
    <w:basedOn w:val="Tabletext"/>
    <w:rsid w:val="00994560"/>
    <w:pPr>
      <w:spacing w:before="120" w:after="120"/>
      <w:jc w:val="center"/>
    </w:pPr>
    <w:rPr>
      <w:b/>
    </w:rPr>
  </w:style>
  <w:style w:type="paragraph" w:customStyle="1" w:styleId="Normalaftertitle">
    <w:name w:val="Normal after title"/>
    <w:basedOn w:val="Normal"/>
    <w:next w:val="Normal"/>
    <w:link w:val="NormalaftertitleChar"/>
    <w:rsid w:val="00994560"/>
    <w:pPr>
      <w:spacing w:before="240"/>
    </w:pPr>
  </w:style>
  <w:style w:type="character" w:customStyle="1" w:styleId="NormalaftertitleChar">
    <w:name w:val="Normal after title Char"/>
    <w:basedOn w:val="DefaultParagraphFont"/>
    <w:link w:val="Normalaftertitle"/>
    <w:locked/>
    <w:rsid w:val="00994560"/>
    <w:rPr>
      <w:rFonts w:ascii="Calibri" w:hAnsi="Calibri"/>
      <w:sz w:val="24"/>
      <w:lang w:val="en-GB" w:eastAsia="en-US"/>
    </w:rPr>
  </w:style>
  <w:style w:type="paragraph" w:customStyle="1" w:styleId="AnnexNo">
    <w:name w:val="Annex_No"/>
    <w:basedOn w:val="Normal"/>
    <w:next w:val="Annexref"/>
    <w:link w:val="AnnexNoChar"/>
    <w:rsid w:val="00994560"/>
    <w:pPr>
      <w:spacing w:before="720"/>
      <w:jc w:val="center"/>
    </w:pPr>
    <w:rPr>
      <w:caps/>
      <w:sz w:val="28"/>
    </w:rPr>
  </w:style>
  <w:style w:type="paragraph" w:customStyle="1" w:styleId="Annexref">
    <w:name w:val="Annex_ref"/>
    <w:basedOn w:val="Normal"/>
    <w:next w:val="Annextitle"/>
    <w:rsid w:val="00994560"/>
    <w:pPr>
      <w:jc w:val="center"/>
    </w:pPr>
  </w:style>
  <w:style w:type="paragraph" w:customStyle="1" w:styleId="Annextitle">
    <w:name w:val="Annex_title"/>
    <w:basedOn w:val="Normal"/>
    <w:next w:val="Normal"/>
    <w:rsid w:val="00994560"/>
    <w:pPr>
      <w:spacing w:before="240" w:after="240"/>
      <w:jc w:val="center"/>
    </w:pPr>
    <w:rPr>
      <w:b/>
      <w:sz w:val="28"/>
    </w:rPr>
  </w:style>
  <w:style w:type="character" w:customStyle="1" w:styleId="AnnexNoChar">
    <w:name w:val="Annex_No Char"/>
    <w:basedOn w:val="DefaultParagraphFont"/>
    <w:link w:val="AnnexNo"/>
    <w:rsid w:val="00994560"/>
    <w:rPr>
      <w:rFonts w:ascii="Calibri" w:hAnsi="Calibri"/>
      <w:caps/>
      <w:sz w:val="28"/>
      <w:lang w:val="en-GB" w:eastAsia="en-US"/>
    </w:rPr>
  </w:style>
  <w:style w:type="paragraph" w:customStyle="1" w:styleId="AppendixNo">
    <w:name w:val="Appendix_No"/>
    <w:basedOn w:val="AnnexNo"/>
    <w:next w:val="Appendixref"/>
    <w:rsid w:val="00994560"/>
  </w:style>
  <w:style w:type="paragraph" w:customStyle="1" w:styleId="Appendixref">
    <w:name w:val="Appendix_ref"/>
    <w:basedOn w:val="Annexref"/>
    <w:next w:val="Appendixtitle"/>
    <w:rsid w:val="00994560"/>
  </w:style>
  <w:style w:type="paragraph" w:customStyle="1" w:styleId="Appendixtitle">
    <w:name w:val="Appendix_title"/>
    <w:basedOn w:val="Annextitle"/>
    <w:next w:val="Normal"/>
    <w:rsid w:val="00994560"/>
  </w:style>
  <w:style w:type="paragraph" w:customStyle="1" w:styleId="Reftitle">
    <w:name w:val="Ref_title"/>
    <w:basedOn w:val="Normal"/>
    <w:next w:val="Reftext"/>
    <w:rsid w:val="00994560"/>
    <w:pPr>
      <w:spacing w:before="480"/>
      <w:jc w:val="center"/>
    </w:pPr>
    <w:rPr>
      <w:caps/>
      <w:sz w:val="28"/>
    </w:rPr>
  </w:style>
  <w:style w:type="paragraph" w:customStyle="1" w:styleId="Reftext">
    <w:name w:val="Ref_text"/>
    <w:basedOn w:val="Normal"/>
    <w:rsid w:val="00994560"/>
    <w:pPr>
      <w:ind w:left="567" w:hanging="567"/>
    </w:pPr>
  </w:style>
  <w:style w:type="paragraph" w:customStyle="1" w:styleId="Rectitle">
    <w:name w:val="Rec_title"/>
    <w:basedOn w:val="Normal"/>
    <w:next w:val="Heading1"/>
    <w:rsid w:val="008A7420"/>
    <w:pPr>
      <w:spacing w:before="240"/>
      <w:jc w:val="center"/>
    </w:pPr>
    <w:rPr>
      <w:b/>
      <w:sz w:val="34"/>
    </w:rPr>
  </w:style>
  <w:style w:type="paragraph" w:customStyle="1" w:styleId="Call">
    <w:name w:val="Call"/>
    <w:basedOn w:val="Normal"/>
    <w:next w:val="Normal"/>
    <w:link w:val="CallChar"/>
    <w:rsid w:val="00994560"/>
    <w:pPr>
      <w:keepNext/>
      <w:keepLines/>
      <w:tabs>
        <w:tab w:val="clear" w:pos="1134"/>
        <w:tab w:val="clear" w:pos="1701"/>
        <w:tab w:val="clear" w:pos="2268"/>
        <w:tab w:val="clear" w:pos="2835"/>
      </w:tabs>
      <w:spacing w:before="160"/>
      <w:ind w:left="567"/>
    </w:pPr>
    <w:rPr>
      <w:i/>
    </w:rPr>
  </w:style>
  <w:style w:type="character" w:customStyle="1" w:styleId="CallChar">
    <w:name w:val="Call Char"/>
    <w:basedOn w:val="DefaultParagraphFont"/>
    <w:link w:val="Call"/>
    <w:locked/>
    <w:rsid w:val="00994560"/>
    <w:rPr>
      <w:rFonts w:ascii="Calibri" w:hAnsi="Calibri"/>
      <w:i/>
      <w:sz w:val="24"/>
      <w:lang w:val="en-GB" w:eastAsia="en-US"/>
    </w:rPr>
  </w:style>
  <w:style w:type="paragraph" w:customStyle="1" w:styleId="RecNo">
    <w:name w:val="Rec_No"/>
    <w:basedOn w:val="Normal"/>
    <w:next w:val="Rectitle"/>
    <w:rsid w:val="008A7420"/>
    <w:pPr>
      <w:spacing w:before="720"/>
      <w:jc w:val="center"/>
    </w:pPr>
    <w:rPr>
      <w:caps/>
      <w:sz w:val="34"/>
    </w:rPr>
  </w:style>
  <w:style w:type="paragraph" w:customStyle="1" w:styleId="toc0">
    <w:name w:val="toc 0"/>
    <w:basedOn w:val="Normal"/>
    <w:next w:val="TOC1"/>
    <w:rsid w:val="00994560"/>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994560"/>
    <w:pPr>
      <w:tabs>
        <w:tab w:val="clear" w:pos="567"/>
        <w:tab w:val="clear" w:pos="1134"/>
        <w:tab w:val="clear" w:pos="1701"/>
        <w:tab w:val="clear" w:pos="2268"/>
        <w:tab w:val="clear" w:pos="2835"/>
      </w:tabs>
      <w:spacing w:before="600"/>
      <w:jc w:val="center"/>
    </w:pPr>
    <w:rPr>
      <w:caps/>
      <w:sz w:val="28"/>
    </w:rPr>
  </w:style>
  <w:style w:type="paragraph" w:customStyle="1" w:styleId="Note">
    <w:name w:val="Note"/>
    <w:basedOn w:val="Normal"/>
    <w:rsid w:val="00994560"/>
    <w:pPr>
      <w:tabs>
        <w:tab w:val="clear" w:pos="567"/>
        <w:tab w:val="left" w:pos="851"/>
      </w:tabs>
    </w:pPr>
  </w:style>
  <w:style w:type="paragraph" w:customStyle="1" w:styleId="MinusFootnote">
    <w:name w:val="MinusFootnote"/>
    <w:basedOn w:val="Normal"/>
    <w:rsid w:val="00994560"/>
    <w:pPr>
      <w:ind w:left="-1701" w:hanging="284"/>
    </w:pPr>
  </w:style>
  <w:style w:type="paragraph" w:customStyle="1" w:styleId="Title3">
    <w:name w:val="Title 3"/>
    <w:basedOn w:val="Title2"/>
    <w:next w:val="Normalaftertitle"/>
    <w:rsid w:val="00994560"/>
    <w:rPr>
      <w:caps w:val="0"/>
    </w:rPr>
  </w:style>
  <w:style w:type="paragraph" w:customStyle="1" w:styleId="Title2">
    <w:name w:val="Title 2"/>
    <w:basedOn w:val="Source"/>
    <w:next w:val="Title3"/>
    <w:rsid w:val="00994560"/>
    <w:pPr>
      <w:spacing w:before="240"/>
    </w:pPr>
    <w:rPr>
      <w:b w:val="0"/>
      <w:caps/>
    </w:rPr>
  </w:style>
  <w:style w:type="paragraph" w:customStyle="1" w:styleId="Source">
    <w:name w:val="Source"/>
    <w:basedOn w:val="Normal"/>
    <w:next w:val="Title1"/>
    <w:autoRedefine/>
    <w:rsid w:val="00994560"/>
    <w:pPr>
      <w:spacing w:before="840"/>
      <w:jc w:val="center"/>
    </w:pPr>
    <w:rPr>
      <w:b/>
      <w:sz w:val="28"/>
    </w:rPr>
  </w:style>
  <w:style w:type="paragraph" w:customStyle="1" w:styleId="Title1">
    <w:name w:val="Title 1"/>
    <w:basedOn w:val="Source"/>
    <w:next w:val="Title2"/>
    <w:rsid w:val="00994560"/>
    <w:pPr>
      <w:spacing w:before="240"/>
    </w:pPr>
    <w:rPr>
      <w:b w:val="0"/>
      <w:caps/>
    </w:rPr>
  </w:style>
  <w:style w:type="paragraph" w:customStyle="1" w:styleId="ArtNo">
    <w:name w:val="Art_No"/>
    <w:basedOn w:val="Normal"/>
    <w:next w:val="Arttitle"/>
    <w:rsid w:val="00994560"/>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994560"/>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994560"/>
  </w:style>
  <w:style w:type="paragraph" w:customStyle="1" w:styleId="Chaptitle">
    <w:name w:val="Chap_title"/>
    <w:basedOn w:val="Arttitle"/>
    <w:next w:val="Normal"/>
    <w:rsid w:val="00994560"/>
  </w:style>
  <w:style w:type="paragraph" w:customStyle="1" w:styleId="Reasons">
    <w:name w:val="Reasons"/>
    <w:basedOn w:val="Normal"/>
    <w:rsid w:val="00994560"/>
  </w:style>
  <w:style w:type="paragraph" w:customStyle="1" w:styleId="ResNo">
    <w:name w:val="Res_No"/>
    <w:basedOn w:val="AnnexNo"/>
    <w:next w:val="Restitle"/>
    <w:rsid w:val="00994560"/>
  </w:style>
  <w:style w:type="paragraph" w:customStyle="1" w:styleId="Restitle">
    <w:name w:val="Res_title"/>
    <w:basedOn w:val="Annextitle"/>
    <w:next w:val="Normal"/>
    <w:rsid w:val="00994560"/>
  </w:style>
  <w:style w:type="paragraph" w:customStyle="1" w:styleId="AnnexNoS2">
    <w:name w:val="Annex_No_S2"/>
    <w:basedOn w:val="AnnexNo"/>
    <w:next w:val="AnnexrefS2"/>
    <w:rsid w:val="00994560"/>
    <w:pPr>
      <w:tabs>
        <w:tab w:val="clear" w:pos="567"/>
        <w:tab w:val="clear" w:pos="1134"/>
        <w:tab w:val="clear" w:pos="1701"/>
        <w:tab w:val="clear" w:pos="2268"/>
        <w:tab w:val="clear" w:pos="2835"/>
        <w:tab w:val="left" w:pos="851"/>
      </w:tabs>
      <w:jc w:val="left"/>
    </w:pPr>
    <w:rPr>
      <w:b/>
      <w:sz w:val="24"/>
    </w:rPr>
  </w:style>
  <w:style w:type="paragraph" w:customStyle="1" w:styleId="AnnexrefS2">
    <w:name w:val="Annex_ref_S2"/>
    <w:basedOn w:val="Annexref"/>
    <w:next w:val="AnnextitleS2"/>
    <w:rsid w:val="00994560"/>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
    <w:next w:val="NormalS2"/>
    <w:rsid w:val="00994560"/>
    <w:pPr>
      <w:tabs>
        <w:tab w:val="clear" w:pos="567"/>
        <w:tab w:val="clear" w:pos="1134"/>
        <w:tab w:val="clear" w:pos="1701"/>
        <w:tab w:val="clear" w:pos="2268"/>
        <w:tab w:val="clear" w:pos="2835"/>
        <w:tab w:val="left" w:pos="851"/>
      </w:tabs>
      <w:jc w:val="left"/>
    </w:pPr>
    <w:rPr>
      <w:sz w:val="24"/>
    </w:rPr>
  </w:style>
  <w:style w:type="paragraph" w:customStyle="1" w:styleId="NormalS2">
    <w:name w:val="Normal_S2"/>
    <w:basedOn w:val="Normal"/>
    <w:rsid w:val="00994560"/>
    <w:pPr>
      <w:tabs>
        <w:tab w:val="clear" w:pos="567"/>
        <w:tab w:val="clear" w:pos="1134"/>
        <w:tab w:val="clear" w:pos="1701"/>
        <w:tab w:val="clear" w:pos="2268"/>
        <w:tab w:val="clear" w:pos="2835"/>
        <w:tab w:val="left" w:pos="851"/>
      </w:tabs>
    </w:pPr>
    <w:rPr>
      <w:b/>
    </w:rPr>
  </w:style>
  <w:style w:type="paragraph" w:customStyle="1" w:styleId="Section1">
    <w:name w:val="Section 1"/>
    <w:basedOn w:val="ChapNo"/>
    <w:next w:val="Normal"/>
    <w:rsid w:val="00994560"/>
    <w:rPr>
      <w:caps w:val="0"/>
    </w:rPr>
  </w:style>
  <w:style w:type="paragraph" w:customStyle="1" w:styleId="Section2">
    <w:name w:val="Section 2"/>
    <w:basedOn w:val="Section1"/>
    <w:next w:val="Normal"/>
    <w:rsid w:val="00994560"/>
    <w:pPr>
      <w:spacing w:before="240"/>
    </w:pPr>
    <w:rPr>
      <w:b/>
      <w:i/>
    </w:rPr>
  </w:style>
  <w:style w:type="paragraph" w:customStyle="1" w:styleId="AppendixNoS2">
    <w:name w:val="Appendix_No_S2"/>
    <w:basedOn w:val="AppendixNo"/>
    <w:next w:val="AppendixrefS2"/>
    <w:rsid w:val="00994560"/>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994560"/>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994560"/>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994560"/>
    <w:pPr>
      <w:tabs>
        <w:tab w:val="left" w:pos="851"/>
      </w:tabs>
      <w:jc w:val="left"/>
    </w:pPr>
    <w:rPr>
      <w:b/>
      <w:sz w:val="24"/>
    </w:rPr>
  </w:style>
  <w:style w:type="paragraph" w:customStyle="1" w:styleId="ArttitleS2">
    <w:name w:val="Art_title_S2"/>
    <w:basedOn w:val="Arttitle"/>
    <w:next w:val="NormalS2"/>
    <w:rsid w:val="00994560"/>
    <w:pPr>
      <w:tabs>
        <w:tab w:val="left" w:pos="851"/>
      </w:tabs>
      <w:jc w:val="left"/>
    </w:pPr>
    <w:rPr>
      <w:sz w:val="24"/>
    </w:rPr>
  </w:style>
  <w:style w:type="paragraph" w:customStyle="1" w:styleId="ChapNoS2">
    <w:name w:val="Chap_No_S2"/>
    <w:basedOn w:val="ChapNo"/>
    <w:next w:val="ChaptitleS2"/>
    <w:rsid w:val="00994560"/>
    <w:pPr>
      <w:tabs>
        <w:tab w:val="left" w:pos="851"/>
      </w:tabs>
      <w:jc w:val="left"/>
    </w:pPr>
    <w:rPr>
      <w:b/>
      <w:sz w:val="24"/>
    </w:rPr>
  </w:style>
  <w:style w:type="paragraph" w:customStyle="1" w:styleId="ChaptitleS2">
    <w:name w:val="Chap_title_S2"/>
    <w:basedOn w:val="Chaptitle"/>
    <w:next w:val="NormalS2"/>
    <w:rsid w:val="00994560"/>
    <w:pPr>
      <w:tabs>
        <w:tab w:val="left" w:pos="851"/>
      </w:tabs>
      <w:jc w:val="left"/>
    </w:pPr>
    <w:rPr>
      <w:sz w:val="24"/>
    </w:rPr>
  </w:style>
  <w:style w:type="paragraph" w:customStyle="1" w:styleId="enumlev1S2">
    <w:name w:val="enumlev1_S2"/>
    <w:basedOn w:val="enumlev1"/>
    <w:rsid w:val="00994560"/>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994560"/>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994560"/>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994560"/>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994560"/>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994560"/>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S2"/>
    <w:rsid w:val="00994560"/>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994560"/>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994560"/>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994560"/>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994560"/>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994560"/>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994560"/>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994560"/>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994560"/>
    <w:pPr>
      <w:tabs>
        <w:tab w:val="clear" w:pos="567"/>
        <w:tab w:val="clear" w:pos="1134"/>
        <w:tab w:val="clear" w:pos="1701"/>
        <w:tab w:val="clear" w:pos="2268"/>
        <w:tab w:val="clear" w:pos="2835"/>
        <w:tab w:val="left" w:pos="851"/>
      </w:tabs>
      <w:ind w:left="0"/>
    </w:pPr>
    <w:rPr>
      <w:b/>
    </w:rPr>
  </w:style>
  <w:style w:type="paragraph" w:customStyle="1" w:styleId="ReasonsS2">
    <w:name w:val="Reasons_S2"/>
    <w:basedOn w:val="Reasons"/>
    <w:rsid w:val="00994560"/>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994560"/>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994560"/>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994560"/>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994560"/>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994560"/>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994560"/>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994560"/>
    <w:pPr>
      <w:tabs>
        <w:tab w:val="left" w:pos="851"/>
      </w:tabs>
      <w:jc w:val="left"/>
    </w:pPr>
    <w:rPr>
      <w:caps/>
      <w:sz w:val="24"/>
    </w:rPr>
  </w:style>
  <w:style w:type="paragraph" w:customStyle="1" w:styleId="Section2S2">
    <w:name w:val="Section 2_S2"/>
    <w:basedOn w:val="Section2"/>
    <w:next w:val="NormalS2"/>
    <w:rsid w:val="00994560"/>
    <w:pPr>
      <w:tabs>
        <w:tab w:val="left" w:pos="851"/>
      </w:tabs>
      <w:jc w:val="left"/>
    </w:pPr>
    <w:rPr>
      <w:sz w:val="24"/>
    </w:rPr>
  </w:style>
  <w:style w:type="paragraph" w:customStyle="1" w:styleId="TableNoS2">
    <w:name w:val="Table_No_S2"/>
    <w:basedOn w:val="TableNo"/>
    <w:next w:val="TabletitleS2"/>
    <w:rsid w:val="00994560"/>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
    <w:next w:val="TabletextS2"/>
    <w:rsid w:val="00994560"/>
    <w:pPr>
      <w:keepNext w:val="0"/>
      <w:tabs>
        <w:tab w:val="clear" w:pos="2948"/>
        <w:tab w:val="clear" w:pos="4082"/>
        <w:tab w:val="left" w:pos="851"/>
      </w:tabs>
      <w:jc w:val="left"/>
    </w:pPr>
  </w:style>
  <w:style w:type="paragraph" w:customStyle="1" w:styleId="TabletextS2">
    <w:name w:val="Table_text_S2"/>
    <w:basedOn w:val="Tabletext"/>
    <w:rsid w:val="00994560"/>
    <w:pPr>
      <w:tabs>
        <w:tab w:val="left" w:pos="851"/>
      </w:tabs>
    </w:pPr>
    <w:rPr>
      <w:b/>
    </w:rPr>
  </w:style>
  <w:style w:type="paragraph" w:customStyle="1" w:styleId="TablelegendS2">
    <w:name w:val="Table_legend_S2"/>
    <w:basedOn w:val="Tablelegend"/>
    <w:rsid w:val="00994560"/>
    <w:pPr>
      <w:tabs>
        <w:tab w:val="left" w:pos="851"/>
      </w:tabs>
      <w:spacing w:after="0"/>
    </w:pPr>
    <w:rPr>
      <w:b/>
    </w:rPr>
  </w:style>
  <w:style w:type="paragraph" w:customStyle="1" w:styleId="FooterS2">
    <w:name w:val="Footer_S2"/>
    <w:basedOn w:val="Footer"/>
    <w:rsid w:val="00994560"/>
    <w:pPr>
      <w:tabs>
        <w:tab w:val="clear" w:pos="5954"/>
        <w:tab w:val="clear" w:pos="9639"/>
        <w:tab w:val="left" w:pos="3686"/>
        <w:tab w:val="right" w:pos="7655"/>
      </w:tabs>
      <w:ind w:left="-1985"/>
    </w:pPr>
  </w:style>
  <w:style w:type="paragraph" w:customStyle="1" w:styleId="HeaderS2">
    <w:name w:val="Header_S2"/>
    <w:basedOn w:val="Normal"/>
    <w:rsid w:val="00994560"/>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994560"/>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994560"/>
    <w:pPr>
      <w:tabs>
        <w:tab w:val="left" w:pos="851"/>
      </w:tabs>
      <w:jc w:val="left"/>
    </w:pPr>
  </w:style>
  <w:style w:type="paragraph" w:customStyle="1" w:styleId="NoteS2">
    <w:name w:val="Note_S2"/>
    <w:basedOn w:val="Note"/>
    <w:rsid w:val="00994560"/>
    <w:pPr>
      <w:tabs>
        <w:tab w:val="clear" w:pos="1134"/>
        <w:tab w:val="clear" w:pos="1701"/>
        <w:tab w:val="clear" w:pos="2268"/>
        <w:tab w:val="clear" w:pos="2835"/>
      </w:tabs>
    </w:pPr>
    <w:rPr>
      <w:b/>
    </w:rPr>
  </w:style>
  <w:style w:type="paragraph" w:customStyle="1" w:styleId="HeadingbS2">
    <w:name w:val="Headingb_S2"/>
    <w:basedOn w:val="Headingb"/>
    <w:next w:val="NormalS2"/>
    <w:rsid w:val="00994560"/>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994560"/>
    <w:pPr>
      <w:spacing w:before="160"/>
      <w:outlineLvl w:val="0"/>
    </w:pPr>
  </w:style>
  <w:style w:type="paragraph" w:customStyle="1" w:styleId="HeadingiS2">
    <w:name w:val="Headingi_S2"/>
    <w:basedOn w:val="Headingi"/>
    <w:next w:val="NormalS2"/>
    <w:rsid w:val="00994560"/>
    <w:pPr>
      <w:tabs>
        <w:tab w:val="clear" w:pos="567"/>
        <w:tab w:val="clear" w:pos="1134"/>
        <w:tab w:val="clear" w:pos="1701"/>
        <w:tab w:val="clear" w:pos="2268"/>
        <w:tab w:val="clear" w:pos="2835"/>
        <w:tab w:val="left" w:pos="851"/>
      </w:tabs>
    </w:pPr>
    <w:rPr>
      <w:b/>
      <w:i w:val="0"/>
    </w:rPr>
  </w:style>
  <w:style w:type="paragraph" w:customStyle="1" w:styleId="Headingi">
    <w:name w:val="Heading_i"/>
    <w:basedOn w:val="Heading3"/>
    <w:next w:val="Normal"/>
    <w:rsid w:val="00994560"/>
    <w:pPr>
      <w:spacing w:before="160"/>
      <w:outlineLvl w:val="0"/>
    </w:pPr>
    <w:rPr>
      <w:rFonts w:asciiTheme="minorHAnsi" w:hAnsiTheme="minorHAnsi"/>
      <w:b w:val="0"/>
      <w:i/>
    </w:rPr>
  </w:style>
  <w:style w:type="paragraph" w:customStyle="1" w:styleId="FirstFooter">
    <w:name w:val="FirstFooter"/>
    <w:basedOn w:val="Footer"/>
    <w:rsid w:val="00994560"/>
    <w:rPr>
      <w:caps w:val="0"/>
    </w:rPr>
  </w:style>
  <w:style w:type="character" w:styleId="PageNumber">
    <w:name w:val="page number"/>
    <w:basedOn w:val="DefaultParagraphFont"/>
    <w:rsid w:val="00994560"/>
    <w:rPr>
      <w:rFonts w:ascii="Calibri" w:hAnsi="Calibri"/>
    </w:rPr>
  </w:style>
  <w:style w:type="paragraph" w:customStyle="1" w:styleId="Heading1c">
    <w:name w:val="Heading 1c"/>
    <w:basedOn w:val="Heading1"/>
    <w:next w:val="Normal"/>
    <w:rsid w:val="00994560"/>
    <w:pPr>
      <w:ind w:left="0" w:firstLine="0"/>
      <w:jc w:val="center"/>
      <w:outlineLvl w:val="9"/>
    </w:pPr>
  </w:style>
  <w:style w:type="paragraph" w:customStyle="1" w:styleId="Heading1cS2">
    <w:name w:val="Heading 1c_S2"/>
    <w:basedOn w:val="Heading1c"/>
    <w:next w:val="NormalS2"/>
    <w:rsid w:val="00994560"/>
    <w:pPr>
      <w:tabs>
        <w:tab w:val="clear" w:pos="567"/>
        <w:tab w:val="clear" w:pos="1134"/>
        <w:tab w:val="clear" w:pos="1701"/>
        <w:tab w:val="clear" w:pos="2268"/>
        <w:tab w:val="clear" w:pos="2835"/>
        <w:tab w:val="left" w:pos="851"/>
      </w:tabs>
      <w:jc w:val="left"/>
    </w:pPr>
    <w:rPr>
      <w:sz w:val="24"/>
    </w:rPr>
  </w:style>
  <w:style w:type="paragraph" w:customStyle="1" w:styleId="Heading2i">
    <w:name w:val="Heading 2i"/>
    <w:basedOn w:val="Heading2"/>
    <w:next w:val="Normal"/>
    <w:rsid w:val="00994560"/>
    <w:rPr>
      <w:b w:val="0"/>
      <w:i/>
    </w:rPr>
  </w:style>
  <w:style w:type="paragraph" w:customStyle="1" w:styleId="Heading2iS2">
    <w:name w:val="Heading 2i_S2"/>
    <w:basedOn w:val="Heading2i"/>
    <w:next w:val="NormalS2"/>
    <w:rsid w:val="00994560"/>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994560"/>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994560"/>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994560"/>
    <w:pPr>
      <w:spacing w:before="320"/>
      <w:outlineLvl w:val="1"/>
    </w:pPr>
    <w:rPr>
      <w:sz w:val="24"/>
    </w:rPr>
  </w:style>
  <w:style w:type="paragraph" w:customStyle="1" w:styleId="Heading3pv">
    <w:name w:val="Heading 3pv"/>
    <w:basedOn w:val="Heading1pv"/>
    <w:next w:val="Normalpv"/>
    <w:rsid w:val="00994560"/>
    <w:pPr>
      <w:spacing w:before="200"/>
      <w:outlineLvl w:val="2"/>
    </w:pPr>
    <w:rPr>
      <w:sz w:val="24"/>
    </w:rPr>
  </w:style>
  <w:style w:type="paragraph" w:customStyle="1" w:styleId="SpecialFooter">
    <w:name w:val="Special Footer"/>
    <w:basedOn w:val="Footer"/>
    <w:rsid w:val="00994560"/>
    <w:pPr>
      <w:tabs>
        <w:tab w:val="left" w:pos="567"/>
        <w:tab w:val="left" w:pos="1134"/>
        <w:tab w:val="left" w:pos="1701"/>
        <w:tab w:val="left" w:pos="2268"/>
        <w:tab w:val="left" w:pos="2835"/>
      </w:tabs>
    </w:pPr>
    <w:rPr>
      <w:rFonts w:ascii="Times New Roman" w:hAnsi="Times New Roman"/>
      <w:caps w:val="0"/>
      <w:noProof w:val="0"/>
    </w:rPr>
  </w:style>
  <w:style w:type="paragraph" w:customStyle="1" w:styleId="NormalendS2">
    <w:name w:val="Normal_end_S2"/>
    <w:basedOn w:val="Normal"/>
    <w:qFormat/>
    <w:rsid w:val="00994560"/>
  </w:style>
  <w:style w:type="paragraph" w:customStyle="1" w:styleId="Figure">
    <w:name w:val="Figure"/>
    <w:basedOn w:val="Normal"/>
    <w:rsid w:val="00994560"/>
    <w:pPr>
      <w:keepNext/>
      <w:keepLines/>
      <w:jc w:val="center"/>
    </w:pPr>
  </w:style>
  <w:style w:type="paragraph" w:customStyle="1" w:styleId="FigureLegend">
    <w:name w:val="Figure_Legend"/>
    <w:basedOn w:val="Normal"/>
    <w:next w:val="Normal"/>
    <w:rsid w:val="007F4E08"/>
    <w:pPr>
      <w:keepNext/>
      <w:tabs>
        <w:tab w:val="clear" w:pos="2268"/>
        <w:tab w:val="left" w:pos="284"/>
        <w:tab w:val="left" w:pos="851"/>
      </w:tabs>
    </w:pPr>
    <w:rPr>
      <w:sz w:val="20"/>
    </w:rPr>
  </w:style>
  <w:style w:type="paragraph" w:customStyle="1" w:styleId="FigureTitle">
    <w:name w:val="Figure_Title"/>
    <w:basedOn w:val="Normal"/>
    <w:next w:val="Normal"/>
    <w:rsid w:val="00993ABE"/>
    <w:pPr>
      <w:keepNext/>
      <w:tabs>
        <w:tab w:val="clear" w:pos="1134"/>
        <w:tab w:val="clear" w:pos="2268"/>
      </w:tabs>
      <w:spacing w:before="0" w:after="720"/>
      <w:jc w:val="center"/>
    </w:pPr>
    <w:rPr>
      <w:b/>
      <w:sz w:val="20"/>
    </w:rPr>
  </w:style>
  <w:style w:type="paragraph" w:customStyle="1" w:styleId="TableRef">
    <w:name w:val="Table_Ref"/>
    <w:basedOn w:val="Normal"/>
    <w:next w:val="Normal"/>
    <w:rsid w:val="00994560"/>
    <w:pPr>
      <w:keepNext/>
      <w:spacing w:before="567"/>
      <w:jc w:val="center"/>
    </w:pPr>
    <w:rPr>
      <w:sz w:val="18"/>
    </w:rPr>
  </w:style>
  <w:style w:type="paragraph" w:customStyle="1" w:styleId="Equation">
    <w:name w:val="Equation"/>
    <w:basedOn w:val="Normal"/>
    <w:rsid w:val="00994560"/>
    <w:pPr>
      <w:tabs>
        <w:tab w:val="clear" w:pos="2268"/>
        <w:tab w:val="center" w:pos="4678"/>
        <w:tab w:val="right" w:pos="9356"/>
      </w:tabs>
    </w:pPr>
  </w:style>
  <w:style w:type="paragraph" w:customStyle="1" w:styleId="Section10">
    <w:name w:val="Section_1"/>
    <w:basedOn w:val="Normal"/>
    <w:rsid w:val="00994560"/>
    <w:pPr>
      <w:tabs>
        <w:tab w:val="clear" w:pos="1134"/>
        <w:tab w:val="clear" w:pos="2268"/>
        <w:tab w:val="center" w:pos="4678"/>
      </w:tabs>
      <w:spacing w:before="360"/>
      <w:jc w:val="center"/>
    </w:pPr>
    <w:rPr>
      <w:b/>
    </w:rPr>
  </w:style>
  <w:style w:type="paragraph" w:customStyle="1" w:styleId="TableFin">
    <w:name w:val="Table_Fin"/>
    <w:basedOn w:val="Normal"/>
    <w:rsid w:val="00994560"/>
    <w:pPr>
      <w:tabs>
        <w:tab w:val="clear" w:pos="1134"/>
      </w:tabs>
      <w:spacing w:before="0"/>
    </w:pPr>
    <w:rPr>
      <w:sz w:val="12"/>
    </w:rPr>
  </w:style>
  <w:style w:type="character" w:customStyle="1" w:styleId="href">
    <w:name w:val="href"/>
    <w:basedOn w:val="DefaultParagraphFont"/>
    <w:rsid w:val="00994560"/>
    <w:rPr>
      <w:color w:val="auto"/>
    </w:rPr>
  </w:style>
  <w:style w:type="paragraph" w:customStyle="1" w:styleId="Section20">
    <w:name w:val="Section_2"/>
    <w:basedOn w:val="Section10"/>
    <w:rsid w:val="00994560"/>
    <w:pPr>
      <w:jc w:val="left"/>
    </w:pPr>
    <w:rPr>
      <w:b w:val="0"/>
      <w:i/>
    </w:rPr>
  </w:style>
  <w:style w:type="paragraph" w:customStyle="1" w:styleId="Section3">
    <w:name w:val="Section_3"/>
    <w:basedOn w:val="Section10"/>
    <w:rsid w:val="00994560"/>
    <w:rPr>
      <w:b w:val="0"/>
    </w:rPr>
  </w:style>
  <w:style w:type="paragraph" w:customStyle="1" w:styleId="EquationLegend">
    <w:name w:val="Equation_Legend"/>
    <w:basedOn w:val="NormalIndent"/>
    <w:rsid w:val="00994560"/>
    <w:pPr>
      <w:tabs>
        <w:tab w:val="clear" w:pos="567"/>
        <w:tab w:val="clear" w:pos="1701"/>
        <w:tab w:val="clear" w:pos="2835"/>
        <w:tab w:val="left" w:pos="1871"/>
      </w:tabs>
      <w:ind w:left="1134"/>
    </w:pPr>
  </w:style>
  <w:style w:type="paragraph" w:customStyle="1" w:styleId="Section">
    <w:name w:val="Section"/>
    <w:basedOn w:val="Normal"/>
    <w:next w:val="Normal"/>
    <w:rsid w:val="00CD049D"/>
    <w:pPr>
      <w:keepNext/>
      <w:keepLines/>
      <w:tabs>
        <w:tab w:val="clear" w:pos="1134"/>
        <w:tab w:val="clear" w:pos="2268"/>
        <w:tab w:val="right" w:pos="567"/>
        <w:tab w:val="left" w:pos="794"/>
        <w:tab w:val="left" w:pos="1191"/>
        <w:tab w:val="left" w:pos="1588"/>
        <w:tab w:val="left" w:pos="1985"/>
      </w:tabs>
      <w:spacing w:before="624"/>
      <w:jc w:val="center"/>
    </w:pPr>
    <w:rPr>
      <w:sz w:val="28"/>
    </w:rPr>
  </w:style>
  <w:style w:type="paragraph" w:customStyle="1" w:styleId="FigureNo">
    <w:name w:val="Figure_No"/>
    <w:basedOn w:val="TableNo"/>
    <w:next w:val="FigureTitle"/>
    <w:rsid w:val="00994560"/>
    <w:pPr>
      <w:tabs>
        <w:tab w:val="clear" w:pos="567"/>
        <w:tab w:val="clear" w:pos="1134"/>
        <w:tab w:val="clear" w:pos="1701"/>
        <w:tab w:val="clear" w:pos="2268"/>
        <w:tab w:val="clear" w:pos="2835"/>
      </w:tabs>
      <w:spacing w:before="360"/>
    </w:pPr>
    <w:rPr>
      <w:caps w:val="0"/>
      <w:sz w:val="20"/>
    </w:rPr>
  </w:style>
  <w:style w:type="paragraph" w:styleId="TOC9">
    <w:name w:val="toc 9"/>
    <w:basedOn w:val="Normal"/>
    <w:next w:val="Normal"/>
    <w:autoRedefine/>
    <w:rsid w:val="00994560"/>
    <w:pPr>
      <w:tabs>
        <w:tab w:val="clear" w:pos="1134"/>
        <w:tab w:val="clear" w:pos="2268"/>
      </w:tabs>
      <w:ind w:left="1920"/>
    </w:pPr>
  </w:style>
  <w:style w:type="paragraph" w:customStyle="1" w:styleId="VolumeTitle">
    <w:name w:val="VolumeTitle"/>
    <w:basedOn w:val="Normal"/>
    <w:next w:val="Normal"/>
    <w:rsid w:val="00FF6C28"/>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pPr>
    <w:rPr>
      <w:rFonts w:asciiTheme="minorHAnsi" w:eastAsiaTheme="minorEastAsia" w:hAnsiTheme="minorHAnsi" w:cstheme="minorBidi"/>
      <w:b/>
      <w:bCs/>
      <w:sz w:val="40"/>
      <w:szCs w:val="32"/>
      <w:lang w:val="en-US" w:eastAsia="zh-CN"/>
    </w:rPr>
  </w:style>
  <w:style w:type="paragraph" w:customStyle="1" w:styleId="VolumeTitleS2">
    <w:name w:val="VolumeTitle_S2"/>
    <w:basedOn w:val="VolumeTitle"/>
    <w:next w:val="Normal"/>
    <w:qFormat/>
    <w:rsid w:val="005719F5"/>
  </w:style>
  <w:style w:type="paragraph" w:customStyle="1" w:styleId="refbasdepage">
    <w:name w:val="ref_basdepage"/>
    <w:basedOn w:val="Normal"/>
    <w:rsid w:val="006C0C1C"/>
    <w:pPr>
      <w:pBdr>
        <w:top w:val="single" w:sz="4" w:space="1" w:color="auto"/>
        <w:bottom w:val="single" w:sz="4" w:space="1" w:color="auto"/>
      </w:pBdr>
      <w:tabs>
        <w:tab w:val="clear" w:pos="567"/>
        <w:tab w:val="clear" w:pos="1701"/>
        <w:tab w:val="clear" w:pos="2835"/>
        <w:tab w:val="left" w:pos="1871"/>
      </w:tabs>
      <w:spacing w:before="480"/>
    </w:pPr>
    <w:rPr>
      <w:i/>
      <w:iCs/>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onesfer\Application%20Data\Microsoft\Templates\POOL%20E%20-%20ITU\PE_PP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F1575-542D-4BB5-A119-806DC8115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PE_PP10.dotm</Template>
  <TotalTime>148</TotalTime>
  <Pages>10</Pages>
  <Words>1454</Words>
  <Characters>8290</Characters>
  <Application>Microsoft Office Word</Application>
  <DocSecurity>0</DocSecurity>
  <Lines>69</Lines>
  <Paragraphs>19</Paragraphs>
  <ScaleCrop>false</ScaleCrop>
  <HeadingPairs>
    <vt:vector size="4" baseType="variant">
      <vt:variant>
        <vt:lpstr>Title</vt:lpstr>
      </vt:variant>
      <vt:variant>
        <vt:i4>1</vt:i4>
      </vt:variant>
      <vt:variant>
        <vt:lpstr>INTERNATIONAL   TELECOMMUNICATION   UNION	</vt:lpstr>
      </vt:variant>
      <vt:variant>
        <vt:i4>0</vt:i4>
      </vt:variant>
    </vt:vector>
  </HeadingPairs>
  <TitlesOfParts>
    <vt:vector size="1" baseType="lpstr">
      <vt:lpstr/>
    </vt:vector>
  </TitlesOfParts>
  <Manager>General Secretariat - Pool</Manager>
  <Company>International Telecommunication Union (ITU)</Company>
  <LinksUpToDate>false</LinksUpToDate>
  <CharactersWithSpaces>9725</CharactersWithSpaces>
  <SharedDoc>false</SharedDoc>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Plenipotentiary Conference (PP-10)</dc:subject>
  <dc:creator/>
  <cp:keywords>PP-10</cp:keywords>
  <dc:description/>
  <cp:lastModifiedBy>Sikacheva, Violetta</cp:lastModifiedBy>
  <cp:revision>21</cp:revision>
  <cp:lastPrinted>2010-10-13T02:01:00Z</cp:lastPrinted>
  <dcterms:created xsi:type="dcterms:W3CDTF">2012-03-26T16:21:00Z</dcterms:created>
  <dcterms:modified xsi:type="dcterms:W3CDTF">2015-03-27T11:33:00Z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REC-E.docx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