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5BF67B8C" wp14:editId="19EE83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365821">
      <w:pPr>
        <w:tabs>
          <w:tab w:val="clear" w:pos="794"/>
          <w:tab w:val="clear" w:pos="1191"/>
          <w:tab w:val="clear" w:pos="1588"/>
          <w:tab w:val="clear" w:pos="1985"/>
          <w:tab w:val="left" w:pos="5954"/>
        </w:tabs>
      </w:pPr>
      <w:r>
        <w:tab/>
        <w:t xml:space="preserve">Geneva, </w:t>
      </w:r>
      <w:r w:rsidR="00B66E9B">
        <w:t>2 March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B66E9B" w:rsidP="00571330">
            <w:pPr>
              <w:tabs>
                <w:tab w:val="left" w:pos="4111"/>
              </w:tabs>
              <w:spacing w:before="0"/>
              <w:ind w:left="57"/>
              <w:rPr>
                <w:b/>
              </w:rPr>
            </w:pPr>
            <w:r>
              <w:rPr>
                <w:b/>
              </w:rPr>
              <w:t>TSB Collective letter 7/12</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71330">
            <w:pPr>
              <w:tabs>
                <w:tab w:val="left" w:pos="4111"/>
              </w:tabs>
              <w:spacing w:before="0"/>
              <w:ind w:left="57"/>
            </w:pPr>
            <w:r>
              <w:t>+41 22 730</w:t>
            </w:r>
            <w:r w:rsidR="00B66E9B">
              <w:t xml:space="preserve"> 5780</w:t>
            </w:r>
            <w:r>
              <w:br/>
              <w:t>+41 22 730 5853</w:t>
            </w:r>
            <w:r>
              <w:br/>
            </w:r>
            <w:hyperlink r:id="rId9" w:history="1">
              <w:r w:rsidR="00B66E9B" w:rsidRPr="00CA1665">
                <w:rPr>
                  <w:rStyle w:val="Hyperlink"/>
                </w:rPr>
                <w:t>tsbsg12@itu.int</w:t>
              </w:r>
            </w:hyperlink>
            <w:r w:rsidR="00B66E9B">
              <w:rPr>
                <w:rStyle w:val="Hyperlink"/>
              </w:rPr>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B66E9B">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B66E9B">
              <w:t xml:space="preserve">12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B66E9B">
            <w:pPr>
              <w:tabs>
                <w:tab w:val="left" w:pos="4111"/>
              </w:tabs>
              <w:spacing w:before="0"/>
              <w:ind w:left="57"/>
              <w:rPr>
                <w:b/>
                <w:bCs/>
              </w:rPr>
            </w:pPr>
            <w:r w:rsidRPr="009E0E56">
              <w:rPr>
                <w:b/>
                <w:bCs/>
              </w:rPr>
              <w:t xml:space="preserve">Meeting of Study Group </w:t>
            </w:r>
            <w:r w:rsidR="007C4644">
              <w:rPr>
                <w:b/>
                <w:bCs/>
              </w:rPr>
              <w:t>12</w:t>
            </w:r>
            <w:r w:rsidR="00B66E9B">
              <w:rPr>
                <w:b/>
                <w:bCs/>
              </w:rPr>
              <w:br/>
            </w:r>
            <w:r w:rsidRPr="009E0E56">
              <w:rPr>
                <w:b/>
                <w:bCs/>
              </w:rPr>
              <w:t xml:space="preserve">Geneva, </w:t>
            </w:r>
            <w:r w:rsidR="00B66E9B">
              <w:rPr>
                <w:b/>
                <w:bCs/>
              </w:rPr>
              <w:t>29 May – 7 June 2012</w:t>
            </w:r>
          </w:p>
        </w:tc>
      </w:tr>
    </w:tbl>
    <w:p w:rsidR="00E643A2" w:rsidRDefault="00E643A2" w:rsidP="00182146">
      <w:pPr>
        <w:spacing w:before="0"/>
        <w:rPr>
          <w:rFonts w:ascii="Century Gothic" w:hAnsi="Century Gothic"/>
          <w:sz w:val="16"/>
        </w:rPr>
      </w:pPr>
    </w:p>
    <w:p w:rsidR="00A51E89" w:rsidRDefault="00A51E89" w:rsidP="00A51E89">
      <w:bookmarkStart w:id="2" w:name="Duties"/>
      <w:bookmarkEnd w:id="2"/>
      <w:r>
        <w:t>Dear Sir/Madam,</w:t>
      </w:r>
    </w:p>
    <w:p w:rsidR="00A51E89" w:rsidRDefault="00A51E89" w:rsidP="00B66E9B">
      <w:pPr>
        <w:ind w:right="-193"/>
      </w:pPr>
      <w:r>
        <w:t xml:space="preserve">It is my pleasure to invite you to attend Study Group </w:t>
      </w:r>
      <w:r w:rsidR="00B66E9B">
        <w:t>12</w:t>
      </w:r>
      <w:r>
        <w:t xml:space="preserve"> </w:t>
      </w:r>
      <w:r w:rsidR="00B66E9B">
        <w:t>(</w:t>
      </w:r>
      <w:r w:rsidR="00B66E9B" w:rsidRPr="005729D2">
        <w:t xml:space="preserve">Performance </w:t>
      </w:r>
      <w:proofErr w:type="spellStart"/>
      <w:r w:rsidR="00B66E9B" w:rsidRPr="005729D2">
        <w:t>QoS</w:t>
      </w:r>
      <w:proofErr w:type="spellEnd"/>
      <w:r w:rsidR="00B66E9B" w:rsidRPr="005729D2">
        <w:t xml:space="preserve"> and </w:t>
      </w:r>
      <w:proofErr w:type="spellStart"/>
      <w:r w:rsidR="00B66E9B" w:rsidRPr="005729D2">
        <w:t>QoE</w:t>
      </w:r>
      <w:proofErr w:type="spellEnd"/>
      <w:r>
        <w:t xml:space="preserve">) which is to meet at ITU headquarters, Geneva, from </w:t>
      </w:r>
      <w:r w:rsidR="00B66E9B">
        <w:t>29 May</w:t>
      </w:r>
      <w:r>
        <w:t xml:space="preserve"> to </w:t>
      </w:r>
      <w:r w:rsidR="00B66E9B">
        <w:t>7 June 2012</w:t>
      </w:r>
      <w:r w:rsidR="007C4644">
        <w:t xml:space="preserve"> inclusive</w:t>
      </w:r>
      <w:r>
        <w:t xml:space="preserve"> </w:t>
      </w:r>
      <w:r w:rsidR="000972FA">
        <w:t>(s</w:t>
      </w:r>
      <w:r>
        <w:t xml:space="preserve">ee TSB Circular </w:t>
      </w:r>
      <w:r w:rsidR="00B66E9B">
        <w:t>230</w:t>
      </w:r>
      <w:r>
        <w:t xml:space="preserve"> of </w:t>
      </w:r>
      <w:r w:rsidR="007C4644">
        <w:t>23 September 2011</w:t>
      </w:r>
      <w:r>
        <w:t>)</w:t>
      </w:r>
      <w:r w:rsidR="007C4644">
        <w:t>.</w:t>
      </w:r>
    </w:p>
    <w:p w:rsidR="00A51E89" w:rsidRDefault="00A51E89" w:rsidP="00CF58E2">
      <w:pPr>
        <w:ind w:right="-194"/>
      </w:pPr>
      <w:r>
        <w:t>I should like to inform you t</w:t>
      </w:r>
      <w:r w:rsidR="00B66E9B">
        <w:t>hat the meeting will open at 110</w:t>
      </w:r>
      <w:r>
        <w:t xml:space="preserve">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260A15">
      <w:r>
        <w:t xml:space="preserve">The draft </w:t>
      </w:r>
      <w:r>
        <w:rPr>
          <w:b/>
          <w:bCs/>
        </w:rPr>
        <w:t xml:space="preserve">Agenda </w:t>
      </w:r>
      <w:r w:rsidRPr="00580DD4">
        <w:t>of the meeting</w:t>
      </w:r>
      <w:r>
        <w:t xml:space="preserve">, as prepared by </w:t>
      </w:r>
      <w:r w:rsidR="00260A15">
        <w:t>the Chairman of SG12, Mr Charles Dvorak</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260A15">
        <w:t>the Management Team of SG12</w:t>
      </w:r>
      <w:r>
        <w:t xml:space="preserve">, is set out in </w:t>
      </w:r>
      <w:r>
        <w:rPr>
          <w:b/>
          <w:bCs/>
        </w:rPr>
        <w:t xml:space="preserve">Annex </w:t>
      </w:r>
      <w:r w:rsidR="00CF58E2">
        <w:rPr>
          <w:b/>
          <w:bCs/>
        </w:rPr>
        <w:t>C</w:t>
      </w:r>
      <w:r>
        <w:rPr>
          <w:b/>
          <w:bCs/>
        </w:rPr>
        <w:t>.</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F84F2E" w:rsidRDefault="00182146" w:rsidP="00A51E89">
      <w:r>
        <w:t>Annexes: 3</w:t>
      </w:r>
      <w:r w:rsidR="00F84F2E">
        <w:br w:type="page"/>
      </w:r>
    </w:p>
    <w:p w:rsidR="006B40C6" w:rsidRDefault="00182146" w:rsidP="006B40C6">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6B40C6">
        <w:rPr>
          <w:b/>
          <w:bCs/>
          <w:sz w:val="28"/>
          <w:szCs w:val="28"/>
        </w:rPr>
        <w:br/>
      </w:r>
      <w:r w:rsidR="006B40C6" w:rsidRPr="007B5B29">
        <w:rPr>
          <w:lang w:val="en-US"/>
        </w:rPr>
        <w:t>(to TSB Collective letter</w:t>
      </w:r>
      <w:r w:rsidR="006B40C6">
        <w:rPr>
          <w:lang w:val="en-US"/>
        </w:rPr>
        <w:t> 7/12</w:t>
      </w:r>
      <w:r w:rsidR="006B40C6"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A04DC9">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A04DC9">
        <w:t xml:space="preserve">12 </w:t>
      </w:r>
      <w:r>
        <w:t xml:space="preserve">website and must therefore be received by TSB </w:t>
      </w:r>
      <w:r>
        <w:rPr>
          <w:b/>
        </w:rPr>
        <w:t>not later than</w:t>
      </w:r>
      <w:r w:rsidR="00A04DC9">
        <w:rPr>
          <w:b/>
        </w:rPr>
        <w:t xml:space="preserve"> 16 May 2012. </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98663A">
      <w:pPr>
        <w:spacing w:after="120"/>
      </w:pPr>
      <w:r w:rsidRPr="00725F66">
        <w:rPr>
          <w:b/>
          <w:bCs/>
        </w:rPr>
        <w:t>DIRECT POSTING</w:t>
      </w:r>
      <w:r>
        <w:rPr>
          <w:b/>
          <w:bCs/>
        </w:rPr>
        <w:t>/DOCUMENT SUBMISSION</w:t>
      </w:r>
      <w:r w:rsidRPr="00725F66">
        <w:rPr>
          <w:b/>
          <w:bCs/>
        </w:rPr>
        <w:t>:</w:t>
      </w:r>
      <w:r>
        <w:t xml:space="preserve"> A direct posting system for contributi</w:t>
      </w:r>
      <w:r w:rsidR="00A04DC9">
        <w:t xml:space="preserve">ons is now available on-line.  </w:t>
      </w:r>
      <w:r>
        <w:t>The direct posting system allows ITU-T members to reserve contribution numbers and to upload/revise contributions directly to the ITU-T web server.  The direct posting system complements the traditional email submission facilities, which you may continue to use at</w:t>
      </w:r>
      <w:r w:rsidR="00A04DC9">
        <w:t xml:space="preserve"> the following address: </w:t>
      </w:r>
      <w:hyperlink r:id="rId10" w:history="1">
        <w:r w:rsidR="00A04DC9" w:rsidRPr="00CA1665">
          <w:rPr>
            <w:rStyle w:val="Hyperlink"/>
          </w:rPr>
          <w:t>tsbsg12@itu.int</w:t>
        </w:r>
      </w:hyperlink>
      <w:r w:rsidR="00A04DC9">
        <w:t>.</w:t>
      </w:r>
      <w:r>
        <w:t xml:space="preserve">  Further information and guidelines for the new direct posting system are available at the following address</w:t>
      </w:r>
      <w:r w:rsidR="0098663A">
        <w:t xml:space="preserve">: </w:t>
      </w:r>
      <w:hyperlink r:id="rId11"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337B41">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337B41">
        <w:rPr>
          <w:rFonts w:eastAsia="SimSun"/>
          <w:szCs w:val="24"/>
          <w:lang w:eastAsia="zh-CN"/>
        </w:rPr>
        <w:t>Charles Dvorak, Study Group 12</w:t>
      </w:r>
      <w:r>
        <w:rPr>
          <w:rFonts w:eastAsia="SimSun"/>
          <w:szCs w:val="24"/>
          <w:lang w:eastAsia="zh-CN"/>
        </w:rPr>
        <w:t xml:space="preserve"> will take further steps towards working in a fully electronic environment.  The meeting will therefore be run paperless. </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00DA288A" w:rsidRPr="009D7F3E">
          <w:rPr>
            <w:rStyle w:val="Hyperlink"/>
          </w:rPr>
          <w:t>http://itu.int/ITU-T/edh/faqs-support.html</w:t>
        </w:r>
      </w:hyperlink>
      <w:r>
        <w:t xml:space="preserve">). </w:t>
      </w:r>
    </w:p>
    <w:p w:rsidR="00182146" w:rsidRDefault="00182146" w:rsidP="00367DBC">
      <w:pPr>
        <w:autoSpaceDE w:val="0"/>
        <w:autoSpaceDN w:val="0"/>
        <w:adjustRightInd w:val="0"/>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BF1E0F" w:rsidRDefault="00BF1E0F" w:rsidP="00F84F2E">
      <w:pPr>
        <w:spacing w:after="120"/>
      </w:pPr>
      <w:r>
        <w:rPr>
          <w:b/>
          <w:bCs/>
        </w:rPr>
        <w:t>LOAN LAPTOPS:</w:t>
      </w:r>
      <w:r>
        <w:t xml:space="preserve"> The ITU Service Desk (</w:t>
      </w:r>
      <w:hyperlink r:id="rId14" w:history="1">
        <w:r>
          <w:rPr>
            <w:rStyle w:val="Hyperlink"/>
          </w:rPr>
          <w:t>servicedesk@itu.int</w:t>
        </w:r>
      </w:hyperlink>
      <w:r>
        <w:t>) has available a limited number of laptops on a first-come, first-serve basis, for those who do not have one.</w:t>
      </w:r>
    </w:p>
    <w:p w:rsidR="00BF1E0F" w:rsidRDefault="00BF1E0F" w:rsidP="00F84F2E">
      <w:pPr>
        <w:spacing w:after="120"/>
      </w:pPr>
      <w:r>
        <w:rPr>
          <w:b/>
          <w:bCs/>
        </w:rPr>
        <w:t>PRINTERS:</w:t>
      </w:r>
      <w:r>
        <w:t xml:space="preserve"> Printers are available in the cyber café on the second basement level of the Tower building, on the ground floor of the </w:t>
      </w:r>
      <w:proofErr w:type="spellStart"/>
      <w:r>
        <w:t>Montbrillant</w:t>
      </w:r>
      <w:proofErr w:type="spellEnd"/>
      <w:r>
        <w:t xml:space="preserve">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w:t>
      </w:r>
      <w:r w:rsidR="00F84F2E">
        <w:t>ments to be printed to an email</w:t>
      </w:r>
      <w:r>
        <w:t xml:space="preserve">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sidR="00A57DA5">
          <w:rPr>
            <w:rStyle w:val="Hyperlink"/>
          </w:rPr>
          <w:t>http://itu.int/ITU-T/go/e-print</w:t>
        </w:r>
      </w:hyperlink>
      <w:r>
        <w:t>.</w:t>
      </w:r>
    </w:p>
    <w:p w:rsidR="00BF1E0F" w:rsidRDefault="00BF1E0F" w:rsidP="00BF1E0F">
      <w:pPr>
        <w:tabs>
          <w:tab w:val="left" w:pos="1418"/>
          <w:tab w:val="left" w:pos="1702"/>
          <w:tab w:val="left" w:pos="2160"/>
        </w:tabs>
        <w:spacing w:after="120"/>
        <w:ind w:right="92"/>
        <w:jc w:val="center"/>
        <w:rPr>
          <w:b/>
          <w:bCs/>
          <w:sz w:val="28"/>
          <w:szCs w:val="28"/>
        </w:rPr>
      </w:pP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t>REGISTRATION</w:t>
      </w:r>
      <w:r>
        <w:rPr>
          <w:b/>
          <w:bCs/>
        </w:rPr>
        <w:t>,</w:t>
      </w:r>
      <w:r w:rsidRPr="00580DD4">
        <w:rPr>
          <w:b/>
          <w:bCs/>
        </w:rPr>
        <w:t xml:space="preserve"> </w:t>
      </w:r>
      <w:r w:rsidRPr="00F84F2E">
        <w:rPr>
          <w:b/>
          <w:bCs/>
          <w:sz w:val="28"/>
          <w:szCs w:val="28"/>
        </w:rPr>
        <w:t>NEW DELEGATES and FELLOWSHIPS</w:t>
      </w:r>
    </w:p>
    <w:p w:rsidR="00182146" w:rsidRDefault="00182146" w:rsidP="00B92AEC">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B92AEC">
        <w:rPr>
          <w:b/>
        </w:rPr>
        <w:t>29 April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AD79C1">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8" w:history="1">
        <w:r w:rsidR="00B92AEC" w:rsidRPr="00727882">
          <w:rPr>
            <w:rStyle w:val="Hyperlink"/>
            <w:b/>
            <w:bCs/>
          </w:rPr>
          <w:t>http://itu.int/ITU-T/studygroups/com12</w:t>
        </w:r>
      </w:hyperlink>
      <w:r w:rsidR="00F84F2E">
        <w:rPr>
          <w:b/>
          <w:bCs/>
        </w:rPr>
        <w:t>)</w:t>
      </w:r>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F84F2E">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9"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F84F2E">
        <w:rPr>
          <w:rFonts w:asciiTheme="majorBidi" w:hAnsiTheme="majorBidi" w:cstheme="majorBidi"/>
          <w:b/>
          <w:bCs/>
          <w:sz w:val="24"/>
          <w:szCs w:val="24"/>
        </w:rPr>
        <w:t>29 April 2012</w:t>
      </w:r>
      <w:r w:rsidR="00F84F2E">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Default="00182146" w:rsidP="00367DBC">
      <w:pPr>
        <w:autoSpaceDE w:val="0"/>
        <w:autoSpaceDN w:val="0"/>
        <w:adjustRightInd w:val="0"/>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6B40C6" w:rsidTr="008F4613">
        <w:tc>
          <w:tcPr>
            <w:tcW w:w="2093" w:type="dxa"/>
            <w:shd w:val="clear" w:color="auto" w:fill="auto"/>
          </w:tcPr>
          <w:p w:rsidR="006B40C6" w:rsidRDefault="006B40C6" w:rsidP="008F4613">
            <w:pPr>
              <w:overflowPunct w:val="0"/>
              <w:autoSpaceDE w:val="0"/>
              <w:autoSpaceDN w:val="0"/>
              <w:adjustRightInd w:val="0"/>
              <w:textAlignment w:val="baseline"/>
            </w:pPr>
            <w:r>
              <w:t>Two months</w:t>
            </w:r>
          </w:p>
        </w:tc>
        <w:tc>
          <w:tcPr>
            <w:tcW w:w="1701" w:type="dxa"/>
            <w:shd w:val="clear" w:color="auto" w:fill="auto"/>
          </w:tcPr>
          <w:p w:rsidR="006B40C6" w:rsidRDefault="006B40C6" w:rsidP="008F4613">
            <w:pPr>
              <w:overflowPunct w:val="0"/>
              <w:autoSpaceDE w:val="0"/>
              <w:autoSpaceDN w:val="0"/>
              <w:adjustRightInd w:val="0"/>
              <w:jc w:val="center"/>
              <w:textAlignment w:val="baseline"/>
            </w:pPr>
            <w:r>
              <w:t>2012-03-29</w:t>
            </w:r>
          </w:p>
        </w:tc>
        <w:tc>
          <w:tcPr>
            <w:tcW w:w="6151" w:type="dxa"/>
            <w:shd w:val="clear" w:color="auto" w:fill="auto"/>
          </w:tcPr>
          <w:p w:rsidR="006B40C6" w:rsidRDefault="006B40C6" w:rsidP="008F4613">
            <w:pPr>
              <w:overflowPunct w:val="0"/>
              <w:autoSpaceDE w:val="0"/>
              <w:autoSpaceDN w:val="0"/>
              <w:adjustRightInd w:val="0"/>
              <w:textAlignment w:val="baseline"/>
            </w:pPr>
            <w:r>
              <w:t>- submit contributions for which translation is requested</w:t>
            </w:r>
          </w:p>
        </w:tc>
      </w:tr>
      <w:tr w:rsidR="006B40C6" w:rsidTr="008F4613">
        <w:tc>
          <w:tcPr>
            <w:tcW w:w="2093" w:type="dxa"/>
            <w:shd w:val="clear" w:color="auto" w:fill="auto"/>
          </w:tcPr>
          <w:p w:rsidR="006B40C6" w:rsidRDefault="006B40C6" w:rsidP="008F4613">
            <w:pPr>
              <w:overflowPunct w:val="0"/>
              <w:autoSpaceDE w:val="0"/>
              <w:autoSpaceDN w:val="0"/>
              <w:adjustRightInd w:val="0"/>
              <w:textAlignment w:val="baseline"/>
            </w:pPr>
            <w:r w:rsidRPr="00C16598">
              <w:t>One month</w:t>
            </w:r>
          </w:p>
        </w:tc>
        <w:tc>
          <w:tcPr>
            <w:tcW w:w="1701" w:type="dxa"/>
            <w:shd w:val="clear" w:color="auto" w:fill="auto"/>
          </w:tcPr>
          <w:p w:rsidR="006B40C6" w:rsidRDefault="006B40C6" w:rsidP="006B40C6">
            <w:pPr>
              <w:overflowPunct w:val="0"/>
              <w:autoSpaceDE w:val="0"/>
              <w:autoSpaceDN w:val="0"/>
              <w:adjustRightInd w:val="0"/>
              <w:spacing w:after="120"/>
              <w:jc w:val="center"/>
              <w:textAlignment w:val="baseline"/>
            </w:pPr>
            <w:r>
              <w:t>2012-04-29</w:t>
            </w:r>
          </w:p>
        </w:tc>
        <w:tc>
          <w:tcPr>
            <w:tcW w:w="6151" w:type="dxa"/>
            <w:shd w:val="clear" w:color="auto" w:fill="auto"/>
          </w:tcPr>
          <w:p w:rsidR="006B40C6" w:rsidRDefault="006B40C6" w:rsidP="008F4613">
            <w:pPr>
              <w:overflowPunct w:val="0"/>
              <w:autoSpaceDE w:val="0"/>
              <w:autoSpaceDN w:val="0"/>
              <w:adjustRightInd w:val="0"/>
              <w:spacing w:after="120"/>
              <w:textAlignment w:val="baseline"/>
            </w:pPr>
            <w:r>
              <w:t xml:space="preserve">- </w:t>
            </w:r>
            <w:r w:rsidRPr="00C16598">
              <w:t>fellowship requests</w:t>
            </w:r>
          </w:p>
          <w:p w:rsidR="006B40C6" w:rsidRDefault="006B40C6" w:rsidP="008F4613">
            <w:pPr>
              <w:overflowPunct w:val="0"/>
              <w:autoSpaceDE w:val="0"/>
              <w:autoSpaceDN w:val="0"/>
              <w:adjustRightInd w:val="0"/>
              <w:spacing w:after="120"/>
              <w:textAlignment w:val="baseline"/>
            </w:pPr>
            <w:r>
              <w:t>- requests for interpretation at opening and/or closing plenary</w:t>
            </w:r>
          </w:p>
          <w:p w:rsidR="006B40C6" w:rsidRDefault="006B40C6" w:rsidP="008F4613">
            <w:pPr>
              <w:overflowPunct w:val="0"/>
              <w:autoSpaceDE w:val="0"/>
              <w:autoSpaceDN w:val="0"/>
              <w:adjustRightInd w:val="0"/>
              <w:spacing w:after="120"/>
              <w:textAlignment w:val="baseline"/>
            </w:pPr>
            <w:r>
              <w:t>- requests for visas</w:t>
            </w:r>
          </w:p>
        </w:tc>
      </w:tr>
      <w:tr w:rsidR="006B40C6" w:rsidTr="008F4613">
        <w:tc>
          <w:tcPr>
            <w:tcW w:w="2093" w:type="dxa"/>
            <w:shd w:val="clear" w:color="auto" w:fill="auto"/>
          </w:tcPr>
          <w:p w:rsidR="006B40C6" w:rsidRDefault="006B40C6" w:rsidP="008F4613">
            <w:pPr>
              <w:overflowPunct w:val="0"/>
              <w:autoSpaceDE w:val="0"/>
              <w:autoSpaceDN w:val="0"/>
              <w:adjustRightInd w:val="0"/>
              <w:textAlignment w:val="baseline"/>
            </w:pPr>
            <w:r>
              <w:t>12 Calendar days</w:t>
            </w:r>
          </w:p>
        </w:tc>
        <w:tc>
          <w:tcPr>
            <w:tcW w:w="1701" w:type="dxa"/>
            <w:shd w:val="clear" w:color="auto" w:fill="auto"/>
          </w:tcPr>
          <w:p w:rsidR="006B40C6" w:rsidRDefault="006B40C6" w:rsidP="008F4613">
            <w:pPr>
              <w:overflowPunct w:val="0"/>
              <w:autoSpaceDE w:val="0"/>
              <w:autoSpaceDN w:val="0"/>
              <w:adjustRightInd w:val="0"/>
              <w:jc w:val="center"/>
              <w:textAlignment w:val="baseline"/>
            </w:pPr>
            <w:r>
              <w:t>2012-05-16</w:t>
            </w:r>
          </w:p>
        </w:tc>
        <w:tc>
          <w:tcPr>
            <w:tcW w:w="6151" w:type="dxa"/>
            <w:shd w:val="clear" w:color="auto" w:fill="auto"/>
          </w:tcPr>
          <w:p w:rsidR="006B40C6" w:rsidRDefault="006B40C6" w:rsidP="008F4613">
            <w:pPr>
              <w:overflowPunct w:val="0"/>
              <w:autoSpaceDE w:val="0"/>
              <w:autoSpaceDN w:val="0"/>
              <w:adjustRightInd w:val="0"/>
              <w:textAlignment w:val="baseline"/>
            </w:pPr>
            <w:r>
              <w:t>- final deadline for contributions</w:t>
            </w:r>
          </w:p>
        </w:tc>
      </w:tr>
    </w:tbl>
    <w:p w:rsidR="00182146" w:rsidRDefault="00182146" w:rsidP="00367DBC">
      <w:pPr>
        <w:tabs>
          <w:tab w:val="clear" w:pos="794"/>
          <w:tab w:val="clear" w:pos="1191"/>
          <w:tab w:val="clear" w:pos="1588"/>
          <w:tab w:val="clear" w:pos="1985"/>
        </w:tabs>
        <w:spacing w:after="120"/>
        <w:rPr>
          <w:b/>
          <w:bCs/>
        </w:rPr>
      </w:pPr>
    </w:p>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182146" w:rsidRDefault="00182146" w:rsidP="00367DBC">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F84F2E" w:rsidRDefault="00F84F2E" w:rsidP="00AD7319">
      <w:pPr>
        <w:spacing w:before="40" w:after="40"/>
        <w:sectPr w:rsidR="00F84F2E" w:rsidSect="00F84F2E">
          <w:headerReference w:type="default" r:id="rId22"/>
          <w:footerReference w:type="default" r:id="rId23"/>
          <w:footerReference w:type="first" r:id="rId24"/>
          <w:type w:val="oddPage"/>
          <w:pgSz w:w="11907" w:h="16727" w:code="9"/>
          <w:pgMar w:top="567" w:right="1089" w:bottom="113" w:left="1089" w:header="567" w:footer="567" w:gutter="0"/>
          <w:paperSrc w:first="15" w:other="15"/>
          <w:cols w:space="720"/>
          <w:titlePg/>
          <w:docGrid w:linePitch="326"/>
        </w:sectPr>
      </w:pP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AD731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AD7319">
        <w:rPr>
          <w:lang w:val="en-US"/>
        </w:rPr>
        <w:t> 7/12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64C2DF86" wp14:editId="230615B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F84F2E">
            <w:pPr>
              <w:spacing w:before="60"/>
              <w:jc w:val="center"/>
              <w:rPr>
                <w:b/>
                <w:bCs/>
              </w:rPr>
            </w:pPr>
            <w:r w:rsidRPr="00CB3420">
              <w:rPr>
                <w:b/>
                <w:bCs/>
              </w:rPr>
              <w:br/>
            </w:r>
            <w:r w:rsidRPr="00167799">
              <w:rPr>
                <w:b/>
                <w:bCs/>
              </w:rPr>
              <w:t xml:space="preserve">ITU-T Study Group </w:t>
            </w:r>
            <w:r w:rsidR="00F84F2E">
              <w:rPr>
                <w:b/>
                <w:bCs/>
              </w:rPr>
              <w:t>12</w:t>
            </w:r>
            <w:r>
              <w:rPr>
                <w:b/>
                <w:bCs/>
              </w:rPr>
              <w:t xml:space="preserve"> </w:t>
            </w:r>
            <w:r w:rsidRPr="00167799">
              <w:rPr>
                <w:b/>
                <w:bCs/>
              </w:rPr>
              <w:t>meeting</w:t>
            </w:r>
          </w:p>
          <w:p w:rsidR="00B25263" w:rsidRPr="00CB3420" w:rsidRDefault="00B25263" w:rsidP="00F84F2E">
            <w:pPr>
              <w:spacing w:before="60"/>
              <w:jc w:val="center"/>
              <w:rPr>
                <w:b/>
                <w:bCs/>
              </w:rPr>
            </w:pPr>
            <w:r w:rsidRPr="007B5B29">
              <w:rPr>
                <w:b/>
                <w:bCs/>
              </w:rPr>
              <w:t xml:space="preserve">Geneva, Switzerland, </w:t>
            </w:r>
            <w:r w:rsidR="00F84F2E">
              <w:rPr>
                <w:b/>
                <w:bCs/>
              </w:rPr>
              <w:t>29 May – 7 June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3B7BAE86" wp14:editId="12E3287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F84F2E">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F84F2E">
              <w:rPr>
                <w:b/>
                <w:iCs/>
                <w:lang w:val="en-US"/>
              </w:rPr>
              <w:t>29 April </w:t>
            </w:r>
            <w:r w:rsidR="00F84F2E" w:rsidRPr="00F84F2E">
              <w:rPr>
                <w:b/>
                <w:iCs/>
                <w:lang w:val="en-US"/>
              </w:rPr>
              <w:t>2012</w:t>
            </w:r>
            <w:r w:rsidRPr="007B5B29">
              <w:rPr>
                <w:b/>
                <w:iCs/>
                <w:lang w:val="en-US"/>
              </w:rPr>
              <w:t>  </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F84F2E">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7" w:history="1">
              <w:r w:rsidR="0085153E" w:rsidRPr="00727882">
                <w:rPr>
                  <w:rStyle w:val="Hyperlink"/>
                  <w:rFonts w:cs="Arial"/>
                  <w:sz w:val="18"/>
                  <w:szCs w:val="18"/>
                </w:rPr>
                <w:t>http://www.itu.int/ITU-T/studygroups/com12</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276001" w:rsidRDefault="00276001" w:rsidP="00F9493C">
      <w:pPr>
        <w:pStyle w:val="LetterStart"/>
        <w:tabs>
          <w:tab w:val="clear" w:pos="1361"/>
          <w:tab w:val="clear" w:pos="1758"/>
          <w:tab w:val="clear" w:pos="2155"/>
          <w:tab w:val="clear" w:pos="2552"/>
          <w:tab w:val="center" w:pos="4962"/>
        </w:tabs>
        <w:spacing w:before="120" w:line="240" w:lineRule="atLeast"/>
        <w:jc w:val="center"/>
        <w:rPr>
          <w:b/>
          <w:bCs/>
        </w:rPr>
        <w:sectPr w:rsidR="00276001" w:rsidSect="00F84F2E">
          <w:type w:val="oddPage"/>
          <w:pgSz w:w="11907" w:h="16727" w:code="9"/>
          <w:pgMar w:top="567" w:right="1089" w:bottom="113" w:left="1089" w:header="567" w:footer="567" w:gutter="0"/>
          <w:paperSrc w:first="15" w:other="15"/>
          <w:cols w:space="720"/>
          <w:docGrid w:linePitch="326"/>
        </w:sectPr>
      </w:pPr>
    </w:p>
    <w:p w:rsidR="00F9493C" w:rsidRDefault="00182146" w:rsidP="00F9493C">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AD7319">
        <w:rPr>
          <w:b/>
          <w:bCs/>
          <w:lang w:val="en-US"/>
        </w:rPr>
        <w:t xml:space="preserve"> </w:t>
      </w:r>
      <w:r w:rsidRPr="00B25263">
        <w:rPr>
          <w:b/>
          <w:bCs/>
          <w:lang w:val="en-US"/>
        </w:rPr>
        <w:t>2</w:t>
      </w:r>
      <w:r w:rsidR="00B25263" w:rsidRPr="00B25263">
        <w:rPr>
          <w:b/>
          <w:bCs/>
          <w:lang w:val="en-US"/>
        </w:rPr>
        <w:t xml:space="preserve"> - </w:t>
      </w:r>
      <w:r w:rsidRPr="00B25263">
        <w:rPr>
          <w:b/>
          <w:bCs/>
          <w:lang w:val="en-US"/>
        </w:rPr>
        <w:t>HOTELS</w:t>
      </w:r>
    </w:p>
    <w:p w:rsidR="00182146" w:rsidRPr="0053301F" w:rsidRDefault="00B25263" w:rsidP="00AD7319">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AD7319">
        <w:rPr>
          <w:lang w:val="en-US"/>
        </w:rPr>
        <w:t> 7/12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7A36299B" wp14:editId="0AE7298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6131E501" wp14:editId="522B4EF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6B40C6" w:rsidRDefault="00A51E89" w:rsidP="006B40C6">
      <w:pPr>
        <w:jc w:val="center"/>
        <w:rPr>
          <w:lang w:val="en-US"/>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B</w:t>
      </w:r>
      <w:proofErr w:type="gramEnd"/>
      <w:r w:rsidR="006B40C6">
        <w:rPr>
          <w:rFonts w:asciiTheme="majorBidi" w:hAnsiTheme="majorBidi" w:cstheme="majorBidi"/>
          <w:b/>
          <w:bCs/>
          <w:sz w:val="28"/>
          <w:szCs w:val="28"/>
        </w:rPr>
        <w:br/>
      </w:r>
      <w:r w:rsidR="006B40C6" w:rsidRPr="007B5B29">
        <w:rPr>
          <w:lang w:val="en-US"/>
        </w:rPr>
        <w:t>(to TSB Collective letter</w:t>
      </w:r>
      <w:r w:rsidR="006B40C6">
        <w:rPr>
          <w:lang w:val="en-US"/>
        </w:rPr>
        <w:t> 7/12</w:t>
      </w:r>
      <w:r w:rsidR="006B40C6" w:rsidRPr="007B5B29">
        <w:rPr>
          <w:lang w:val="en-US"/>
        </w:rPr>
        <w:t>)</w:t>
      </w:r>
    </w:p>
    <w:p w:rsidR="00A51E89" w:rsidRDefault="00A51E89" w:rsidP="00A51E89">
      <w:pPr>
        <w:ind w:right="-194"/>
        <w:jc w:val="center"/>
        <w:rPr>
          <w:rFonts w:asciiTheme="majorBidi" w:hAnsiTheme="majorBidi" w:cstheme="majorBidi"/>
          <w:szCs w:val="24"/>
        </w:rPr>
      </w:pPr>
    </w:p>
    <w:p w:rsidR="00AD7319" w:rsidRPr="00AD7319" w:rsidRDefault="00AD7319" w:rsidP="00AD7319">
      <w:pPr>
        <w:ind w:right="-194"/>
        <w:jc w:val="center"/>
        <w:rPr>
          <w:b/>
          <w:bCs/>
          <w:sz w:val="28"/>
          <w:szCs w:val="28"/>
        </w:rPr>
      </w:pPr>
      <w:r w:rsidRPr="00AD7319">
        <w:rPr>
          <w:b/>
          <w:bCs/>
          <w:sz w:val="28"/>
          <w:szCs w:val="28"/>
        </w:rPr>
        <w:t>Draft agenda for the meeting of Study Group 12</w:t>
      </w:r>
      <w:r w:rsidRPr="00AD7319">
        <w:rPr>
          <w:b/>
          <w:bCs/>
          <w:sz w:val="28"/>
          <w:szCs w:val="28"/>
        </w:rPr>
        <w:br/>
        <w:t>(Geneva, 29 May – 7 June 2012)</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Opening of the meeting</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Adoption of the agenda</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 xml:space="preserve">Document review and allocation </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 xml:space="preserve">Timetable for ad-hoc meetings </w:t>
      </w:r>
    </w:p>
    <w:p w:rsidR="00AD7319" w:rsidRPr="00A0472E" w:rsidRDefault="00AD7319" w:rsidP="00AD7319">
      <w:pPr>
        <w:numPr>
          <w:ilvl w:val="0"/>
          <w:numId w:val="7"/>
        </w:numPr>
        <w:tabs>
          <w:tab w:val="clear" w:pos="794"/>
          <w:tab w:val="clear" w:pos="1155"/>
          <w:tab w:val="left" w:pos="1134"/>
        </w:tabs>
        <w:spacing w:before="240"/>
        <w:ind w:left="1151" w:right="91" w:hanging="794"/>
        <w:rPr>
          <w:lang w:val="en-US"/>
        </w:rPr>
      </w:pPr>
      <w:r w:rsidRPr="00A0472E">
        <w:rPr>
          <w:lang w:val="en-US"/>
        </w:rPr>
        <w:t>Highlights of the last Chairmen/TSAG meetings</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 xml:space="preserve">Report of the Focus Group </w:t>
      </w:r>
      <w:proofErr w:type="spellStart"/>
      <w:r>
        <w:rPr>
          <w:lang w:val="en-US"/>
        </w:rPr>
        <w:t>CarCOM</w:t>
      </w:r>
      <w:proofErr w:type="spellEnd"/>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Report of the Focus Group Distraction and approval of revised Terms of Reference</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Report of the Regional Group (SG12 RG-AFR) activities</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Report of QSDG</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Review of the status of Rapporteurs, Liaison Rapporteurs and other Representatives</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 xml:space="preserve">Discussion on Question 1/12, including </w:t>
      </w:r>
    </w:p>
    <w:p w:rsidR="00AD7319" w:rsidRDefault="00AD7319" w:rsidP="0085153E">
      <w:pPr>
        <w:numPr>
          <w:ilvl w:val="0"/>
          <w:numId w:val="9"/>
        </w:numPr>
        <w:tabs>
          <w:tab w:val="clear" w:pos="794"/>
          <w:tab w:val="left" w:pos="1134"/>
        </w:tabs>
        <w:ind w:right="86"/>
      </w:pPr>
      <w:r w:rsidRPr="00B05EE1">
        <w:t>Planning for the next study period (</w:t>
      </w:r>
      <w:r>
        <w:t xml:space="preserve">harmonization of the </w:t>
      </w:r>
      <w:r w:rsidRPr="00B05EE1">
        <w:t>proposed Questions)</w:t>
      </w:r>
    </w:p>
    <w:p w:rsidR="00AD7319" w:rsidRDefault="00AD7319" w:rsidP="0085153E">
      <w:pPr>
        <w:numPr>
          <w:ilvl w:val="0"/>
          <w:numId w:val="9"/>
        </w:numPr>
        <w:tabs>
          <w:tab w:val="clear" w:pos="794"/>
          <w:tab w:val="left" w:pos="1134"/>
        </w:tabs>
        <w:ind w:right="86"/>
      </w:pPr>
      <w:r>
        <w:t>Review of the status of Handbooks and other publications (</w:t>
      </w:r>
      <w:proofErr w:type="spellStart"/>
      <w:r>
        <w:t>QoS</w:t>
      </w:r>
      <w:proofErr w:type="spellEnd"/>
      <w:r>
        <w:t>/</w:t>
      </w:r>
      <w:proofErr w:type="spellStart"/>
      <w:r>
        <w:t>QoE</w:t>
      </w:r>
      <w:proofErr w:type="spellEnd"/>
      <w:r>
        <w:t xml:space="preserve"> flyer)</w:t>
      </w:r>
    </w:p>
    <w:p w:rsidR="00AD7319" w:rsidRPr="00B05EE1" w:rsidRDefault="00AD7319" w:rsidP="0085153E">
      <w:pPr>
        <w:numPr>
          <w:ilvl w:val="0"/>
          <w:numId w:val="9"/>
        </w:numPr>
        <w:tabs>
          <w:tab w:val="clear" w:pos="794"/>
          <w:tab w:val="left" w:pos="1134"/>
        </w:tabs>
        <w:ind w:right="86"/>
      </w:pPr>
      <w:r>
        <w:t>Bridging the standardization gap</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Working Parties meetings, including Ad Hoc meetings</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Reports of the meetings of Working Parties, including</w:t>
      </w:r>
    </w:p>
    <w:p w:rsidR="00AD7319" w:rsidRDefault="00AD7319" w:rsidP="0085153E">
      <w:pPr>
        <w:numPr>
          <w:ilvl w:val="0"/>
          <w:numId w:val="8"/>
        </w:numPr>
        <w:tabs>
          <w:tab w:val="clear" w:pos="794"/>
        </w:tabs>
        <w:ind w:right="86"/>
      </w:pPr>
      <w:r>
        <w:rPr>
          <w:lang w:val="en-US"/>
        </w:rPr>
        <w:t>Consent</w:t>
      </w:r>
      <w:r>
        <w:t>/determination/deletion of Recommendations</w:t>
      </w:r>
    </w:p>
    <w:p w:rsidR="00AD7319" w:rsidRDefault="00AD7319" w:rsidP="0085153E">
      <w:pPr>
        <w:numPr>
          <w:ilvl w:val="0"/>
          <w:numId w:val="8"/>
        </w:numPr>
        <w:tabs>
          <w:tab w:val="clear" w:pos="794"/>
        </w:tabs>
        <w:ind w:right="86"/>
      </w:pPr>
      <w:r w:rsidRPr="00B05EE1">
        <w:t>Approval of Handbooks/informative texts</w:t>
      </w:r>
    </w:p>
    <w:p w:rsidR="00AD7319" w:rsidRPr="00B05EE1" w:rsidRDefault="00AD7319" w:rsidP="0085153E">
      <w:pPr>
        <w:numPr>
          <w:ilvl w:val="0"/>
          <w:numId w:val="8"/>
        </w:numPr>
        <w:tabs>
          <w:tab w:val="clear" w:pos="794"/>
        </w:tabs>
        <w:ind w:right="86"/>
      </w:pPr>
      <w:r>
        <w:rPr>
          <w:lang w:val="en-US"/>
        </w:rPr>
        <w:t>Outgoing liaison statements/communications</w:t>
      </w:r>
    </w:p>
    <w:p w:rsidR="00AD7319" w:rsidRPr="00A0472E" w:rsidRDefault="00AD7319" w:rsidP="00AD7319">
      <w:pPr>
        <w:numPr>
          <w:ilvl w:val="0"/>
          <w:numId w:val="7"/>
        </w:numPr>
        <w:tabs>
          <w:tab w:val="clear" w:pos="794"/>
          <w:tab w:val="clear" w:pos="1155"/>
          <w:tab w:val="left" w:pos="1134"/>
        </w:tabs>
        <w:spacing w:before="240"/>
        <w:ind w:left="1151" w:right="91" w:hanging="794"/>
        <w:rPr>
          <w:lang w:val="en-US"/>
        </w:rPr>
      </w:pPr>
      <w:r w:rsidRPr="00A0472E">
        <w:rPr>
          <w:lang w:val="en-US"/>
        </w:rPr>
        <w:t>Review and Approval of the wording of Questions for the next study period</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 xml:space="preserve">Review of the SG 12 work </w:t>
      </w:r>
      <w:proofErr w:type="spellStart"/>
      <w:r>
        <w:rPr>
          <w:lang w:val="en-US"/>
        </w:rPr>
        <w:t>programme</w:t>
      </w:r>
      <w:proofErr w:type="spellEnd"/>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Future meetings and activities</w:t>
      </w:r>
    </w:p>
    <w:p w:rsidR="00AD7319" w:rsidRDefault="00AD7319" w:rsidP="00AD7319">
      <w:pPr>
        <w:numPr>
          <w:ilvl w:val="0"/>
          <w:numId w:val="7"/>
        </w:numPr>
        <w:tabs>
          <w:tab w:val="clear" w:pos="794"/>
          <w:tab w:val="clear" w:pos="1155"/>
          <w:tab w:val="left" w:pos="1134"/>
        </w:tabs>
        <w:spacing w:before="240"/>
        <w:ind w:left="1151" w:right="91" w:hanging="794"/>
        <w:rPr>
          <w:lang w:val="en-US"/>
        </w:rPr>
      </w:pPr>
      <w:r>
        <w:rPr>
          <w:lang w:val="en-US"/>
        </w:rPr>
        <w:t>Other business</w:t>
      </w:r>
    </w:p>
    <w:p w:rsidR="00260A15" w:rsidRDefault="00260A15" w:rsidP="00AD7319">
      <w:pPr>
        <w:numPr>
          <w:ilvl w:val="0"/>
          <w:numId w:val="7"/>
        </w:numPr>
        <w:tabs>
          <w:tab w:val="clear" w:pos="794"/>
          <w:tab w:val="clear" w:pos="1155"/>
          <w:tab w:val="left" w:pos="1134"/>
        </w:tabs>
        <w:spacing w:before="240"/>
        <w:ind w:left="1151" w:right="91" w:hanging="794"/>
        <w:rPr>
          <w:lang w:val="en-US"/>
        </w:rPr>
      </w:pPr>
      <w:r>
        <w:rPr>
          <w:lang w:val="en-US"/>
        </w:rPr>
        <w:t>Acknowledgments and closure of the meeting</w:t>
      </w:r>
    </w:p>
    <w:p w:rsidR="00D8610E" w:rsidRDefault="00D8610E" w:rsidP="00260A15">
      <w:pPr>
        <w:numPr>
          <w:ilvl w:val="0"/>
          <w:numId w:val="7"/>
        </w:numPr>
        <w:tabs>
          <w:tab w:val="clear" w:pos="794"/>
          <w:tab w:val="clear" w:pos="1155"/>
          <w:tab w:val="left" w:pos="1134"/>
        </w:tabs>
        <w:spacing w:before="240"/>
        <w:ind w:left="1151" w:right="91" w:hanging="794"/>
        <w:rPr>
          <w:rFonts w:asciiTheme="majorBidi" w:hAnsiTheme="majorBidi" w:cstheme="majorBidi"/>
          <w:b/>
          <w:bCs/>
          <w:sz w:val="28"/>
          <w:szCs w:val="28"/>
        </w:rPr>
      </w:pPr>
      <w:r>
        <w:rPr>
          <w:rFonts w:asciiTheme="majorBidi" w:hAnsiTheme="majorBidi" w:cstheme="majorBidi"/>
          <w:b/>
          <w:bCs/>
          <w:sz w:val="28"/>
          <w:szCs w:val="28"/>
        </w:rPr>
        <w:br w:type="page"/>
      </w:r>
    </w:p>
    <w:p w:rsidR="006B40C6" w:rsidRDefault="00A51E89" w:rsidP="006B40C6">
      <w:pPr>
        <w:jc w:val="center"/>
        <w:rPr>
          <w:lang w:val="en-US"/>
        </w:rPr>
      </w:pPr>
      <w:r w:rsidRPr="00991C59">
        <w:rPr>
          <w:rFonts w:asciiTheme="majorBidi" w:hAnsiTheme="majorBidi" w:cstheme="majorBidi"/>
          <w:b/>
          <w:bCs/>
          <w:sz w:val="28"/>
          <w:szCs w:val="28"/>
        </w:rPr>
        <w:lastRenderedPageBreak/>
        <w:t xml:space="preserve">ANNEX </w:t>
      </w:r>
      <w:proofErr w:type="gramStart"/>
      <w:r w:rsidR="00182146">
        <w:rPr>
          <w:rFonts w:asciiTheme="majorBidi" w:hAnsiTheme="majorBidi" w:cstheme="majorBidi"/>
          <w:b/>
          <w:bCs/>
          <w:sz w:val="28"/>
          <w:szCs w:val="28"/>
        </w:rPr>
        <w:t>C</w:t>
      </w:r>
      <w:proofErr w:type="gramEnd"/>
      <w:r w:rsidR="006B40C6">
        <w:rPr>
          <w:rFonts w:asciiTheme="majorBidi" w:hAnsiTheme="majorBidi" w:cstheme="majorBidi"/>
          <w:b/>
          <w:bCs/>
          <w:sz w:val="28"/>
          <w:szCs w:val="28"/>
        </w:rPr>
        <w:br/>
      </w:r>
      <w:r w:rsidR="006B40C6" w:rsidRPr="007B5B29">
        <w:rPr>
          <w:lang w:val="en-US"/>
        </w:rPr>
        <w:t>(to TSB Collective letter</w:t>
      </w:r>
      <w:r w:rsidR="006B40C6">
        <w:rPr>
          <w:lang w:val="en-US"/>
        </w:rPr>
        <w:t> 7/12</w:t>
      </w:r>
      <w:r w:rsidR="006B40C6" w:rsidRPr="007B5B29">
        <w:rPr>
          <w:lang w:val="en-US"/>
        </w:rPr>
        <w:t>)</w:t>
      </w:r>
    </w:p>
    <w:p w:rsidR="00A51E89" w:rsidRDefault="00A51E89" w:rsidP="00A51E89">
      <w:pPr>
        <w:tabs>
          <w:tab w:val="clear" w:pos="794"/>
          <w:tab w:val="clear" w:pos="1191"/>
          <w:tab w:val="clear" w:pos="1588"/>
          <w:tab w:val="clear" w:pos="1985"/>
        </w:tabs>
        <w:spacing w:before="0"/>
      </w:pPr>
    </w:p>
    <w:p w:rsidR="00260A15" w:rsidRPr="00AD7319" w:rsidRDefault="00260A15" w:rsidP="00260A15">
      <w:pPr>
        <w:ind w:right="-194"/>
        <w:jc w:val="center"/>
        <w:rPr>
          <w:b/>
          <w:bCs/>
          <w:sz w:val="28"/>
          <w:szCs w:val="28"/>
        </w:rPr>
      </w:pPr>
      <w:r w:rsidRPr="00AD7319">
        <w:rPr>
          <w:b/>
          <w:bCs/>
          <w:sz w:val="28"/>
          <w:szCs w:val="28"/>
        </w:rPr>
        <w:t>Draft timetable for the meeting of Study Group 12</w:t>
      </w:r>
      <w:r w:rsidRPr="00AD7319">
        <w:rPr>
          <w:b/>
          <w:bCs/>
          <w:sz w:val="28"/>
          <w:szCs w:val="28"/>
        </w:rPr>
        <w:br/>
        <w:t>(Geneva, 29 May – 7 June 2012)</w:t>
      </w:r>
    </w:p>
    <w:p w:rsidR="00260A15" w:rsidRDefault="00260A15" w:rsidP="00260A15">
      <w:pPr>
        <w:pStyle w:val="Normalaftertitle"/>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260A15" w:rsidTr="00097505">
        <w:trPr>
          <w:cantSplit/>
        </w:trPr>
        <w:tc>
          <w:tcPr>
            <w:tcW w:w="1586" w:type="dxa"/>
            <w:tcBorders>
              <w:top w:val="single" w:sz="4" w:space="0" w:color="auto"/>
              <w:left w:val="single" w:sz="4" w:space="0" w:color="auto"/>
              <w:bottom w:val="single" w:sz="6" w:space="0" w:color="auto"/>
              <w:right w:val="single" w:sz="6" w:space="0" w:color="auto"/>
            </w:tcBorders>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29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30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260A15" w:rsidTr="00097505">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260A15" w:rsidRDefault="00260A15" w:rsidP="00097505">
            <w:pPr>
              <w:pStyle w:val="TableText"/>
              <w:tabs>
                <w:tab w:val="left" w:pos="720"/>
              </w:tabs>
              <w:spacing w:before="120" w:after="120" w:line="240" w:lineRule="atLeast"/>
              <w:ind w:right="-108"/>
              <w:jc w:val="center"/>
              <w:rPr>
                <w:b/>
                <w:sz w:val="24"/>
              </w:rPr>
            </w:pPr>
            <w:r>
              <w:rPr>
                <w:b/>
                <w:sz w:val="24"/>
              </w:rPr>
              <w:t>WEEK-END</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June</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June</w:t>
            </w:r>
          </w:p>
        </w:tc>
        <w:tc>
          <w:tcPr>
            <w:tcW w:w="1837" w:type="dxa"/>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szCs w:val="24"/>
              </w:rPr>
              <w:t>Ad hoc meeting of Q 1/12</w:t>
            </w:r>
          </w:p>
        </w:tc>
        <w:tc>
          <w:tcPr>
            <w:tcW w:w="1945" w:type="dxa"/>
            <w:tcBorders>
              <w:top w:val="single" w:sz="6" w:space="0" w:color="auto"/>
              <w:left w:val="single" w:sz="6"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 of Q 1/12</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260A15" w:rsidTr="0009750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June</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260A15" w:rsidTr="00097505">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7 June</w:t>
            </w:r>
          </w:p>
        </w:tc>
        <w:tc>
          <w:tcPr>
            <w:tcW w:w="1837" w:type="dxa"/>
            <w:tcBorders>
              <w:top w:val="single" w:sz="6" w:space="0" w:color="auto"/>
              <w:left w:val="single" w:sz="6" w:space="0" w:color="auto"/>
              <w:bottom w:val="single" w:sz="4"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260A15" w:rsidRDefault="00260A15" w:rsidP="0009750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260A15" w:rsidRDefault="00260A15" w:rsidP="00260A15"/>
    <w:p w:rsidR="00260A15" w:rsidRDefault="00260A15" w:rsidP="00260A15">
      <w:pPr>
        <w:spacing w:before="40" w:after="40"/>
        <w:rPr>
          <w:b/>
          <w:u w:val="single"/>
        </w:rPr>
      </w:pPr>
      <w:r>
        <w:rPr>
          <w:b/>
          <w:u w:val="single"/>
        </w:rPr>
        <w:t>Notes from TSB:</w:t>
      </w:r>
    </w:p>
    <w:p w:rsidR="00260A15" w:rsidRDefault="00260A15" w:rsidP="00260A15">
      <w:pPr>
        <w:spacing w:before="40" w:after="40"/>
      </w:pPr>
    </w:p>
    <w:p w:rsidR="00260A15" w:rsidRDefault="00260A15" w:rsidP="00260A15">
      <w:pPr>
        <w:spacing w:before="40" w:after="40"/>
      </w:pPr>
      <w:r>
        <w:t>1</w:t>
      </w:r>
      <w:r>
        <w:tab/>
      </w:r>
      <w:r>
        <w:rPr>
          <w:szCs w:val="24"/>
        </w:rPr>
        <w:t xml:space="preserve">Management meeting, </w:t>
      </w:r>
      <w:r>
        <w:t>Tuesday</w:t>
      </w:r>
      <w:r w:rsidRPr="004B3CDD">
        <w:rPr>
          <w:szCs w:val="24"/>
          <w:lang w:val="en-US"/>
        </w:rPr>
        <w:t xml:space="preserve"> </w:t>
      </w:r>
      <w:r>
        <w:rPr>
          <w:szCs w:val="24"/>
          <w:lang w:val="en-US"/>
        </w:rPr>
        <w:t>29 May</w:t>
      </w:r>
      <w:r w:rsidRPr="004B3CDD">
        <w:rPr>
          <w:szCs w:val="24"/>
          <w:lang w:val="en-US"/>
        </w:rPr>
        <w:t xml:space="preserve"> 2012</w:t>
      </w:r>
      <w:r>
        <w:rPr>
          <w:szCs w:val="24"/>
          <w:lang w:val="en-US"/>
        </w:rPr>
        <w:t xml:space="preserve">, </w:t>
      </w:r>
      <w:r w:rsidRPr="0084627A">
        <w:rPr>
          <w:szCs w:val="24"/>
          <w:lang w:val="en-US"/>
        </w:rPr>
        <w:t>9:00 – 10:30</w:t>
      </w:r>
    </w:p>
    <w:p w:rsidR="00260A15" w:rsidRDefault="00260A15" w:rsidP="00260A15">
      <w:pPr>
        <w:spacing w:before="40" w:after="40"/>
      </w:pPr>
      <w:r>
        <w:t>2</w:t>
      </w:r>
      <w:r>
        <w:tab/>
      </w:r>
      <w:r w:rsidRPr="004B3CDD">
        <w:rPr>
          <w:szCs w:val="24"/>
          <w:lang w:val="en-US"/>
        </w:rPr>
        <w:t xml:space="preserve">Welcome of new SG </w:t>
      </w:r>
      <w:r>
        <w:rPr>
          <w:szCs w:val="24"/>
          <w:lang w:val="en-US"/>
        </w:rPr>
        <w:t>12</w:t>
      </w:r>
      <w:r w:rsidRPr="004B3CDD">
        <w:rPr>
          <w:szCs w:val="24"/>
          <w:lang w:val="en-US"/>
        </w:rPr>
        <w:t xml:space="preserve"> participants and tour of ITU premises; </w:t>
      </w:r>
      <w:r>
        <w:t>Tuesday</w:t>
      </w:r>
      <w:r w:rsidRPr="004B3CDD">
        <w:rPr>
          <w:szCs w:val="24"/>
          <w:lang w:val="en-US"/>
        </w:rPr>
        <w:t xml:space="preserve"> </w:t>
      </w:r>
      <w:r>
        <w:rPr>
          <w:szCs w:val="24"/>
          <w:lang w:val="en-US"/>
        </w:rPr>
        <w:t>29 May</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260A15" w:rsidRDefault="00260A15" w:rsidP="00260A15">
      <w:pPr>
        <w:spacing w:before="40" w:after="40"/>
      </w:pPr>
      <w:r>
        <w:t>3</w:t>
      </w:r>
      <w:r>
        <w:tab/>
        <w:t>Opening Plenary starts at 11:00</w:t>
      </w:r>
    </w:p>
    <w:p w:rsidR="00260A15" w:rsidRDefault="00260A15" w:rsidP="00260A15">
      <w:pPr>
        <w:spacing w:before="40" w:after="40"/>
      </w:pPr>
      <w:r>
        <w:t>4</w:t>
      </w:r>
      <w:r>
        <w:tab/>
      </w:r>
      <w:r w:rsidRPr="004B3CDD">
        <w:rPr>
          <w:szCs w:val="24"/>
          <w:lang w:val="en-US"/>
        </w:rPr>
        <w:t>SG</w:t>
      </w:r>
      <w:r>
        <w:rPr>
          <w:caps/>
          <w:szCs w:val="24"/>
          <w:lang w:val="en-US"/>
        </w:rPr>
        <w:t>12</w:t>
      </w:r>
      <w:r w:rsidRPr="004B3CDD">
        <w:rPr>
          <w:szCs w:val="24"/>
          <w:lang w:val="en-US"/>
        </w:rPr>
        <w:t xml:space="preserve"> Orientation session for newcomers &amp; Newcomers’ discussion with SG</w:t>
      </w:r>
      <w:r>
        <w:rPr>
          <w:caps/>
          <w:szCs w:val="24"/>
          <w:lang w:val="en-US"/>
        </w:rPr>
        <w:t>12</w:t>
      </w:r>
      <w:r w:rsidRPr="004B3CDD">
        <w:rPr>
          <w:szCs w:val="24"/>
          <w:lang w:val="en-US"/>
        </w:rPr>
        <w:t xml:space="preserve"> management</w:t>
      </w:r>
      <w:r>
        <w:rPr>
          <w:szCs w:val="24"/>
          <w:lang w:val="en-US"/>
        </w:rPr>
        <w:t xml:space="preserve">, </w:t>
      </w:r>
      <w:r>
        <w:t xml:space="preserve">Wednesday, </w:t>
      </w:r>
      <w:r>
        <w:rPr>
          <w:szCs w:val="24"/>
          <w:lang w:val="en-US"/>
        </w:rPr>
        <w:t>30 May</w:t>
      </w:r>
      <w:r w:rsidRPr="00E13CEA">
        <w:rPr>
          <w:szCs w:val="24"/>
          <w:lang w:val="en-US"/>
        </w:rPr>
        <w:t xml:space="preserve"> 2012, 13:00 – 14:00</w:t>
      </w:r>
    </w:p>
    <w:p w:rsidR="00260A15" w:rsidRDefault="00260A15" w:rsidP="00260A15">
      <w:pPr>
        <w:spacing w:before="40" w:after="40"/>
      </w:pPr>
      <w:r>
        <w:t>5</w:t>
      </w:r>
      <w:r>
        <w:tab/>
        <w:t xml:space="preserve">Closing Plenary sessions are 10:30 -12:00 and 13:30 - 15:30 </w:t>
      </w:r>
    </w:p>
    <w:p w:rsidR="00260A15" w:rsidRDefault="00260A15" w:rsidP="00260A15">
      <w:pPr>
        <w:spacing w:before="40" w:after="40"/>
      </w:pPr>
      <w:r>
        <w:t>6</w:t>
      </w:r>
      <w:r>
        <w:tab/>
        <w:t>All other sessions are 9:00-12:30 and 14:00-17:30 with 30 min breaks in the middle</w:t>
      </w:r>
    </w:p>
    <w:p w:rsidR="00D8610E" w:rsidRDefault="00D8610E">
      <w:pPr>
        <w:tabs>
          <w:tab w:val="clear" w:pos="794"/>
          <w:tab w:val="clear" w:pos="1191"/>
          <w:tab w:val="clear" w:pos="1588"/>
          <w:tab w:val="clear" w:pos="1985"/>
        </w:tabs>
        <w:spacing w:before="0"/>
        <w:rPr>
          <w:b/>
          <w:bCs/>
          <w:sz w:val="28"/>
          <w:szCs w:val="28"/>
        </w:rPr>
      </w:pPr>
    </w:p>
    <w:p w:rsidR="00260A15" w:rsidRPr="006B40C6" w:rsidRDefault="00260A15" w:rsidP="00260A15">
      <w:pPr>
        <w:tabs>
          <w:tab w:val="clear" w:pos="794"/>
          <w:tab w:val="clear" w:pos="1191"/>
          <w:tab w:val="clear" w:pos="1588"/>
          <w:tab w:val="clear" w:pos="1985"/>
        </w:tabs>
        <w:spacing w:before="0"/>
        <w:jc w:val="center"/>
        <w:rPr>
          <w:sz w:val="28"/>
          <w:szCs w:val="28"/>
        </w:rPr>
      </w:pPr>
      <w:r w:rsidRPr="006B40C6">
        <w:rPr>
          <w:sz w:val="28"/>
          <w:szCs w:val="28"/>
        </w:rPr>
        <w:t>_____________</w:t>
      </w:r>
    </w:p>
    <w:sectPr w:rsidR="00260A15" w:rsidRPr="006B40C6" w:rsidSect="00276001">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2A" w:rsidRDefault="00D22A2A">
      <w:r>
        <w:separator/>
      </w:r>
    </w:p>
  </w:endnote>
  <w:endnote w:type="continuationSeparator" w:id="0">
    <w:p w:rsidR="00D22A2A" w:rsidRDefault="00D2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2E" w:rsidRPr="00E106EA" w:rsidRDefault="00F84F2E" w:rsidP="00A04DC9">
    <w:pPr>
      <w:pStyle w:val="Footer"/>
    </w:pPr>
    <w:r>
      <w:t>ITU-T\COM-T\COM12\COLL\007E.DOC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2E" w:rsidRDefault="00F84F2E"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F84F2E" w:rsidRDefault="00F84F2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F84F2E" w:rsidRPr="00A51E89" w:rsidRDefault="00F84F2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2A" w:rsidRDefault="00D22A2A">
      <w:r>
        <w:t>____________________</w:t>
      </w:r>
    </w:p>
  </w:footnote>
  <w:footnote w:type="continuationSeparator" w:id="0">
    <w:p w:rsidR="00D22A2A" w:rsidRDefault="00D2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916606"/>
      <w:docPartObj>
        <w:docPartGallery w:val="Page Numbers (Top of Page)"/>
        <w:docPartUnique/>
      </w:docPartObj>
    </w:sdtPr>
    <w:sdtEndPr>
      <w:rPr>
        <w:noProof/>
      </w:rPr>
    </w:sdtEndPr>
    <w:sdtContent>
      <w:p w:rsidR="00F84F2E" w:rsidRDefault="00F84F2E">
        <w:pPr>
          <w:pStyle w:val="Header"/>
        </w:pPr>
        <w:r>
          <w:fldChar w:fldCharType="begin"/>
        </w:r>
        <w:r>
          <w:instrText xml:space="preserve"> PAGE   \* MERGEFORMAT </w:instrText>
        </w:r>
        <w:r>
          <w:fldChar w:fldCharType="separate"/>
        </w:r>
        <w:r w:rsidR="00A54D60">
          <w:rPr>
            <w:noProof/>
          </w:rPr>
          <w:t>9</w:t>
        </w:r>
        <w:r>
          <w:rPr>
            <w:noProof/>
          </w:rPr>
          <w:fldChar w:fldCharType="end"/>
        </w:r>
      </w:p>
    </w:sdtContent>
  </w:sdt>
  <w:p w:rsidR="00F84F2E" w:rsidRDefault="00F84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72FA"/>
    <w:rsid w:val="00097505"/>
    <w:rsid w:val="000C1B5B"/>
    <w:rsid w:val="000C3470"/>
    <w:rsid w:val="000C7D67"/>
    <w:rsid w:val="000E6752"/>
    <w:rsid w:val="000E6B18"/>
    <w:rsid w:val="000F2AD5"/>
    <w:rsid w:val="00103996"/>
    <w:rsid w:val="00103A96"/>
    <w:rsid w:val="001052BD"/>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60A15"/>
    <w:rsid w:val="002747F9"/>
    <w:rsid w:val="00276001"/>
    <w:rsid w:val="0028019C"/>
    <w:rsid w:val="0029340B"/>
    <w:rsid w:val="002A0EDC"/>
    <w:rsid w:val="002A1B14"/>
    <w:rsid w:val="002A3B14"/>
    <w:rsid w:val="002A3CBF"/>
    <w:rsid w:val="002A4DCE"/>
    <w:rsid w:val="002A5AF2"/>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37B41"/>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B40C6"/>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4644"/>
    <w:rsid w:val="007D5C68"/>
    <w:rsid w:val="007D6430"/>
    <w:rsid w:val="007E467B"/>
    <w:rsid w:val="0080659A"/>
    <w:rsid w:val="008130D7"/>
    <w:rsid w:val="00823299"/>
    <w:rsid w:val="00825798"/>
    <w:rsid w:val="00825FC5"/>
    <w:rsid w:val="00834D78"/>
    <w:rsid w:val="00845908"/>
    <w:rsid w:val="0084627A"/>
    <w:rsid w:val="00847975"/>
    <w:rsid w:val="0085153E"/>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04DC9"/>
    <w:rsid w:val="00A11ED9"/>
    <w:rsid w:val="00A268BA"/>
    <w:rsid w:val="00A26ADD"/>
    <w:rsid w:val="00A461B9"/>
    <w:rsid w:val="00A46827"/>
    <w:rsid w:val="00A515CF"/>
    <w:rsid w:val="00A51E89"/>
    <w:rsid w:val="00A54D60"/>
    <w:rsid w:val="00A557F9"/>
    <w:rsid w:val="00A57DA5"/>
    <w:rsid w:val="00A60759"/>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319"/>
    <w:rsid w:val="00AD79C1"/>
    <w:rsid w:val="00B00853"/>
    <w:rsid w:val="00B03325"/>
    <w:rsid w:val="00B17F19"/>
    <w:rsid w:val="00B20746"/>
    <w:rsid w:val="00B20DAD"/>
    <w:rsid w:val="00B25263"/>
    <w:rsid w:val="00B4146A"/>
    <w:rsid w:val="00B51DC4"/>
    <w:rsid w:val="00B61822"/>
    <w:rsid w:val="00B620C3"/>
    <w:rsid w:val="00B64063"/>
    <w:rsid w:val="00B66E9B"/>
    <w:rsid w:val="00B67822"/>
    <w:rsid w:val="00B8131A"/>
    <w:rsid w:val="00B8146B"/>
    <w:rsid w:val="00B8368F"/>
    <w:rsid w:val="00B92119"/>
    <w:rsid w:val="00B92AEC"/>
    <w:rsid w:val="00B94FD0"/>
    <w:rsid w:val="00BB6706"/>
    <w:rsid w:val="00BC13AB"/>
    <w:rsid w:val="00BE6AC6"/>
    <w:rsid w:val="00BF17E2"/>
    <w:rsid w:val="00BF1E0F"/>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2A2A"/>
    <w:rsid w:val="00D26D90"/>
    <w:rsid w:val="00D332AF"/>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249E6"/>
    <w:rsid w:val="00F425D9"/>
    <w:rsid w:val="00F47388"/>
    <w:rsid w:val="00F5389C"/>
    <w:rsid w:val="00F70CB1"/>
    <w:rsid w:val="00F728B7"/>
    <w:rsid w:val="00F7301A"/>
    <w:rsid w:val="00F74365"/>
    <w:rsid w:val="00F77B28"/>
    <w:rsid w:val="00F812CF"/>
    <w:rsid w:val="00F84F2E"/>
    <w:rsid w:val="00F922B4"/>
    <w:rsid w:val="00F92C27"/>
    <w:rsid w:val="00F94201"/>
    <w:rsid w:val="00F9493C"/>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mailto:bdtfellowships@itu.int" TargetMode="External"/><Relationship Id="rId3" Type="http://schemas.microsoft.com/office/2007/relationships/stylesWithEffects" Target="stylesWithEffect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hyperlink" Target="http://www.itu.int/ITU-T/studygroups/com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9</Pages>
  <Words>2121</Words>
  <Characters>14231</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16320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2012-03-02T13:36:00Z</cp:lastPrinted>
  <dcterms:created xsi:type="dcterms:W3CDTF">2012-03-02T15:21:00Z</dcterms:created>
  <dcterms:modified xsi:type="dcterms:W3CDTF">2012-03-02T15:21:00Z</dcterms:modified>
</cp:coreProperties>
</file>