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4C4144" w:rsidRPr="00BB01E0">
        <w:trPr>
          <w:cantSplit/>
        </w:trPr>
        <w:tc>
          <w:tcPr>
            <w:tcW w:w="6426" w:type="dxa"/>
            <w:vAlign w:val="center"/>
          </w:tcPr>
          <w:p w:rsidR="004C4144" w:rsidRPr="00BB01E0" w:rsidRDefault="004C4144" w:rsidP="004C414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4C4144" w:rsidRPr="00BB01E0" w:rsidRDefault="00BE6AE1" w:rsidP="004C414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19050" t="0" r="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144" w:rsidRPr="00BB01E0">
        <w:trPr>
          <w:cantSplit/>
        </w:trPr>
        <w:tc>
          <w:tcPr>
            <w:tcW w:w="6426" w:type="dxa"/>
            <w:vAlign w:val="center"/>
          </w:tcPr>
          <w:p w:rsidR="004C4144" w:rsidRPr="00BB01E0" w:rsidRDefault="004C4144" w:rsidP="004C414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4C4144" w:rsidRPr="00BB01E0" w:rsidRDefault="004C4144" w:rsidP="004C414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C4144" w:rsidRDefault="004C414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401C20" w:rsidRDefault="00401C2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6C73A3">
        <w:t>1 de junio de 2010</w:t>
      </w:r>
    </w:p>
    <w:p w:rsidR="004C4144" w:rsidRDefault="004C414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401C20" w:rsidRDefault="00401C20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329"/>
      </w:tblGrid>
      <w:tr w:rsidR="00401C20">
        <w:trPr>
          <w:cantSplit/>
          <w:trHeight w:val="340"/>
        </w:trPr>
        <w:tc>
          <w:tcPr>
            <w:tcW w:w="993" w:type="dxa"/>
          </w:tcPr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</w:t>
            </w:r>
            <w:r w:rsidR="008505BD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</w:p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</w:t>
            </w:r>
            <w:r w:rsidR="008505BD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401C20" w:rsidRDefault="00401C20" w:rsidP="00BE6AE1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BE6AE1">
              <w:rPr>
                <w:b/>
              </w:rPr>
              <w:t>105</w:t>
            </w:r>
          </w:p>
          <w:p w:rsidR="00401C20" w:rsidRDefault="00401C20" w:rsidP="00BE6AE1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t xml:space="preserve">COM </w:t>
            </w:r>
            <w:r w:rsidR="00BE6AE1">
              <w:t>17</w:t>
            </w:r>
            <w:r>
              <w:t>/</w:t>
            </w:r>
            <w:r w:rsidR="00BE6AE1">
              <w:t>BGS</w:t>
            </w:r>
          </w:p>
          <w:p w:rsidR="00401C20" w:rsidRDefault="00401C20">
            <w:pPr>
              <w:tabs>
                <w:tab w:val="left" w:pos="4111"/>
              </w:tabs>
              <w:spacing w:before="0"/>
              <w:ind w:left="57"/>
            </w:pPr>
          </w:p>
          <w:p w:rsidR="00401C20" w:rsidRDefault="006C73A3">
            <w:pPr>
              <w:tabs>
                <w:tab w:val="left" w:pos="4111"/>
              </w:tabs>
              <w:spacing w:before="0"/>
              <w:ind w:left="57"/>
            </w:pPr>
            <w:r>
              <w:t>+41 22 730 5994</w:t>
            </w:r>
            <w:r>
              <w:br/>
              <w:t>+41 22 730 5853</w:t>
            </w:r>
          </w:p>
        </w:tc>
        <w:tc>
          <w:tcPr>
            <w:tcW w:w="5329" w:type="dxa"/>
          </w:tcPr>
          <w:p w:rsidR="00401C20" w:rsidRDefault="00401C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401C20">
        <w:trPr>
          <w:cantSplit/>
        </w:trPr>
        <w:tc>
          <w:tcPr>
            <w:tcW w:w="993" w:type="dxa"/>
          </w:tcPr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401C20" w:rsidRDefault="005F04CF">
            <w:pPr>
              <w:tabs>
                <w:tab w:val="left" w:pos="4111"/>
              </w:tabs>
              <w:spacing w:before="0"/>
              <w:ind w:left="57"/>
            </w:pPr>
            <w:hyperlink r:id="rId7" w:history="1">
              <w:r w:rsidR="006C73A3" w:rsidRPr="00D510E8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5329" w:type="dxa"/>
          </w:tcPr>
          <w:p w:rsidR="00401C20" w:rsidRDefault="00401C20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401C20" w:rsidRDefault="00401C20" w:rsidP="008505BD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</w:t>
            </w:r>
            <w:r w:rsidR="008505BD">
              <w:noBreakHyphen/>
            </w:r>
            <w:r>
              <w:t>T;</w:t>
            </w:r>
          </w:p>
          <w:p w:rsidR="00401C20" w:rsidRDefault="00401C20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</w:t>
            </w:r>
            <w:r>
              <w:noBreakHyphen/>
              <w:t>T;</w:t>
            </w:r>
          </w:p>
          <w:p w:rsidR="00401C20" w:rsidRDefault="00B95F0A" w:rsidP="00BE6AE1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Presidente y a los Vicepresidentes de la</w:t>
            </w:r>
            <w:r>
              <w:br/>
            </w:r>
            <w:r w:rsidR="00401C20">
              <w:t xml:space="preserve">Comisión de Estudio </w:t>
            </w:r>
            <w:r w:rsidR="00BE6AE1">
              <w:t>17</w:t>
            </w:r>
            <w:r w:rsidR="00401C20">
              <w:t>;</w:t>
            </w:r>
          </w:p>
          <w:p w:rsidR="00401C20" w:rsidRDefault="00401C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401C20" w:rsidRDefault="00401C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401C20" w:rsidRDefault="00401C20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7116"/>
      </w:tblGrid>
      <w:tr w:rsidR="00401C20">
        <w:trPr>
          <w:cantSplit/>
        </w:trPr>
        <w:tc>
          <w:tcPr>
            <w:tcW w:w="822" w:type="dxa"/>
          </w:tcPr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7116" w:type="dxa"/>
          </w:tcPr>
          <w:p w:rsidR="00401C20" w:rsidRDefault="00401C20" w:rsidP="00DD74D8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Reunión de la Comisión de Estudio </w:t>
            </w:r>
            <w:r w:rsidR="001963E1">
              <w:rPr>
                <w:b/>
              </w:rPr>
              <w:t>17</w:t>
            </w:r>
            <w:r>
              <w:rPr>
                <w:b/>
              </w:rPr>
              <w:t xml:space="preserve"> para la aprobación </w:t>
            </w:r>
            <w:r w:rsidR="00335367">
              <w:rPr>
                <w:b/>
              </w:rPr>
              <w:t>de los</w:t>
            </w:r>
            <w:r>
              <w:rPr>
                <w:b/>
              </w:rPr>
              <w:t xml:space="preserve"> proyecto</w:t>
            </w:r>
            <w:r w:rsidR="00335367">
              <w:rPr>
                <w:b/>
              </w:rPr>
              <w:t xml:space="preserve">s </w:t>
            </w:r>
            <w:r>
              <w:rPr>
                <w:b/>
              </w:rPr>
              <w:t>de nueva</w:t>
            </w:r>
            <w:r w:rsidR="00E96AB6">
              <w:rPr>
                <w:b/>
              </w:rPr>
              <w:t>s Recomendaciones</w:t>
            </w:r>
            <w:r w:rsidR="00002529">
              <w:rPr>
                <w:b/>
              </w:rPr>
              <w:t xml:space="preserve"> UIT-T </w:t>
            </w:r>
            <w:r w:rsidR="001963E1">
              <w:rPr>
                <w:b/>
              </w:rPr>
              <w:t xml:space="preserve">X.673, X.1032, X.1209, X.1243, X.1245 y X.1275 </w:t>
            </w:r>
            <w:r>
              <w:rPr>
                <w:b/>
              </w:rPr>
              <w:t>de conformidad con las disposiciones de la Resolución 1, Sección 9, de la AMNT (</w:t>
            </w:r>
            <w:r w:rsidR="00B95F0A">
              <w:rPr>
                <w:b/>
              </w:rPr>
              <w:t>Johannesburgo, 2008</w:t>
            </w:r>
            <w:r w:rsidR="003D673B">
              <w:rPr>
                <w:b/>
              </w:rPr>
              <w:t>)</w:t>
            </w:r>
            <w:r>
              <w:rPr>
                <w:b/>
              </w:rPr>
              <w:br/>
              <w:t xml:space="preserve">Ginebra, </w:t>
            </w:r>
            <w:r w:rsidR="001963E1">
              <w:rPr>
                <w:b/>
              </w:rPr>
              <w:t>17 de diciembre de 2010</w:t>
            </w:r>
          </w:p>
        </w:tc>
      </w:tr>
    </w:tbl>
    <w:p w:rsidR="00401C20" w:rsidRDefault="00401C20">
      <w:bookmarkStart w:id="2" w:name="StartTyping_S"/>
      <w:bookmarkStart w:id="3" w:name="suitetext"/>
      <w:bookmarkStart w:id="4" w:name="text"/>
      <w:bookmarkEnd w:id="2"/>
      <w:bookmarkEnd w:id="3"/>
      <w:bookmarkEnd w:id="4"/>
    </w:p>
    <w:p w:rsidR="00401C20" w:rsidRDefault="00B95F0A">
      <w:r>
        <w:t>Muy Señora mía/Muy S</w:t>
      </w:r>
      <w:r w:rsidR="00401C20">
        <w:t>eñor mío:</w:t>
      </w:r>
    </w:p>
    <w:p w:rsidR="00401C20" w:rsidRDefault="00401C20" w:rsidP="001963E1">
      <w:pPr>
        <w:pStyle w:val="Normalaftertitle"/>
      </w:pPr>
      <w:r>
        <w:rPr>
          <w:bCs/>
        </w:rPr>
        <w:t>1</w:t>
      </w:r>
      <w:r>
        <w:tab/>
        <w:t xml:space="preserve">A petición del Presidente de la Comisión de Estudio </w:t>
      </w:r>
      <w:r w:rsidR="001963E1">
        <w:t>17</w:t>
      </w:r>
      <w:r>
        <w:t xml:space="preserve">, </w:t>
      </w:r>
      <w:r w:rsidR="001963E1" w:rsidRPr="001963E1">
        <w:rPr>
          <w:i/>
          <w:iCs/>
        </w:rPr>
        <w:t>Seguridad</w:t>
      </w:r>
      <w:r>
        <w:t xml:space="preserve">, tengo el honor de informarle que esta Comisión de Estudio, que se reunirá del </w:t>
      </w:r>
      <w:r w:rsidR="001963E1">
        <w:t xml:space="preserve">8 </w:t>
      </w:r>
      <w:r>
        <w:t xml:space="preserve">al </w:t>
      </w:r>
      <w:r w:rsidR="001963E1">
        <w:t>17 de diciembre de 2010</w:t>
      </w:r>
      <w:r>
        <w:t xml:space="preserve"> se propone aplicar el procedimiento descrito en la Resolución 1, Sección 9, de la AMNT (</w:t>
      </w:r>
      <w:r w:rsidR="00B95F0A">
        <w:t>Johannesburgo, 2008</w:t>
      </w:r>
      <w:r>
        <w:t xml:space="preserve">) para la </w:t>
      </w:r>
      <w:r w:rsidR="00A54E47">
        <w:t>aprobación de los proyectos de</w:t>
      </w:r>
      <w:r>
        <w:t xml:space="preserve"> </w:t>
      </w:r>
      <w:r w:rsidR="001963E1">
        <w:t>nueva</w:t>
      </w:r>
      <w:r w:rsidR="00E96AB6">
        <w:t>s Recomendaciones</w:t>
      </w:r>
      <w:r w:rsidR="001963E1">
        <w:t xml:space="preserve"> </w:t>
      </w:r>
      <w:r w:rsidR="00A54E47">
        <w:t>mencionados arriba.</w:t>
      </w:r>
    </w:p>
    <w:p w:rsidR="00703FE6" w:rsidRPr="00703FE6" w:rsidRDefault="00703FE6" w:rsidP="00060786">
      <w:r>
        <w:t>El proyecto de Recomendación UIT-T X.1275 fue examinado para su aprobación en la reunión de la Comisión de Estudio 17 el mes de abril de 2010, tras la consulta mediante Circular TSB 62 de 13</w:t>
      </w:r>
      <w:r w:rsidR="00060786">
        <w:t> </w:t>
      </w:r>
      <w:r>
        <w:t xml:space="preserve">de octubre de 2009. Se recibieron considerables comentarios y el proyecto de Recomendación se volvió a determinar. </w:t>
      </w:r>
    </w:p>
    <w:p w:rsidR="00401C20" w:rsidRDefault="00401C20" w:rsidP="00060786">
      <w:r>
        <w:rPr>
          <w:bCs/>
        </w:rPr>
        <w:t>2</w:t>
      </w:r>
      <w:r>
        <w:tab/>
        <w:t xml:space="preserve">El </w:t>
      </w:r>
      <w:r w:rsidR="00060786">
        <w:rPr>
          <w:b/>
        </w:rPr>
        <w:t>a</w:t>
      </w:r>
      <w:r w:rsidR="00703FE6">
        <w:rPr>
          <w:b/>
        </w:rPr>
        <w:t xml:space="preserve">nexo </w:t>
      </w:r>
      <w:r>
        <w:rPr>
          <w:b/>
        </w:rPr>
        <w:t>1</w:t>
      </w:r>
      <w:r>
        <w:t xml:space="preserve"> contiene el</w:t>
      </w:r>
      <w:r w:rsidR="001A54CC">
        <w:t xml:space="preserve"> título</w:t>
      </w:r>
      <w:r w:rsidR="00A54E47">
        <w:t xml:space="preserve"> y el</w:t>
      </w:r>
      <w:r>
        <w:t xml:space="preserve"> resumen de los proyectos de nueva</w:t>
      </w:r>
      <w:r w:rsidR="00E96AB6">
        <w:t>s</w:t>
      </w:r>
      <w:r>
        <w:t xml:space="preserve"> </w:t>
      </w:r>
      <w:r w:rsidR="00DD74D8">
        <w:t>Recomendaciones</w:t>
      </w:r>
      <w:r>
        <w:t xml:space="preserve"> UIT-T, con indicación de los documentos en que figuran.</w:t>
      </w:r>
    </w:p>
    <w:p w:rsidR="00401C20" w:rsidRDefault="00401C20" w:rsidP="00E96AB6">
      <w:r>
        <w:rPr>
          <w:bCs/>
        </w:rPr>
        <w:t>3</w:t>
      </w:r>
      <w:r>
        <w:tab/>
        <w:t>Todo Estado Miembro, Miembro de Sector o Asociado de la UIT consciente de la titularidad de una patente propia o ajena que pueda cubrir total o parcialmente los elementos de los proyectos de Recomendaci</w:t>
      </w:r>
      <w:r w:rsidR="00E96AB6">
        <w:t>ones</w:t>
      </w:r>
      <w:r>
        <w:t xml:space="preserve"> propuestos para aprobación debe poner esa información en conocimiento de la TSB, de conformidad con </w:t>
      </w:r>
      <w:r w:rsidR="00B43F77">
        <w:t>la política sobre patentes del UIT-T/UIT-R/ISO/CEI</w:t>
      </w:r>
      <w:r>
        <w:t>.</w:t>
      </w:r>
    </w:p>
    <w:p w:rsidR="00401C20" w:rsidRDefault="00401C20" w:rsidP="00060786">
      <w:r>
        <w:t xml:space="preserve">Puede accederse en línea a la información disponible sobre patentes a través del sitio </w:t>
      </w:r>
      <w:r w:rsidR="00060786">
        <w:t>w</w:t>
      </w:r>
      <w:r>
        <w:t>eb del UIT</w:t>
      </w:r>
      <w:r>
        <w:noBreakHyphen/>
        <w:t>T</w:t>
      </w:r>
      <w:r w:rsidR="00B43F77">
        <w:t xml:space="preserve"> (</w:t>
      </w:r>
      <w:hyperlink r:id="rId8" w:history="1">
        <w:r w:rsidR="00B43F77" w:rsidRPr="00F816C5">
          <w:rPr>
            <w:rStyle w:val="Hyperlink"/>
          </w:rPr>
          <w:t>www.itu.int/ITU-T/ipr/</w:t>
        </w:r>
      </w:hyperlink>
      <w:r w:rsidR="00B43F77">
        <w:t>)</w:t>
      </w:r>
      <w:r>
        <w:t>.</w:t>
      </w:r>
    </w:p>
    <w:p w:rsidR="00401C20" w:rsidRDefault="00401C20" w:rsidP="00E96AB6">
      <w:r>
        <w:rPr>
          <w:bCs/>
        </w:rPr>
        <w:lastRenderedPageBreak/>
        <w:t>4</w:t>
      </w:r>
      <w:r>
        <w:tab/>
        <w:t xml:space="preserve">Teniendo en cuenta las disposiciones de la Resolución 1, Sección 9, le agradecería que me comunicase </w:t>
      </w:r>
      <w:r>
        <w:rPr>
          <w:b/>
        </w:rPr>
        <w:t>antes</w:t>
      </w:r>
      <w:r>
        <w:t xml:space="preserve"> de las 24.00 horas UTC </w:t>
      </w:r>
      <w:r>
        <w:rPr>
          <w:b/>
        </w:rPr>
        <w:t xml:space="preserve">del </w:t>
      </w:r>
      <w:r w:rsidR="00E96AB6">
        <w:rPr>
          <w:b/>
        </w:rPr>
        <w:t xml:space="preserve">26 de noviembre de 2010 </w:t>
      </w:r>
      <w:r>
        <w:t xml:space="preserve">si su Administración otorga a la Comisión de Estudio </w:t>
      </w:r>
      <w:r w:rsidR="00E96AB6">
        <w:t xml:space="preserve">17 </w:t>
      </w:r>
      <w:r>
        <w:t xml:space="preserve">la autoridad necesaria para que durante su reunión puedan considerar la aprobación de estos proyectos de </w:t>
      </w:r>
      <w:r w:rsidR="00E96AB6">
        <w:t xml:space="preserve">nuevas </w:t>
      </w:r>
      <w:r>
        <w:t>Recome</w:t>
      </w:r>
      <w:r w:rsidR="00E96AB6">
        <w:t>ndaciones</w:t>
      </w:r>
      <w:r>
        <w:t>.</w:t>
      </w:r>
    </w:p>
    <w:p w:rsidR="00401C20" w:rsidRDefault="00401C20" w:rsidP="00E96AB6">
      <w:r>
        <w:t xml:space="preserve">Si algunos Estados Miembros opinan que no puede procederse a considerar la aprobación, deben indicar sus razones de desaprobación así como los posibles cambios que facilitarían el nuevo examen y la aprobación de los proyectos de </w:t>
      </w:r>
      <w:r w:rsidR="00E96AB6">
        <w:t xml:space="preserve">nuevas </w:t>
      </w:r>
      <w:r>
        <w:t>Recomendaci</w:t>
      </w:r>
      <w:r w:rsidR="00E96AB6">
        <w:t>o</w:t>
      </w:r>
      <w:r>
        <w:t>ne</w:t>
      </w:r>
      <w:r w:rsidR="00E96AB6">
        <w:t>s</w:t>
      </w:r>
    </w:p>
    <w:p w:rsidR="00401C20" w:rsidRDefault="00401C20" w:rsidP="00060786">
      <w:r>
        <w:rPr>
          <w:bCs/>
        </w:rPr>
        <w:t>5</w:t>
      </w:r>
      <w:r>
        <w:tab/>
        <w:t>Si el 70% como mínimo de las respuestas de los Estados Miembros están a favor de que se considere la aprobación de estos</w:t>
      </w:r>
      <w:r w:rsidR="00060786">
        <w:t xml:space="preserve"> </w:t>
      </w:r>
      <w:r>
        <w:t xml:space="preserve">proyectos de </w:t>
      </w:r>
      <w:r w:rsidR="00060786">
        <w:t xml:space="preserve">nuevas </w:t>
      </w:r>
      <w:r>
        <w:t>Recomendaci</w:t>
      </w:r>
      <w:r w:rsidR="00060786">
        <w:t>o</w:t>
      </w:r>
      <w:r>
        <w:t>nes</w:t>
      </w:r>
      <w:r w:rsidR="00060786">
        <w:t xml:space="preserve"> </w:t>
      </w:r>
      <w:r>
        <w:t xml:space="preserve">en la reunión de la Comisión de Estudio, </w:t>
      </w:r>
      <w:r>
        <w:rPr>
          <w:b/>
        </w:rPr>
        <w:t xml:space="preserve">el </w:t>
      </w:r>
      <w:r w:rsidR="002353AB">
        <w:rPr>
          <w:b/>
        </w:rPr>
        <w:t xml:space="preserve">17 de diciembre de 2010 </w:t>
      </w:r>
      <w:r>
        <w:t xml:space="preserve">se dedicará una </w:t>
      </w:r>
      <w:r w:rsidR="00060786">
        <w:t>Sesión Plenaria</w:t>
      </w:r>
      <w:r>
        <w:t xml:space="preserve"> a la aplicación del procedimiento de aprobación.</w:t>
      </w:r>
    </w:p>
    <w:p w:rsidR="00401C20" w:rsidRDefault="00401C20" w:rsidP="00060786">
      <w:r>
        <w:t xml:space="preserve">Invito pues a su Administración a que envíe un representante a dicha reunión. Se invita a las </w:t>
      </w:r>
      <w:r>
        <w:rPr>
          <w:b/>
        </w:rPr>
        <w:t>Administraciones de los Estados Miembros de la Unión</w:t>
      </w:r>
      <w:r>
        <w:t xml:space="preserve"> a precisar el nombre de su Jefe de </w:t>
      </w:r>
      <w:r w:rsidR="00060786">
        <w:t>D</w:t>
      </w:r>
      <w:r>
        <w:t xml:space="preserve">elegación. Si su Administración desea estar representada en esa reunión por una empresa de explotación reconocida, un organismo científico o industrial u otra entidad que se ocupe de cuestiones de telecomunicaciones, habrá de comunicarlo al Director de conformidad con lo dispuesto en el </w:t>
      </w:r>
      <w:r w:rsidR="00060786">
        <w:t>A</w:t>
      </w:r>
      <w:r>
        <w:t>rtículo 19, número 239, del Convenio de la UIT.</w:t>
      </w:r>
    </w:p>
    <w:p w:rsidR="00401C20" w:rsidRDefault="00401C20" w:rsidP="00060786">
      <w:r>
        <w:rPr>
          <w:bCs/>
        </w:rPr>
        <w:t>6</w:t>
      </w:r>
      <w:r>
        <w:tab/>
        <w:t>El orden del día</w:t>
      </w:r>
      <w:r w:rsidR="00850C78">
        <w:t xml:space="preserve"> </w:t>
      </w:r>
      <w:r>
        <w:t>y toda la información pertinente sobre la reunión de la Comisión de Estudio</w:t>
      </w:r>
      <w:r w:rsidR="002353AB">
        <w:t xml:space="preserve">17 </w:t>
      </w:r>
      <w:r>
        <w:t xml:space="preserve">figurarán en la Carta </w:t>
      </w:r>
      <w:r w:rsidR="00060786">
        <w:t>C</w:t>
      </w:r>
      <w:r>
        <w:t xml:space="preserve">olectiva </w:t>
      </w:r>
      <w:r w:rsidR="002353AB">
        <w:t>4</w:t>
      </w:r>
      <w:r>
        <w:t>/</w:t>
      </w:r>
      <w:r w:rsidR="002353AB">
        <w:t>17.</w:t>
      </w:r>
    </w:p>
    <w:p w:rsidR="00401C20" w:rsidRDefault="00401C20" w:rsidP="00060786">
      <w:r>
        <w:rPr>
          <w:bCs/>
        </w:rPr>
        <w:t>7</w:t>
      </w:r>
      <w:r>
        <w:tab/>
        <w:t xml:space="preserve">Después de la reunión, el Director de la TSB notificará por </w:t>
      </w:r>
      <w:r w:rsidR="00060786">
        <w:t>C</w:t>
      </w:r>
      <w:r>
        <w:t>ircular la decisión tomada sobre estas</w:t>
      </w:r>
      <w:r w:rsidR="00B96180">
        <w:t xml:space="preserve"> Recomendaci</w:t>
      </w:r>
      <w:r w:rsidR="00060786">
        <w:t>o</w:t>
      </w:r>
      <w:r>
        <w:t>nes. Esta información se publicará también en el Boletín de Explotación de la UIT.</w:t>
      </w:r>
    </w:p>
    <w:p w:rsidR="00401C20" w:rsidRDefault="00401C20" w:rsidP="006C73A3">
      <w:pPr>
        <w:ind w:right="92"/>
      </w:pPr>
      <w:r>
        <w:t>Le saluda muy atentamente</w:t>
      </w:r>
      <w:r w:rsidR="006C73A3">
        <w:t>.</w:t>
      </w:r>
    </w:p>
    <w:p w:rsidR="00401C20" w:rsidRDefault="00B422BC">
      <w:pPr>
        <w:spacing w:before="1701"/>
        <w:ind w:right="91"/>
      </w:pPr>
      <w:r w:rsidRPr="00B422BC">
        <w:t>Malcolm Johnson</w:t>
      </w:r>
      <w:r w:rsidR="00401C20">
        <w:br/>
        <w:t>Director de la Oficina de</w:t>
      </w:r>
      <w:r w:rsidR="00401C20">
        <w:br/>
        <w:t>Normalización de las Telecomunicaciones</w:t>
      </w:r>
    </w:p>
    <w:p w:rsidR="00401C20" w:rsidRDefault="00401C20" w:rsidP="006C73A3"/>
    <w:p w:rsidR="006C73A3" w:rsidRDefault="006C73A3" w:rsidP="006C73A3"/>
    <w:p w:rsidR="006C73A3" w:rsidRDefault="006C73A3" w:rsidP="006C73A3"/>
    <w:p w:rsidR="006C73A3" w:rsidRDefault="006C73A3" w:rsidP="006C73A3"/>
    <w:p w:rsidR="00401C20" w:rsidRPr="008505BD" w:rsidRDefault="00401C20">
      <w:pPr>
        <w:rPr>
          <w:bCs/>
        </w:rPr>
      </w:pPr>
      <w:r>
        <w:rPr>
          <w:b/>
        </w:rPr>
        <w:t>Anexo</w:t>
      </w:r>
      <w:r w:rsidRPr="006C73A3">
        <w:rPr>
          <w:bCs/>
        </w:rPr>
        <w:t>:</w:t>
      </w:r>
      <w:r w:rsidR="008505BD" w:rsidRPr="006C73A3">
        <w:rPr>
          <w:bCs/>
        </w:rPr>
        <w:t xml:space="preserve"> </w:t>
      </w:r>
      <w:r w:rsidR="002353AB" w:rsidRPr="006C73A3">
        <w:rPr>
          <w:bCs/>
        </w:rPr>
        <w:t>1</w:t>
      </w:r>
    </w:p>
    <w:p w:rsidR="00144AA0" w:rsidRDefault="00144A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144AA0" w:rsidRPr="00144AA0" w:rsidRDefault="00144AA0" w:rsidP="00144AA0">
      <w:pPr>
        <w:pStyle w:val="AppendixRef"/>
        <w:rPr>
          <w:lang w:val="es-ES"/>
        </w:rPr>
      </w:pPr>
      <w:r w:rsidRPr="00144AA0">
        <w:rPr>
          <w:lang w:val="es-ES"/>
        </w:rPr>
        <w:t>ANEXO 1</w:t>
      </w:r>
      <w:r w:rsidRPr="00144AA0">
        <w:rPr>
          <w:lang w:val="es-ES"/>
        </w:rPr>
        <w:br/>
        <w:t>(a la Circular TSB 105)</w:t>
      </w:r>
    </w:p>
    <w:p w:rsidR="00144AA0" w:rsidRPr="00144AA0" w:rsidRDefault="00144AA0" w:rsidP="00144AA0">
      <w:pPr>
        <w:spacing w:before="240"/>
        <w:jc w:val="center"/>
        <w:rPr>
          <w:szCs w:val="24"/>
          <w:lang w:val="es-ES"/>
        </w:rPr>
      </w:pPr>
      <w:r w:rsidRPr="00144AA0">
        <w:rPr>
          <w:b/>
          <w:bCs/>
          <w:szCs w:val="24"/>
          <w:lang w:val="es-ES"/>
        </w:rPr>
        <w:t>Resumen y ubicación de los textos</w:t>
      </w:r>
    </w:p>
    <w:p w:rsidR="00144AA0" w:rsidRPr="00144AA0" w:rsidRDefault="00144AA0" w:rsidP="00144AA0">
      <w:pPr>
        <w:spacing w:before="720"/>
        <w:rPr>
          <w:b/>
          <w:bCs/>
          <w:sz w:val="28"/>
          <w:szCs w:val="28"/>
          <w:lang w:val="es-ES"/>
        </w:rPr>
      </w:pPr>
      <w:r w:rsidRPr="00144AA0">
        <w:rPr>
          <w:b/>
          <w:bCs/>
          <w:lang w:val="es-ES"/>
        </w:rPr>
        <w:t>Proyecto de nueva Recomendación UIT-T X.673 | ISO/IEC 29168-2, Procedimientos para el organism</w:t>
      </w:r>
      <w:r>
        <w:rPr>
          <w:b/>
          <w:bCs/>
          <w:lang w:val="es-ES"/>
        </w:rPr>
        <w:t xml:space="preserve">o encargado del sistema de resolución de identificadores de objeto </w:t>
      </w:r>
      <w:r w:rsidRPr="00144AA0">
        <w:rPr>
          <w:b/>
          <w:bCs/>
          <w:lang w:val="es-ES"/>
        </w:rPr>
        <w:br/>
      </w:r>
      <w:r w:rsidRPr="00144AA0">
        <w:rPr>
          <w:b/>
          <w:bCs/>
          <w:szCs w:val="24"/>
          <w:lang w:val="es-ES"/>
        </w:rPr>
        <w:t>COM 17 – R 22</w:t>
      </w:r>
    </w:p>
    <w:p w:rsidR="00144AA0" w:rsidRPr="006C73A3" w:rsidRDefault="000110A7" w:rsidP="00144AA0">
      <w:pPr>
        <w:rPr>
          <w:b/>
        </w:rPr>
      </w:pPr>
      <w:r w:rsidRPr="006C73A3">
        <w:rPr>
          <w:b/>
        </w:rPr>
        <w:t>Resumen</w:t>
      </w:r>
    </w:p>
    <w:p w:rsidR="00144AA0" w:rsidRPr="000110A7" w:rsidRDefault="000110A7" w:rsidP="00423E42">
      <w:pPr>
        <w:rPr>
          <w:lang w:val="es-ES"/>
        </w:rPr>
      </w:pPr>
      <w:r w:rsidRPr="000110A7">
        <w:rPr>
          <w:lang w:val="es-ES"/>
        </w:rPr>
        <w:t xml:space="preserve">En esta </w:t>
      </w:r>
      <w:r w:rsidR="000F4421" w:rsidRPr="000110A7">
        <w:rPr>
          <w:lang w:val="es-ES"/>
        </w:rPr>
        <w:t>Recomendación</w:t>
      </w:r>
      <w:r w:rsidR="00144AA0" w:rsidRPr="000110A7">
        <w:rPr>
          <w:lang w:val="es-ES"/>
        </w:rPr>
        <w:t xml:space="preserve"> | </w:t>
      </w:r>
      <w:r w:rsidRPr="000110A7">
        <w:rPr>
          <w:lang w:val="es-ES"/>
        </w:rPr>
        <w:t>Norma Internacional se especifican las actividades que habrá de realizar el organism</w:t>
      </w:r>
      <w:r>
        <w:rPr>
          <w:lang w:val="es-ES"/>
        </w:rPr>
        <w:t>o</w:t>
      </w:r>
      <w:r w:rsidRPr="000110A7">
        <w:rPr>
          <w:lang w:val="es-ES"/>
        </w:rPr>
        <w:t xml:space="preserve"> encargado del sistema de resolución de identificadores de objeto </w:t>
      </w:r>
      <w:r w:rsidR="00144AA0" w:rsidRPr="000110A7">
        <w:rPr>
          <w:lang w:val="es-ES"/>
        </w:rPr>
        <w:t xml:space="preserve">(ORS) </w:t>
      </w:r>
      <w:r>
        <w:rPr>
          <w:lang w:val="es-ES"/>
        </w:rPr>
        <w:t>para contribuir al buen funcionamiento del mismo</w:t>
      </w:r>
      <w:r w:rsidR="00144AA0" w:rsidRPr="000110A7">
        <w:rPr>
          <w:lang w:val="es-ES"/>
        </w:rPr>
        <w:t>.</w:t>
      </w:r>
      <w:r w:rsidR="00346B22">
        <w:rPr>
          <w:lang w:val="es-ES"/>
        </w:rPr>
        <w:t xml:space="preserve"> </w:t>
      </w:r>
      <w:r w:rsidRPr="000110A7">
        <w:rPr>
          <w:lang w:val="es-ES"/>
        </w:rPr>
        <w:t xml:space="preserve">Se especifica la utilización de </w:t>
      </w:r>
      <w:r w:rsidR="00144AA0" w:rsidRPr="000110A7">
        <w:rPr>
          <w:lang w:val="es-ES"/>
        </w:rPr>
        <w:t xml:space="preserve">DNSSEC (NSEC3) </w:t>
      </w:r>
      <w:r w:rsidRPr="000110A7">
        <w:rPr>
          <w:lang w:val="es-ES"/>
        </w:rPr>
        <w:t>y se tr</w:t>
      </w:r>
      <w:r w:rsidR="00423E42">
        <w:rPr>
          <w:lang w:val="es-ES"/>
        </w:rPr>
        <w:t>a</w:t>
      </w:r>
      <w:r w:rsidRPr="000110A7">
        <w:rPr>
          <w:lang w:val="es-ES"/>
        </w:rPr>
        <w:t>tan cuestiones de tarificaci</w:t>
      </w:r>
      <w:r>
        <w:rPr>
          <w:lang w:val="es-ES"/>
        </w:rPr>
        <w:t>ón</w:t>
      </w:r>
      <w:r w:rsidR="00144AA0" w:rsidRPr="000110A7">
        <w:rPr>
          <w:lang w:val="es-ES"/>
        </w:rPr>
        <w:t>.</w:t>
      </w:r>
      <w:r w:rsidR="00346B22">
        <w:rPr>
          <w:lang w:val="es-ES"/>
        </w:rPr>
        <w:t xml:space="preserve"> </w:t>
      </w:r>
      <w:r w:rsidRPr="000110A7">
        <w:rPr>
          <w:lang w:val="es-ES"/>
        </w:rPr>
        <w:t xml:space="preserve">También se especifican mecanismos para </w:t>
      </w:r>
      <w:r w:rsidR="000F4421" w:rsidRPr="000110A7">
        <w:rPr>
          <w:lang w:val="es-ES"/>
        </w:rPr>
        <w:t>designar</w:t>
      </w:r>
      <w:r w:rsidRPr="000110A7">
        <w:rPr>
          <w:lang w:val="es-ES"/>
        </w:rPr>
        <w:t xml:space="preserve"> al </w:t>
      </w:r>
      <w:r w:rsidR="000F4421" w:rsidRPr="000110A7">
        <w:rPr>
          <w:lang w:val="es-ES"/>
        </w:rPr>
        <w:t>organismo</w:t>
      </w:r>
      <w:r w:rsidRPr="000110A7">
        <w:rPr>
          <w:lang w:val="es-ES"/>
        </w:rPr>
        <w:t xml:space="preserve"> encargado en cuanto Autoridad de Registro de </w:t>
      </w:r>
      <w:r>
        <w:rPr>
          <w:lang w:val="es-ES"/>
        </w:rPr>
        <w:t xml:space="preserve">la </w:t>
      </w:r>
      <w:r w:rsidR="00144AA0" w:rsidRPr="000110A7">
        <w:rPr>
          <w:lang w:val="es-ES"/>
        </w:rPr>
        <w:t>ISO/</w:t>
      </w:r>
      <w:r>
        <w:rPr>
          <w:lang w:val="es-ES"/>
        </w:rPr>
        <w:t>CE</w:t>
      </w:r>
      <w:r w:rsidR="00144AA0" w:rsidRPr="000110A7">
        <w:rPr>
          <w:lang w:val="es-ES"/>
        </w:rPr>
        <w:t>I.</w:t>
      </w:r>
    </w:p>
    <w:p w:rsidR="00144AA0" w:rsidRPr="00423E42" w:rsidRDefault="00423E42" w:rsidP="00060786">
      <w:pPr>
        <w:rPr>
          <w:lang w:val="es-ES"/>
        </w:rPr>
      </w:pPr>
      <w:r w:rsidRPr="00423E42">
        <w:rPr>
          <w:lang w:val="es-ES"/>
        </w:rPr>
        <w:t xml:space="preserve">NOTA </w:t>
      </w:r>
      <w:r w:rsidR="00144AA0" w:rsidRPr="00423E42">
        <w:rPr>
          <w:lang w:val="es-ES"/>
        </w:rPr>
        <w:t>IMPORTANTE</w:t>
      </w:r>
      <w:r w:rsidR="00060786">
        <w:rPr>
          <w:lang w:val="es-ES"/>
        </w:rPr>
        <w:t xml:space="preserve"> </w:t>
      </w:r>
      <w:r w:rsidR="00060786" w:rsidRPr="00060786">
        <w:rPr>
          <w:lang w:val="es-ES"/>
        </w:rPr>
        <w:t>–</w:t>
      </w:r>
      <w:r w:rsidR="00144AA0" w:rsidRPr="00423E42">
        <w:rPr>
          <w:lang w:val="es-ES"/>
        </w:rPr>
        <w:t xml:space="preserve"> </w:t>
      </w:r>
      <w:r w:rsidR="00060786">
        <w:rPr>
          <w:lang w:val="es-ES"/>
        </w:rPr>
        <w:t>L</w:t>
      </w:r>
      <w:r w:rsidR="00745CCE">
        <w:rPr>
          <w:lang w:val="es-ES"/>
        </w:rPr>
        <w:t>a puesta a disposición d</w:t>
      </w:r>
      <w:r w:rsidRPr="00423E42">
        <w:rPr>
          <w:lang w:val="es-ES"/>
        </w:rPr>
        <w:t>el texto se ha aplazado hasta la clausura de la reuni</w:t>
      </w:r>
      <w:r>
        <w:rPr>
          <w:lang w:val="es-ES"/>
        </w:rPr>
        <w:t xml:space="preserve">ón </w:t>
      </w:r>
      <w:r w:rsidR="00500630">
        <w:rPr>
          <w:lang w:val="es-ES"/>
        </w:rPr>
        <w:t xml:space="preserve">de </w:t>
      </w:r>
      <w:r w:rsidR="00060786">
        <w:rPr>
          <w:lang w:val="es-ES"/>
        </w:rPr>
        <w:t>r</w:t>
      </w:r>
      <w:r w:rsidR="00500630">
        <w:rPr>
          <w:lang w:val="es-ES"/>
        </w:rPr>
        <w:t>esolución por votación FCD</w:t>
      </w:r>
      <w:r w:rsidR="00745CCE">
        <w:rPr>
          <w:lang w:val="es-ES"/>
        </w:rPr>
        <w:t xml:space="preserve"> </w:t>
      </w:r>
      <w:r w:rsidR="00500630">
        <w:rPr>
          <w:lang w:val="es-ES"/>
        </w:rPr>
        <w:t xml:space="preserve">de </w:t>
      </w:r>
      <w:r w:rsidR="00144AA0" w:rsidRPr="00423E42">
        <w:rPr>
          <w:lang w:val="es-ES"/>
        </w:rPr>
        <w:t>ISO/</w:t>
      </w:r>
      <w:r w:rsidR="00500630">
        <w:rPr>
          <w:lang w:val="es-ES"/>
        </w:rPr>
        <w:t>CE</w:t>
      </w:r>
      <w:r w:rsidR="00144AA0" w:rsidRPr="00423E42">
        <w:rPr>
          <w:lang w:val="es-ES"/>
        </w:rPr>
        <w:t xml:space="preserve">I (27 </w:t>
      </w:r>
      <w:r>
        <w:rPr>
          <w:lang w:val="es-ES"/>
        </w:rPr>
        <w:t>de agosto de</w:t>
      </w:r>
      <w:r w:rsidR="006C73A3">
        <w:rPr>
          <w:lang w:val="es-ES"/>
        </w:rPr>
        <w:t> </w:t>
      </w:r>
      <w:r w:rsidR="00144AA0" w:rsidRPr="00423E42">
        <w:rPr>
          <w:lang w:val="es-ES"/>
        </w:rPr>
        <w:t>2010)</w:t>
      </w:r>
    </w:p>
    <w:p w:rsidR="00144AA0" w:rsidRPr="00423E42" w:rsidRDefault="00144AA0" w:rsidP="00423E42">
      <w:pPr>
        <w:spacing w:before="240"/>
        <w:rPr>
          <w:b/>
          <w:bCs/>
          <w:sz w:val="28"/>
          <w:szCs w:val="28"/>
          <w:lang w:val="es-ES"/>
        </w:rPr>
      </w:pPr>
      <w:r w:rsidRPr="00423E42">
        <w:rPr>
          <w:b/>
          <w:bCs/>
          <w:lang w:val="es-ES"/>
        </w:rPr>
        <w:t>Proyecto de nueva Recomendación UIT-T X.1032 (</w:t>
      </w:r>
      <w:proofErr w:type="spellStart"/>
      <w:r w:rsidRPr="00423E42">
        <w:rPr>
          <w:b/>
          <w:bCs/>
          <w:lang w:val="es-ES"/>
        </w:rPr>
        <w:t>X.interfaces</w:t>
      </w:r>
      <w:proofErr w:type="spellEnd"/>
      <w:r w:rsidRPr="00423E42">
        <w:rPr>
          <w:b/>
          <w:bCs/>
          <w:lang w:val="es-ES"/>
        </w:rPr>
        <w:t xml:space="preserve">), </w:t>
      </w:r>
      <w:r w:rsidR="00423E42" w:rsidRPr="00423E42">
        <w:rPr>
          <w:b/>
          <w:bCs/>
          <w:lang w:val="es-ES"/>
        </w:rPr>
        <w:t xml:space="preserve">Arquitectura de interrelaciones externas </w:t>
      </w:r>
      <w:r w:rsidR="00423E42">
        <w:rPr>
          <w:b/>
          <w:bCs/>
          <w:lang w:val="es-ES"/>
        </w:rPr>
        <w:t>para un sistema de seguridad en las red</w:t>
      </w:r>
      <w:r w:rsidR="001A0CE6">
        <w:rPr>
          <w:b/>
          <w:bCs/>
          <w:lang w:val="es-ES"/>
        </w:rPr>
        <w:t>es</w:t>
      </w:r>
      <w:r w:rsidR="00423E42">
        <w:rPr>
          <w:b/>
          <w:bCs/>
          <w:lang w:val="es-ES"/>
        </w:rPr>
        <w:t xml:space="preserve"> de telecomunicaciones </w:t>
      </w:r>
      <w:r w:rsidRPr="00423E42">
        <w:rPr>
          <w:b/>
          <w:bCs/>
          <w:lang w:val="es-ES"/>
        </w:rPr>
        <w:br/>
      </w:r>
      <w:r w:rsidRPr="00423E42">
        <w:rPr>
          <w:b/>
          <w:bCs/>
          <w:szCs w:val="24"/>
          <w:lang w:val="es-ES"/>
        </w:rPr>
        <w:t>COM 17 – R 15</w:t>
      </w:r>
    </w:p>
    <w:p w:rsidR="001A0CE6" w:rsidRPr="006C73A3" w:rsidRDefault="001A0CE6" w:rsidP="001A0CE6">
      <w:pPr>
        <w:rPr>
          <w:b/>
        </w:rPr>
      </w:pPr>
      <w:r w:rsidRPr="006C73A3">
        <w:rPr>
          <w:b/>
        </w:rPr>
        <w:t>Resumen</w:t>
      </w:r>
    </w:p>
    <w:p w:rsidR="00144AA0" w:rsidRPr="001048A1" w:rsidRDefault="001A0CE6" w:rsidP="00060786">
      <w:pPr>
        <w:rPr>
          <w:lang w:val="es-ES"/>
        </w:rPr>
      </w:pPr>
      <w:r w:rsidRPr="001A0CE6">
        <w:rPr>
          <w:lang w:val="es-ES"/>
        </w:rPr>
        <w:t xml:space="preserve">En esta Recomendación se proponen cuatro modelos que permiten </w:t>
      </w:r>
      <w:r w:rsidR="00F74519">
        <w:rPr>
          <w:lang w:val="es-ES"/>
        </w:rPr>
        <w:t>examinar</w:t>
      </w:r>
      <w:r w:rsidRPr="001A0CE6">
        <w:rPr>
          <w:lang w:val="es-ES"/>
        </w:rPr>
        <w:t xml:space="preserve"> las interrelaciones del sistema de seguridad en las redes de telecomuni</w:t>
      </w:r>
      <w:r>
        <w:rPr>
          <w:lang w:val="es-ES"/>
        </w:rPr>
        <w:t>c</w:t>
      </w:r>
      <w:r w:rsidRPr="001A0CE6">
        <w:rPr>
          <w:lang w:val="es-ES"/>
        </w:rPr>
        <w:t>aciones</w:t>
      </w:r>
      <w:r w:rsidR="00144AA0" w:rsidRPr="001A0CE6">
        <w:rPr>
          <w:lang w:val="es-ES"/>
        </w:rPr>
        <w:t xml:space="preserve"> (</w:t>
      </w:r>
      <w:r w:rsidRPr="001A0CE6">
        <w:rPr>
          <w:lang w:val="es-ES"/>
        </w:rPr>
        <w:t>SSR</w:t>
      </w:r>
      <w:r w:rsidR="00144AA0" w:rsidRPr="001A0CE6">
        <w:rPr>
          <w:lang w:val="es-ES"/>
        </w:rPr>
        <w:t xml:space="preserve">T) </w:t>
      </w:r>
      <w:r>
        <w:rPr>
          <w:lang w:val="es-ES"/>
        </w:rPr>
        <w:t>con diversos grupos de objetos externos</w:t>
      </w:r>
      <w:r w:rsidR="00144AA0" w:rsidRPr="001A0CE6">
        <w:rPr>
          <w:lang w:val="es-ES"/>
        </w:rPr>
        <w:t xml:space="preserve">. </w:t>
      </w:r>
      <w:r w:rsidR="001048A1" w:rsidRPr="001048A1">
        <w:rPr>
          <w:lang w:val="es-ES"/>
        </w:rPr>
        <w:t xml:space="preserve">Cada objeto se examina de acuerdo con sus funciones principales y </w:t>
      </w:r>
      <w:r w:rsidR="00F74519">
        <w:rPr>
          <w:lang w:val="es-ES"/>
        </w:rPr>
        <w:t xml:space="preserve">su </w:t>
      </w:r>
      <w:r w:rsidR="001048A1" w:rsidRPr="001048A1">
        <w:rPr>
          <w:lang w:val="es-ES"/>
        </w:rPr>
        <w:t>efecto probable sobre los principios de funcionamiento y construcci</w:t>
      </w:r>
      <w:r w:rsidR="001048A1">
        <w:rPr>
          <w:lang w:val="es-ES"/>
        </w:rPr>
        <w:t>ón del SSRT</w:t>
      </w:r>
      <w:r w:rsidR="00144AA0" w:rsidRPr="001048A1">
        <w:rPr>
          <w:lang w:val="es-ES"/>
        </w:rPr>
        <w:t xml:space="preserve">. </w:t>
      </w:r>
      <w:r w:rsidR="001048A1" w:rsidRPr="001048A1">
        <w:rPr>
          <w:lang w:val="es-ES"/>
        </w:rPr>
        <w:t xml:space="preserve">Esta Recomendación sienta las bases para la elaboración de </w:t>
      </w:r>
      <w:r w:rsidR="00060786">
        <w:rPr>
          <w:lang w:val="es-ES"/>
        </w:rPr>
        <w:t>R</w:t>
      </w:r>
      <w:r w:rsidR="001048A1" w:rsidRPr="001048A1">
        <w:rPr>
          <w:lang w:val="es-ES"/>
        </w:rPr>
        <w:t>ecomendaciones detalladas sobre seguridad en la red en relaci</w:t>
      </w:r>
      <w:r w:rsidR="001048A1">
        <w:rPr>
          <w:lang w:val="es-ES"/>
        </w:rPr>
        <w:t>ón con el efecto de objetos externos</w:t>
      </w:r>
      <w:r w:rsidR="00144AA0" w:rsidRPr="001048A1">
        <w:rPr>
          <w:lang w:val="es-ES"/>
        </w:rPr>
        <w:t>.</w:t>
      </w:r>
    </w:p>
    <w:p w:rsidR="00144AA0" w:rsidRPr="006B0A76" w:rsidRDefault="00144AA0" w:rsidP="006B0A76">
      <w:pPr>
        <w:spacing w:before="240"/>
        <w:rPr>
          <w:b/>
          <w:bCs/>
          <w:szCs w:val="24"/>
          <w:lang w:val="es-ES"/>
        </w:rPr>
      </w:pPr>
      <w:r w:rsidRPr="006B0A76">
        <w:rPr>
          <w:b/>
          <w:bCs/>
          <w:lang w:val="es-ES"/>
        </w:rPr>
        <w:t>Proyecto de nueva Recomendación UIT-T X.1209 (</w:t>
      </w:r>
      <w:proofErr w:type="spellStart"/>
      <w:r w:rsidRPr="006B0A76">
        <w:rPr>
          <w:b/>
          <w:bCs/>
          <w:lang w:val="es-ES"/>
        </w:rPr>
        <w:t>X.sisfreq</w:t>
      </w:r>
      <w:proofErr w:type="spellEnd"/>
      <w:r w:rsidRPr="006B0A76">
        <w:rPr>
          <w:b/>
          <w:bCs/>
          <w:lang w:val="es-ES"/>
        </w:rPr>
        <w:t xml:space="preserve">), </w:t>
      </w:r>
      <w:r w:rsidR="006B0A76" w:rsidRPr="006B0A76">
        <w:rPr>
          <w:b/>
          <w:bCs/>
          <w:lang w:val="es-ES"/>
        </w:rPr>
        <w:t>Capacidades y tipos de context</w:t>
      </w:r>
      <w:r w:rsidR="006B0A76">
        <w:rPr>
          <w:b/>
          <w:bCs/>
          <w:lang w:val="es-ES"/>
        </w:rPr>
        <w:t>o</w:t>
      </w:r>
      <w:r w:rsidR="006B0A76" w:rsidRPr="006B0A76">
        <w:rPr>
          <w:b/>
          <w:bCs/>
          <w:lang w:val="es-ES"/>
        </w:rPr>
        <w:t xml:space="preserve"> </w:t>
      </w:r>
      <w:r w:rsidR="006B0A76">
        <w:rPr>
          <w:b/>
          <w:bCs/>
          <w:lang w:val="es-ES"/>
        </w:rPr>
        <w:t xml:space="preserve">para compartir e intercambiar información sobre </w:t>
      </w:r>
      <w:proofErr w:type="spellStart"/>
      <w:r w:rsidR="006B0A76">
        <w:rPr>
          <w:b/>
          <w:bCs/>
          <w:lang w:val="es-ES"/>
        </w:rPr>
        <w:t>ciberseguridad</w:t>
      </w:r>
      <w:proofErr w:type="spellEnd"/>
      <w:r w:rsidR="006B0A76" w:rsidRPr="006B0A76">
        <w:rPr>
          <w:b/>
          <w:bCs/>
          <w:lang w:val="es-ES"/>
        </w:rPr>
        <w:t xml:space="preserve"> </w:t>
      </w:r>
      <w:r w:rsidRPr="006B0A76">
        <w:rPr>
          <w:b/>
          <w:bCs/>
          <w:lang w:val="es-ES"/>
        </w:rPr>
        <w:br/>
      </w:r>
      <w:r w:rsidRPr="006B0A76">
        <w:rPr>
          <w:b/>
          <w:bCs/>
          <w:szCs w:val="24"/>
          <w:lang w:val="es-ES"/>
        </w:rPr>
        <w:t>COM 17 – R 16</w:t>
      </w:r>
    </w:p>
    <w:p w:rsidR="007427F2" w:rsidRPr="006C73A3" w:rsidRDefault="007427F2" w:rsidP="007427F2">
      <w:pPr>
        <w:rPr>
          <w:b/>
        </w:rPr>
      </w:pPr>
      <w:r w:rsidRPr="006C73A3">
        <w:rPr>
          <w:b/>
        </w:rPr>
        <w:t>Resumen</w:t>
      </w:r>
    </w:p>
    <w:p w:rsidR="00144AA0" w:rsidRPr="007427F2" w:rsidRDefault="007427F2" w:rsidP="005B047E">
      <w:pPr>
        <w:rPr>
          <w:rFonts w:eastAsia="MS Mincho"/>
          <w:lang w:val="es-ES" w:eastAsia="ja-JP"/>
        </w:rPr>
      </w:pPr>
      <w:r w:rsidRPr="007427F2">
        <w:rPr>
          <w:lang w:val="es-ES"/>
        </w:rPr>
        <w:t>En esta Recomendación se describen casos de alto nivel y capacidades de apoyo para compartir e intercambi</w:t>
      </w:r>
      <w:r>
        <w:rPr>
          <w:lang w:val="es-ES"/>
        </w:rPr>
        <w:t xml:space="preserve">ar información sobre </w:t>
      </w:r>
      <w:proofErr w:type="spellStart"/>
      <w:r>
        <w:rPr>
          <w:lang w:val="es-ES"/>
        </w:rPr>
        <w:t>ciberseguridad</w:t>
      </w:r>
      <w:proofErr w:type="spellEnd"/>
      <w:r w:rsidR="00144AA0" w:rsidRPr="007427F2">
        <w:rPr>
          <w:lang w:val="es-ES"/>
        </w:rPr>
        <w:t xml:space="preserve">. </w:t>
      </w:r>
      <w:r w:rsidR="005B047E">
        <w:rPr>
          <w:lang w:val="es-ES"/>
        </w:rPr>
        <w:t>S</w:t>
      </w:r>
      <w:r w:rsidRPr="007427F2">
        <w:rPr>
          <w:lang w:val="es-ES"/>
        </w:rPr>
        <w:t xml:space="preserve">e proporcionan capacidades importantes para </w:t>
      </w:r>
      <w:r w:rsidR="005B047E">
        <w:rPr>
          <w:lang w:val="es-ES"/>
        </w:rPr>
        <w:t xml:space="preserve">permitir </w:t>
      </w:r>
      <w:r w:rsidRPr="007427F2">
        <w:rPr>
          <w:lang w:val="es-ES"/>
        </w:rPr>
        <w:t>la compatibilidad entre aplicaciones con el fin de compartir e intercambiar informaci</w:t>
      </w:r>
      <w:r>
        <w:rPr>
          <w:lang w:val="es-ES"/>
        </w:rPr>
        <w:t xml:space="preserve">ón sobre </w:t>
      </w:r>
      <w:proofErr w:type="spellStart"/>
      <w:r>
        <w:rPr>
          <w:lang w:val="es-ES"/>
        </w:rPr>
        <w:t>ciberseguridad</w:t>
      </w:r>
      <w:proofErr w:type="spellEnd"/>
      <w:r w:rsidR="00144AA0" w:rsidRPr="007427F2">
        <w:rPr>
          <w:lang w:val="es-ES"/>
        </w:rPr>
        <w:t>.</w:t>
      </w:r>
      <w:r w:rsidR="00346B22">
        <w:rPr>
          <w:lang w:val="es-ES"/>
        </w:rPr>
        <w:t xml:space="preserve"> </w:t>
      </w:r>
    </w:p>
    <w:p w:rsidR="00144AA0" w:rsidRPr="004D1734" w:rsidRDefault="004D1734" w:rsidP="00EA471A">
      <w:pPr>
        <w:rPr>
          <w:rFonts w:eastAsia="MS Mincho"/>
          <w:lang w:val="es-ES" w:eastAsia="ja-JP"/>
        </w:rPr>
      </w:pPr>
      <w:r w:rsidRPr="004D1734">
        <w:rPr>
          <w:rFonts w:eastAsia="MS Mincho"/>
          <w:lang w:val="es-ES" w:eastAsia="ja-JP"/>
        </w:rPr>
        <w:t xml:space="preserve">Se describen capacidades que pueden utilizarse en casos/situaciones </w:t>
      </w:r>
      <w:r w:rsidR="005B047E">
        <w:rPr>
          <w:rFonts w:eastAsia="MS Mincho"/>
          <w:lang w:val="es-ES" w:eastAsia="ja-JP"/>
        </w:rPr>
        <w:t xml:space="preserve">que permitan a </w:t>
      </w:r>
      <w:r w:rsidRPr="004D1734">
        <w:rPr>
          <w:rFonts w:eastAsia="MS Mincho"/>
          <w:lang w:val="es-ES" w:eastAsia="ja-JP"/>
        </w:rPr>
        <w:t>entidades antes independientes participar en diversas actividades coordinadas, tales como la prevención o interrupci</w:t>
      </w:r>
      <w:r>
        <w:rPr>
          <w:rFonts w:eastAsia="MS Mincho"/>
          <w:lang w:val="es-ES" w:eastAsia="ja-JP"/>
        </w:rPr>
        <w:t>ón de ciertos comportamiento</w:t>
      </w:r>
      <w:r w:rsidR="00BE17CD">
        <w:rPr>
          <w:rFonts w:eastAsia="MS Mincho"/>
          <w:lang w:val="es-ES" w:eastAsia="ja-JP"/>
        </w:rPr>
        <w:t>s</w:t>
      </w:r>
      <w:r>
        <w:rPr>
          <w:rFonts w:eastAsia="MS Mincho"/>
          <w:lang w:val="es-ES" w:eastAsia="ja-JP"/>
        </w:rPr>
        <w:t xml:space="preserve"> o la coordinación del análisis y determinación de actividades</w:t>
      </w:r>
      <w:r w:rsidR="00144AA0" w:rsidRPr="004D1734">
        <w:rPr>
          <w:rFonts w:eastAsia="MS Mincho"/>
          <w:lang w:val="es-ES" w:eastAsia="ja-JP"/>
        </w:rPr>
        <w:t>.</w:t>
      </w:r>
    </w:p>
    <w:p w:rsidR="00144AA0" w:rsidRPr="00BE17CD" w:rsidRDefault="004D1734" w:rsidP="00BE17CD">
      <w:pPr>
        <w:rPr>
          <w:rFonts w:eastAsia="MS Mincho"/>
          <w:lang w:val="es-ES" w:eastAsia="ja-JP"/>
        </w:rPr>
      </w:pPr>
      <w:r w:rsidRPr="00BE17CD">
        <w:rPr>
          <w:rFonts w:eastAsia="MS Mincho"/>
          <w:lang w:val="es-ES" w:eastAsia="ja-JP"/>
        </w:rPr>
        <w:t xml:space="preserve">El objetivo de las capacidades enumeradas y descritas </w:t>
      </w:r>
      <w:r w:rsidR="00EA471A">
        <w:rPr>
          <w:rFonts w:eastAsia="MS Mincho"/>
          <w:lang w:val="es-ES" w:eastAsia="ja-JP"/>
        </w:rPr>
        <w:t xml:space="preserve">es </w:t>
      </w:r>
      <w:r w:rsidRPr="00BE17CD">
        <w:rPr>
          <w:rFonts w:eastAsia="MS Mincho"/>
          <w:lang w:val="es-ES" w:eastAsia="ja-JP"/>
        </w:rPr>
        <w:t>favorecer operaciones</w:t>
      </w:r>
      <w:r w:rsidR="00BE17CD">
        <w:rPr>
          <w:rFonts w:eastAsia="MS Mincho"/>
          <w:lang w:val="es-ES" w:eastAsia="ja-JP"/>
        </w:rPr>
        <w:t xml:space="preserve"> </w:t>
      </w:r>
      <w:r w:rsidRPr="00BE17CD">
        <w:rPr>
          <w:rFonts w:eastAsia="MS Mincho"/>
          <w:lang w:val="es-ES" w:eastAsia="ja-JP"/>
        </w:rPr>
        <w:t xml:space="preserve">de seguridad más eficientes y eficaces </w:t>
      </w:r>
      <w:r w:rsidR="00BE17CD" w:rsidRPr="00BE17CD">
        <w:rPr>
          <w:rFonts w:eastAsia="MS Mincho"/>
          <w:lang w:val="es-ES" w:eastAsia="ja-JP"/>
        </w:rPr>
        <w:t>gracias al intercambio y compartición de informaci</w:t>
      </w:r>
      <w:r w:rsidR="00BE17CD">
        <w:rPr>
          <w:rFonts w:eastAsia="MS Mincho"/>
          <w:lang w:val="es-ES" w:eastAsia="ja-JP"/>
        </w:rPr>
        <w:t>ón entre las partes de confianza que colaboran para supervisar, mantener y gestionar en general la seguridad de sistemas y redes</w:t>
      </w:r>
      <w:r w:rsidR="00144AA0" w:rsidRPr="00BE17CD">
        <w:rPr>
          <w:rFonts w:eastAsia="MS Mincho"/>
          <w:lang w:val="es-ES" w:eastAsia="ja-JP"/>
        </w:rPr>
        <w:t>.</w:t>
      </w:r>
    </w:p>
    <w:p w:rsidR="00144AA0" w:rsidRPr="00BE17CD" w:rsidRDefault="00144AA0" w:rsidP="00BE17CD">
      <w:pPr>
        <w:keepNext/>
        <w:spacing w:before="240"/>
        <w:rPr>
          <w:b/>
          <w:bCs/>
          <w:szCs w:val="24"/>
          <w:lang w:val="es-ES"/>
        </w:rPr>
      </w:pPr>
      <w:r w:rsidRPr="00BE17CD">
        <w:rPr>
          <w:b/>
          <w:bCs/>
          <w:lang w:val="es-ES"/>
        </w:rPr>
        <w:t xml:space="preserve">Proyecto de nueva Recomendación UIT-T </w:t>
      </w:r>
      <w:r w:rsidRPr="00BE17CD">
        <w:rPr>
          <w:b/>
          <w:bCs/>
          <w:szCs w:val="24"/>
          <w:lang w:val="es-ES"/>
        </w:rPr>
        <w:t xml:space="preserve">X.1243 (X.tcs-1), </w:t>
      </w:r>
      <w:r w:rsidR="00BE17CD" w:rsidRPr="00BE17CD">
        <w:rPr>
          <w:b/>
          <w:bCs/>
          <w:szCs w:val="24"/>
          <w:lang w:val="es-ES"/>
        </w:rPr>
        <w:t xml:space="preserve">Sistema de pasarela interactiva para luchar contra el correo basura </w:t>
      </w:r>
      <w:r w:rsidRPr="00BE17CD">
        <w:rPr>
          <w:b/>
          <w:bCs/>
          <w:szCs w:val="24"/>
          <w:lang w:val="es-ES"/>
        </w:rPr>
        <w:br/>
        <w:t>COM 17 – R 17</w:t>
      </w:r>
    </w:p>
    <w:p w:rsidR="007427F2" w:rsidRPr="006C73A3" w:rsidRDefault="007427F2" w:rsidP="007427F2">
      <w:pPr>
        <w:rPr>
          <w:b/>
        </w:rPr>
      </w:pPr>
      <w:r w:rsidRPr="006C73A3">
        <w:rPr>
          <w:b/>
        </w:rPr>
        <w:t>Resumen</w:t>
      </w:r>
    </w:p>
    <w:p w:rsidR="00144AA0" w:rsidRPr="00BE17CD" w:rsidRDefault="00BE17CD" w:rsidP="00BE17CD">
      <w:pPr>
        <w:rPr>
          <w:lang w:val="es-ES" w:eastAsia="zh-CN"/>
        </w:rPr>
      </w:pPr>
      <w:r w:rsidRPr="00BE17CD">
        <w:rPr>
          <w:lang w:val="es-ES"/>
        </w:rPr>
        <w:t>En esta Recomendación se especifica un sistema de pasarela interactiva para luchar contra el correo basura (</w:t>
      </w:r>
      <w:proofErr w:type="spellStart"/>
      <w:r w:rsidRPr="00BE17CD">
        <w:rPr>
          <w:lang w:val="es-ES"/>
        </w:rPr>
        <w:t>spam</w:t>
      </w:r>
      <w:proofErr w:type="spellEnd"/>
      <w:r w:rsidRPr="00BE17CD">
        <w:rPr>
          <w:lang w:val="es-ES"/>
        </w:rPr>
        <w:t>) como mecanismo técnico para contrarrestar el correo basura entre dominios</w:t>
      </w:r>
      <w:r w:rsidR="00144AA0" w:rsidRPr="00BE17CD">
        <w:rPr>
          <w:rFonts w:hint="eastAsia"/>
          <w:lang w:val="es-ES" w:eastAsia="zh-CN"/>
        </w:rPr>
        <w:t xml:space="preserve">. </w:t>
      </w:r>
      <w:r w:rsidRPr="00BE17CD">
        <w:rPr>
          <w:lang w:val="es-ES" w:eastAsia="zh-CN"/>
        </w:rPr>
        <w:t>El sistema de pasarela permite la notificación de correo basura entre dominios distintos</w:t>
      </w:r>
      <w:r>
        <w:rPr>
          <w:lang w:val="es-ES" w:eastAsia="zh-CN"/>
        </w:rPr>
        <w:t xml:space="preserve"> e</w:t>
      </w:r>
      <w:r w:rsidRPr="00BE17CD">
        <w:rPr>
          <w:lang w:val="es-ES" w:eastAsia="zh-CN"/>
        </w:rPr>
        <w:t xml:space="preserve"> impide que el tráfico pase de un dominio a los dem</w:t>
      </w:r>
      <w:r>
        <w:rPr>
          <w:lang w:val="es-ES" w:eastAsia="zh-CN"/>
        </w:rPr>
        <w:t>ás</w:t>
      </w:r>
      <w:r w:rsidR="00144AA0" w:rsidRPr="00BE17CD">
        <w:rPr>
          <w:rFonts w:hint="eastAsia"/>
          <w:lang w:val="es-ES" w:eastAsia="zh-CN"/>
        </w:rPr>
        <w:t>.</w:t>
      </w:r>
    </w:p>
    <w:p w:rsidR="00144AA0" w:rsidRPr="00BE17CD" w:rsidRDefault="00BE17CD" w:rsidP="00DD74D8">
      <w:pPr>
        <w:rPr>
          <w:szCs w:val="24"/>
          <w:lang w:val="es-ES" w:eastAsia="zh-CN"/>
        </w:rPr>
      </w:pPr>
      <w:r w:rsidRPr="00BE17CD">
        <w:rPr>
          <w:lang w:val="es-ES" w:eastAsia="zh-CN"/>
        </w:rPr>
        <w:t>Además</w:t>
      </w:r>
      <w:r w:rsidR="00144AA0" w:rsidRPr="00BE17CD">
        <w:rPr>
          <w:rFonts w:hint="eastAsia"/>
          <w:lang w:val="es-ES" w:eastAsia="zh-CN"/>
        </w:rPr>
        <w:t>,</w:t>
      </w:r>
      <w:r w:rsidR="00144AA0" w:rsidRPr="00BE17CD">
        <w:rPr>
          <w:rFonts w:hint="eastAsia"/>
          <w:szCs w:val="24"/>
          <w:lang w:val="es-ES" w:eastAsia="zh-CN"/>
        </w:rPr>
        <w:t xml:space="preserve"> </w:t>
      </w:r>
      <w:r w:rsidRPr="00DD74D8">
        <w:rPr>
          <w:lang w:val="es-ES"/>
        </w:rPr>
        <w:t>en</w:t>
      </w:r>
      <w:r w:rsidRPr="00BE17CD">
        <w:rPr>
          <w:szCs w:val="24"/>
          <w:lang w:val="es-ES" w:eastAsia="zh-CN"/>
        </w:rPr>
        <w:t xml:space="preserve"> esta Recomendación se especifica la arquitectura para el sistema de pasarela</w:t>
      </w:r>
      <w:r w:rsidR="00144AA0" w:rsidRPr="00BE17CD">
        <w:rPr>
          <w:rFonts w:hint="eastAsia"/>
          <w:szCs w:val="24"/>
          <w:lang w:val="es-ES" w:eastAsia="zh-CN"/>
        </w:rPr>
        <w:t>,</w:t>
      </w:r>
      <w:r w:rsidR="00144AA0" w:rsidRPr="00BE17CD">
        <w:rPr>
          <w:rFonts w:eastAsia="SimSun" w:hint="eastAsia"/>
          <w:szCs w:val="24"/>
          <w:lang w:val="es-ES" w:eastAsia="zh-CN"/>
        </w:rPr>
        <w:t xml:space="preserve"> </w:t>
      </w:r>
      <w:r w:rsidRPr="00BE17CD">
        <w:rPr>
          <w:szCs w:val="24"/>
          <w:lang w:val="es-ES" w:eastAsia="zh-CN"/>
        </w:rPr>
        <w:t>describe las entidades</w:t>
      </w:r>
      <w:r w:rsidR="00144AA0" w:rsidRPr="00BE17CD">
        <w:rPr>
          <w:rFonts w:hint="eastAsia"/>
          <w:szCs w:val="24"/>
          <w:lang w:val="es-ES" w:eastAsia="zh-CN"/>
        </w:rPr>
        <w:t xml:space="preserve">, </w:t>
      </w:r>
      <w:r w:rsidRPr="00BE17CD">
        <w:rPr>
          <w:szCs w:val="24"/>
          <w:lang w:val="es-ES" w:eastAsia="zh-CN"/>
        </w:rPr>
        <w:t xml:space="preserve">los protocolos y las funciones </w:t>
      </w:r>
      <w:r>
        <w:rPr>
          <w:szCs w:val="24"/>
          <w:lang w:val="es-ES" w:eastAsia="zh-CN"/>
        </w:rPr>
        <w:t>básicos del sistema de pasarela</w:t>
      </w:r>
      <w:r w:rsidR="00144AA0" w:rsidRPr="00BE17CD">
        <w:rPr>
          <w:rFonts w:hint="eastAsia"/>
          <w:szCs w:val="24"/>
          <w:lang w:val="es-ES" w:eastAsia="zh-CN"/>
        </w:rPr>
        <w:t xml:space="preserve">, </w:t>
      </w:r>
      <w:r>
        <w:rPr>
          <w:szCs w:val="24"/>
          <w:lang w:val="es-ES" w:eastAsia="zh-CN"/>
        </w:rPr>
        <w:t>y proporciona mecanismos para la detección de correo basura</w:t>
      </w:r>
      <w:r w:rsidR="00144AA0" w:rsidRPr="00BE17CD">
        <w:rPr>
          <w:rFonts w:hint="eastAsia"/>
          <w:szCs w:val="24"/>
          <w:lang w:val="es-ES" w:eastAsia="zh-CN"/>
        </w:rPr>
        <w:t xml:space="preserve">, </w:t>
      </w:r>
      <w:r>
        <w:rPr>
          <w:szCs w:val="24"/>
          <w:lang w:val="es-ES" w:eastAsia="zh-CN"/>
        </w:rPr>
        <w:t>el intercambio de información y medidas específicas que pueden adoptarse en los sistemas para luchar contra el correo basura.</w:t>
      </w:r>
    </w:p>
    <w:p w:rsidR="00144AA0" w:rsidRPr="00BE17CD" w:rsidRDefault="00144AA0" w:rsidP="00BE17CD">
      <w:pPr>
        <w:spacing w:before="240"/>
        <w:rPr>
          <w:b/>
          <w:bCs/>
          <w:szCs w:val="24"/>
          <w:lang w:val="es-ES"/>
        </w:rPr>
      </w:pPr>
      <w:r w:rsidRPr="00BE17CD">
        <w:rPr>
          <w:b/>
          <w:bCs/>
          <w:lang w:val="es-ES"/>
        </w:rPr>
        <w:t>Proyecto de nueva Recomendación UIT-T X.1245 (</w:t>
      </w:r>
      <w:proofErr w:type="spellStart"/>
      <w:r w:rsidRPr="00BE17CD">
        <w:rPr>
          <w:b/>
          <w:bCs/>
          <w:lang w:val="es-ES"/>
        </w:rPr>
        <w:t>X.fcsip</w:t>
      </w:r>
      <w:proofErr w:type="spellEnd"/>
      <w:r w:rsidRPr="00BE17CD">
        <w:rPr>
          <w:b/>
          <w:bCs/>
          <w:lang w:val="es-ES"/>
        </w:rPr>
        <w:t xml:space="preserve">), </w:t>
      </w:r>
      <w:r w:rsidR="00BE17CD" w:rsidRPr="00BE17CD">
        <w:rPr>
          <w:b/>
          <w:bCs/>
          <w:lang w:val="es-ES"/>
        </w:rPr>
        <w:t>Marco para luchar contra el correo basura en aplicaciones mult</w:t>
      </w:r>
      <w:r w:rsidR="00BE17CD">
        <w:rPr>
          <w:b/>
          <w:bCs/>
          <w:lang w:val="es-ES"/>
        </w:rPr>
        <w:t>imedios IP</w:t>
      </w:r>
      <w:r w:rsidR="00BE17CD" w:rsidRPr="00BE17CD">
        <w:rPr>
          <w:b/>
          <w:bCs/>
          <w:lang w:val="es-ES"/>
        </w:rPr>
        <w:t xml:space="preserve"> </w:t>
      </w:r>
      <w:r w:rsidRPr="00BE17CD">
        <w:rPr>
          <w:b/>
          <w:bCs/>
          <w:lang w:val="es-ES"/>
        </w:rPr>
        <w:br/>
      </w:r>
      <w:r w:rsidRPr="00BE17CD">
        <w:rPr>
          <w:b/>
          <w:bCs/>
          <w:szCs w:val="24"/>
          <w:lang w:val="es-ES"/>
        </w:rPr>
        <w:t>COM 17 – R 18</w:t>
      </w:r>
    </w:p>
    <w:p w:rsidR="007427F2" w:rsidRPr="006C73A3" w:rsidRDefault="007427F2" w:rsidP="007427F2">
      <w:pPr>
        <w:rPr>
          <w:b/>
        </w:rPr>
      </w:pPr>
      <w:r w:rsidRPr="006C73A3">
        <w:rPr>
          <w:b/>
        </w:rPr>
        <w:t>Resumen</w:t>
      </w:r>
    </w:p>
    <w:p w:rsidR="00144AA0" w:rsidRPr="000F4421" w:rsidRDefault="000F4421" w:rsidP="00996A25">
      <w:pPr>
        <w:rPr>
          <w:lang w:val="es-ES" w:eastAsia="zh-CN"/>
        </w:rPr>
      </w:pPr>
      <w:r w:rsidRPr="000F4421">
        <w:rPr>
          <w:lang w:val="es-ES"/>
        </w:rPr>
        <w:t xml:space="preserve">En esta Recomendación se proporciona el marco </w:t>
      </w:r>
      <w:r w:rsidR="00144AA0" w:rsidRPr="000F4421">
        <w:rPr>
          <w:rFonts w:hint="eastAsia"/>
          <w:lang w:val="es-ES"/>
        </w:rPr>
        <w:t xml:space="preserve">general </w:t>
      </w:r>
      <w:r w:rsidRPr="000F4421">
        <w:rPr>
          <w:lang w:val="es-ES" w:eastAsia="ko-KR"/>
        </w:rPr>
        <w:t xml:space="preserve">para luchar contra el correo basura en aplicaciones multimedios </w:t>
      </w:r>
      <w:r w:rsidR="00144AA0" w:rsidRPr="000F4421">
        <w:rPr>
          <w:lang w:val="es-ES"/>
        </w:rPr>
        <w:t>IP</w:t>
      </w:r>
      <w:r>
        <w:rPr>
          <w:lang w:val="es-ES" w:eastAsia="ko-KR"/>
        </w:rPr>
        <w:t xml:space="preserve">, tales como la telefonía </w:t>
      </w:r>
      <w:r w:rsidR="00144AA0" w:rsidRPr="000F4421">
        <w:rPr>
          <w:lang w:val="es-ES"/>
        </w:rPr>
        <w:t xml:space="preserve">IP, </w:t>
      </w:r>
      <w:r>
        <w:rPr>
          <w:lang w:val="es-ES"/>
        </w:rPr>
        <w:t>la mensajería instantánea</w:t>
      </w:r>
      <w:r w:rsidR="00144AA0" w:rsidRPr="000F4421">
        <w:rPr>
          <w:lang w:val="es-ES"/>
        </w:rPr>
        <w:t xml:space="preserve">, </w:t>
      </w:r>
      <w:r>
        <w:rPr>
          <w:lang w:val="es-ES"/>
        </w:rPr>
        <w:t>la conferencia multimedios</w:t>
      </w:r>
      <w:r w:rsidR="00144AA0" w:rsidRPr="000F4421">
        <w:rPr>
          <w:lang w:val="es-ES"/>
        </w:rPr>
        <w:t xml:space="preserve">, etc. </w:t>
      </w:r>
      <w:r w:rsidRPr="000F4421">
        <w:rPr>
          <w:lang w:val="es-ES" w:eastAsia="ko-KR"/>
        </w:rPr>
        <w:t>El marco consiste en cuatro funciones anti correo basura</w:t>
      </w:r>
      <w:r w:rsidR="00144AA0" w:rsidRPr="000F4421">
        <w:rPr>
          <w:rFonts w:hint="eastAsia"/>
          <w:lang w:val="es-ES" w:eastAsia="ko-KR"/>
        </w:rPr>
        <w:t xml:space="preserve">, </w:t>
      </w:r>
      <w:r w:rsidRPr="000F4421">
        <w:rPr>
          <w:lang w:val="es-ES" w:eastAsia="ko-KR"/>
        </w:rPr>
        <w:t>es decir</w:t>
      </w:r>
      <w:r w:rsidR="00144AA0" w:rsidRPr="000F4421">
        <w:rPr>
          <w:rFonts w:hint="eastAsia"/>
          <w:lang w:val="es-ES" w:eastAsia="ko-KR"/>
        </w:rPr>
        <w:t xml:space="preserve">, </w:t>
      </w:r>
      <w:r>
        <w:rPr>
          <w:lang w:val="es-ES" w:eastAsia="ko-KR"/>
        </w:rPr>
        <w:t xml:space="preserve">funciones principales contra el correo basura </w:t>
      </w:r>
      <w:r w:rsidR="00144AA0" w:rsidRPr="000F4421">
        <w:rPr>
          <w:lang w:val="es-ES" w:eastAsia="ko-KR"/>
        </w:rPr>
        <w:t>(</w:t>
      </w:r>
      <w:r w:rsidR="00144AA0" w:rsidRPr="000F4421">
        <w:rPr>
          <w:rFonts w:hint="eastAsia"/>
          <w:lang w:val="es-ES" w:eastAsia="ko-KR"/>
        </w:rPr>
        <w:t>CASF</w:t>
      </w:r>
      <w:r w:rsidR="00144AA0" w:rsidRPr="000F4421">
        <w:rPr>
          <w:lang w:val="es-ES" w:eastAsia="ko-KR"/>
        </w:rPr>
        <w:t>)</w:t>
      </w:r>
      <w:r w:rsidR="00144AA0" w:rsidRPr="000F4421">
        <w:rPr>
          <w:rFonts w:hint="eastAsia"/>
          <w:lang w:val="es-ES" w:eastAsia="ko-KR"/>
        </w:rPr>
        <w:t xml:space="preserve">, </w:t>
      </w:r>
      <w:r>
        <w:rPr>
          <w:lang w:val="es-ES" w:eastAsia="ko-KR"/>
        </w:rPr>
        <w:t xml:space="preserve">funciones contra correo basura en el destinatario </w:t>
      </w:r>
      <w:r w:rsidR="00144AA0" w:rsidRPr="000F4421">
        <w:rPr>
          <w:lang w:val="es-ES" w:eastAsia="ko-KR"/>
        </w:rPr>
        <w:t>(</w:t>
      </w:r>
      <w:r w:rsidR="00144AA0" w:rsidRPr="000F4421">
        <w:rPr>
          <w:rFonts w:hint="eastAsia"/>
          <w:lang w:val="es-ES" w:eastAsia="ko-KR"/>
        </w:rPr>
        <w:t>RASF</w:t>
      </w:r>
      <w:r w:rsidR="00144AA0" w:rsidRPr="000F4421">
        <w:rPr>
          <w:lang w:val="es-ES" w:eastAsia="ko-KR"/>
        </w:rPr>
        <w:t>)</w:t>
      </w:r>
      <w:r w:rsidR="00144AA0" w:rsidRPr="000F4421">
        <w:rPr>
          <w:rFonts w:hint="eastAsia"/>
          <w:lang w:val="es-ES" w:eastAsia="ko-KR"/>
        </w:rPr>
        <w:t xml:space="preserve">, </w:t>
      </w:r>
      <w:r>
        <w:rPr>
          <w:lang w:val="es-ES" w:eastAsia="ko-KR"/>
        </w:rPr>
        <w:t xml:space="preserve">funciones contra correo basura en el remitente </w:t>
      </w:r>
      <w:r w:rsidR="00144AA0" w:rsidRPr="000F4421">
        <w:rPr>
          <w:lang w:val="es-ES" w:eastAsia="ko-KR"/>
        </w:rPr>
        <w:t>(</w:t>
      </w:r>
      <w:r w:rsidR="00144AA0" w:rsidRPr="000F4421">
        <w:rPr>
          <w:rFonts w:hint="eastAsia"/>
          <w:lang w:val="es-ES" w:eastAsia="ko-KR"/>
        </w:rPr>
        <w:t>SASF</w:t>
      </w:r>
      <w:r w:rsidR="00144AA0" w:rsidRPr="000F4421">
        <w:rPr>
          <w:lang w:val="es-ES" w:eastAsia="ko-KR"/>
        </w:rPr>
        <w:t>)</w:t>
      </w:r>
      <w:r w:rsidR="00144AA0" w:rsidRPr="000F4421">
        <w:rPr>
          <w:rFonts w:hint="eastAsia"/>
          <w:lang w:val="es-ES" w:eastAsia="ko-KR"/>
        </w:rPr>
        <w:t xml:space="preserve">, </w:t>
      </w:r>
      <w:r>
        <w:rPr>
          <w:lang w:val="es-ES" w:eastAsia="ko-KR"/>
        </w:rPr>
        <w:t xml:space="preserve">y funciones de </w:t>
      </w:r>
      <w:r w:rsidR="00C91876">
        <w:rPr>
          <w:lang w:val="es-ES" w:eastAsia="ko-KR"/>
        </w:rPr>
        <w:t xml:space="preserve">destinatario </w:t>
      </w:r>
      <w:proofErr w:type="spellStart"/>
      <w:r w:rsidR="00996A25">
        <w:rPr>
          <w:lang w:val="es-ES" w:eastAsia="ko-KR"/>
        </w:rPr>
        <w:t>destinatario</w:t>
      </w:r>
      <w:proofErr w:type="spellEnd"/>
      <w:r w:rsidR="00996A25">
        <w:rPr>
          <w:lang w:val="es-ES" w:eastAsia="ko-KR"/>
        </w:rPr>
        <w:t xml:space="preserve"> </w:t>
      </w:r>
      <w:r w:rsidR="00C91876">
        <w:rPr>
          <w:lang w:val="es-ES" w:eastAsia="ko-KR"/>
        </w:rPr>
        <w:t xml:space="preserve">de </w:t>
      </w:r>
      <w:r>
        <w:rPr>
          <w:lang w:val="es-ES" w:eastAsia="ko-KR"/>
        </w:rPr>
        <w:t xml:space="preserve">correo basura </w:t>
      </w:r>
      <w:r w:rsidR="00144AA0" w:rsidRPr="000F4421">
        <w:rPr>
          <w:rFonts w:hint="eastAsia"/>
          <w:lang w:val="es-ES" w:eastAsia="ko-KR"/>
        </w:rPr>
        <w:t xml:space="preserve">(SRF). </w:t>
      </w:r>
      <w:r w:rsidRPr="000F4421">
        <w:rPr>
          <w:lang w:val="es-ES" w:eastAsia="ko-KR"/>
        </w:rPr>
        <w:t>En esta Recomendación se describen las funcionalidades y las interfaces de cada funci</w:t>
      </w:r>
      <w:r>
        <w:rPr>
          <w:lang w:val="es-ES" w:eastAsia="ko-KR"/>
        </w:rPr>
        <w:t xml:space="preserve">ón para luchar contra el correo basura de multimedios </w:t>
      </w:r>
      <w:r w:rsidR="00144AA0" w:rsidRPr="000F4421">
        <w:rPr>
          <w:rFonts w:hint="eastAsia"/>
          <w:lang w:val="es-ES" w:eastAsia="ko-KR"/>
        </w:rPr>
        <w:t>IP.</w:t>
      </w:r>
    </w:p>
    <w:p w:rsidR="00144AA0" w:rsidRPr="000F4421" w:rsidRDefault="00144AA0" w:rsidP="000F4421">
      <w:pPr>
        <w:spacing w:before="240"/>
        <w:rPr>
          <w:b/>
          <w:bCs/>
          <w:sz w:val="28"/>
          <w:szCs w:val="28"/>
          <w:lang w:val="es-ES"/>
        </w:rPr>
      </w:pPr>
      <w:r w:rsidRPr="000F4421">
        <w:rPr>
          <w:b/>
          <w:bCs/>
          <w:lang w:val="es-ES"/>
        </w:rPr>
        <w:t>Proyecto de nueva Recomendación UIT-T X.1275 (</w:t>
      </w:r>
      <w:proofErr w:type="spellStart"/>
      <w:r w:rsidRPr="000F4421">
        <w:rPr>
          <w:b/>
          <w:bCs/>
          <w:lang w:val="es-ES"/>
        </w:rPr>
        <w:t>X.rfpg</w:t>
      </w:r>
      <w:proofErr w:type="spellEnd"/>
      <w:r w:rsidRPr="000F4421">
        <w:rPr>
          <w:b/>
          <w:bCs/>
          <w:lang w:val="es-ES"/>
        </w:rPr>
        <w:t xml:space="preserve">), </w:t>
      </w:r>
      <w:r w:rsidR="000F4421" w:rsidRPr="000F4421">
        <w:rPr>
          <w:b/>
          <w:bCs/>
          <w:lang w:val="es-ES"/>
        </w:rPr>
        <w:t xml:space="preserve">Directrices sobre la protección de </w:t>
      </w:r>
      <w:r w:rsidR="000F4421">
        <w:rPr>
          <w:b/>
          <w:bCs/>
          <w:lang w:val="es-ES"/>
        </w:rPr>
        <w:t xml:space="preserve">información </w:t>
      </w:r>
      <w:r w:rsidR="001D0528">
        <w:rPr>
          <w:b/>
          <w:bCs/>
          <w:lang w:val="es-ES"/>
        </w:rPr>
        <w:t xml:space="preserve">de identificación </w:t>
      </w:r>
      <w:r w:rsidR="000F4421">
        <w:rPr>
          <w:b/>
          <w:bCs/>
          <w:lang w:val="es-ES"/>
        </w:rPr>
        <w:t>personal en la aplicación de la tecnología de identificación por radiofrecuencia (RFID)</w:t>
      </w:r>
      <w:r w:rsidR="000F4421" w:rsidRPr="000F4421">
        <w:rPr>
          <w:b/>
          <w:bCs/>
          <w:lang w:val="es-ES"/>
        </w:rPr>
        <w:t xml:space="preserve"> </w:t>
      </w:r>
      <w:r w:rsidRPr="000F4421">
        <w:rPr>
          <w:b/>
          <w:bCs/>
          <w:lang w:val="es-ES"/>
        </w:rPr>
        <w:br/>
      </w:r>
      <w:r w:rsidRPr="000F4421">
        <w:rPr>
          <w:b/>
          <w:bCs/>
          <w:szCs w:val="24"/>
          <w:lang w:val="es-ES"/>
        </w:rPr>
        <w:t>COM 17 – R 21</w:t>
      </w:r>
    </w:p>
    <w:p w:rsidR="007427F2" w:rsidRPr="006C73A3" w:rsidRDefault="007427F2" w:rsidP="007427F2">
      <w:pPr>
        <w:rPr>
          <w:b/>
        </w:rPr>
      </w:pPr>
      <w:r w:rsidRPr="006C73A3">
        <w:rPr>
          <w:b/>
        </w:rPr>
        <w:t>Resumen</w:t>
      </w:r>
    </w:p>
    <w:p w:rsidR="001D0528" w:rsidRPr="009D68BF" w:rsidRDefault="001D0528" w:rsidP="001D0528">
      <w:pPr>
        <w:rPr>
          <w:bCs/>
          <w:lang w:eastAsia="ko-KR"/>
        </w:rPr>
      </w:pPr>
      <w:r>
        <w:t xml:space="preserve">En esta </w:t>
      </w:r>
      <w:r w:rsidRPr="00DD74D8">
        <w:rPr>
          <w:lang w:val="es-ES"/>
        </w:rPr>
        <w:t>Recomendación</w:t>
      </w:r>
      <w:r>
        <w:t xml:space="preserve"> se reconoce que la tecnología </w:t>
      </w:r>
      <w:r w:rsidRPr="00B06AFD">
        <w:rPr>
          <w:rFonts w:eastAsia="MS Mincho"/>
          <w:lang w:val="es-ES" w:eastAsia="ja-JP"/>
        </w:rPr>
        <w:t>de identificación por radiofrecuencia (</w:t>
      </w:r>
      <w:r w:rsidRPr="00B06AFD">
        <w:rPr>
          <w:rFonts w:eastAsia="MS Mincho"/>
          <w:bCs/>
          <w:lang w:val="es-ES" w:eastAsia="ko-KR"/>
        </w:rPr>
        <w:t>RFID)</w:t>
      </w:r>
      <w:r w:rsidRPr="00B06AFD">
        <w:rPr>
          <w:rFonts w:hint="eastAsia"/>
          <w:bCs/>
          <w:lang w:val="es-ES" w:eastAsia="ko-KR"/>
        </w:rPr>
        <w:t xml:space="preserve"> </w:t>
      </w:r>
      <w:r>
        <w:t>hace que la información asociada específicamente al producto utilizado o transportado por las personas quede expuesta a abusos, aun cuando facilita en gran medida el acceso a dicha información y su distribución con fines</w:t>
      </w:r>
      <w:r w:rsidRPr="00AC482E">
        <w:t xml:space="preserve"> </w:t>
      </w:r>
      <w:r>
        <w:t xml:space="preserve">beneficiosos. El abuso puede manifestarse en forma de rastreo para la </w:t>
      </w:r>
      <w:r w:rsidRPr="001D0528">
        <w:rPr>
          <w:lang w:val="es-ES" w:eastAsia="ko-KR"/>
        </w:rPr>
        <w:t>localización</w:t>
      </w:r>
      <w:r>
        <w:t xml:space="preserve"> de la persona o de alguna forma de intrusión malintencionada en su privacidad. Por este motivo, se proporcionan en esta Recomendación directrices relativas a los procedimientos de RFID utilizables para disfrutar de los beneficios de la RFID y, al mismo tiempo, tratar de proteger la información de identificación personal.</w:t>
      </w:r>
      <w:r w:rsidR="00346B22">
        <w:t xml:space="preserve"> </w:t>
      </w:r>
    </w:p>
    <w:p w:rsidR="00401C20" w:rsidRDefault="00401C20"/>
    <w:p w:rsidR="006C73A3" w:rsidRDefault="006C73A3" w:rsidP="004F6F7A">
      <w:pPr>
        <w:jc w:val="center"/>
      </w:pPr>
      <w:r>
        <w:t>______________</w:t>
      </w:r>
    </w:p>
    <w:sectPr w:rsidR="006C73A3" w:rsidSect="00684CB2">
      <w:headerReference w:type="default" r:id="rId9"/>
      <w:footerReference w:type="default" r:id="rId10"/>
      <w:footerReference w:type="first" r:id="rId11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417" w:rsidRDefault="00660417">
      <w:r>
        <w:separator/>
      </w:r>
    </w:p>
  </w:endnote>
  <w:endnote w:type="continuationSeparator" w:id="0">
    <w:p w:rsidR="00660417" w:rsidRDefault="00660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17" w:rsidRPr="004F6F7A" w:rsidRDefault="004F6F7A" w:rsidP="004F6F7A">
    <w:pPr>
      <w:pStyle w:val="Footer"/>
      <w:rPr>
        <w:sz w:val="16"/>
        <w:lang w:val="fr-CH"/>
      </w:rPr>
    </w:pPr>
    <w:r>
      <w:rPr>
        <w:sz w:val="16"/>
        <w:lang w:val="fr-CH"/>
      </w:rPr>
      <w:t>ITU-T\BUREAU\CIRC\105S.DOC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660417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60417" w:rsidRDefault="00660417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60417" w:rsidRDefault="00660417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60417" w:rsidRDefault="00660417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60417" w:rsidRDefault="00660417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660417">
      <w:tc>
        <w:tcPr>
          <w:tcW w:w="1985" w:type="dxa"/>
        </w:tcPr>
        <w:p w:rsidR="00660417" w:rsidRDefault="00660417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660417" w:rsidRDefault="00660417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660417" w:rsidRDefault="00660417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660417" w:rsidRDefault="00660417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660417">
      <w:tc>
        <w:tcPr>
          <w:tcW w:w="1985" w:type="dxa"/>
        </w:tcPr>
        <w:p w:rsidR="00660417" w:rsidRDefault="00660417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660417" w:rsidRDefault="00660417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660417" w:rsidRDefault="00660417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660417" w:rsidRDefault="00660417">
          <w:pPr>
            <w:pStyle w:val="FirstFooter"/>
            <w:rPr>
              <w:rFonts w:ascii="Futura Lt BT" w:hAnsi="Futura Lt BT"/>
            </w:rPr>
          </w:pPr>
        </w:p>
      </w:tc>
    </w:tr>
  </w:tbl>
  <w:p w:rsidR="00660417" w:rsidRDefault="00660417" w:rsidP="008505BD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417" w:rsidRDefault="00660417">
      <w:r>
        <w:t>____________________</w:t>
      </w:r>
    </w:p>
  </w:footnote>
  <w:footnote w:type="continuationSeparator" w:id="0">
    <w:p w:rsidR="00660417" w:rsidRDefault="00660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17" w:rsidRPr="006C73A3" w:rsidRDefault="00660417">
    <w:pPr>
      <w:pStyle w:val="Header"/>
      <w:rPr>
        <w:sz w:val="18"/>
        <w:szCs w:val="18"/>
      </w:rPr>
    </w:pPr>
    <w:r w:rsidRPr="006C73A3">
      <w:rPr>
        <w:sz w:val="18"/>
        <w:szCs w:val="18"/>
      </w:rPr>
      <w:t xml:space="preserve">- </w:t>
    </w:r>
    <w:r w:rsidR="005F04CF" w:rsidRPr="006C73A3">
      <w:rPr>
        <w:rStyle w:val="PageNumber"/>
        <w:sz w:val="18"/>
        <w:szCs w:val="18"/>
      </w:rPr>
      <w:fldChar w:fldCharType="begin"/>
    </w:r>
    <w:r w:rsidRPr="006C73A3">
      <w:rPr>
        <w:rStyle w:val="PageNumber"/>
        <w:sz w:val="18"/>
        <w:szCs w:val="18"/>
      </w:rPr>
      <w:instrText xml:space="preserve"> PAGE </w:instrText>
    </w:r>
    <w:r w:rsidR="005F04CF" w:rsidRPr="006C73A3">
      <w:rPr>
        <w:rStyle w:val="PageNumber"/>
        <w:sz w:val="18"/>
        <w:szCs w:val="18"/>
      </w:rPr>
      <w:fldChar w:fldCharType="separate"/>
    </w:r>
    <w:r w:rsidR="00F85446">
      <w:rPr>
        <w:rStyle w:val="PageNumber"/>
        <w:noProof/>
        <w:sz w:val="18"/>
        <w:szCs w:val="18"/>
      </w:rPr>
      <w:t>4</w:t>
    </w:r>
    <w:r w:rsidR="005F04CF" w:rsidRPr="006C73A3">
      <w:rPr>
        <w:rStyle w:val="PageNumber"/>
        <w:sz w:val="18"/>
        <w:szCs w:val="18"/>
      </w:rPr>
      <w:fldChar w:fldCharType="end"/>
    </w:r>
    <w:r w:rsidRPr="006C73A3">
      <w:rPr>
        <w:rStyle w:val="PageNumber"/>
        <w:sz w:val="18"/>
        <w:szCs w:val="18"/>
      </w:rP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963E1"/>
    <w:rsid w:val="00002529"/>
    <w:rsid w:val="000110A7"/>
    <w:rsid w:val="00060786"/>
    <w:rsid w:val="000C382F"/>
    <w:rsid w:val="000F4421"/>
    <w:rsid w:val="001048A1"/>
    <w:rsid w:val="00144AA0"/>
    <w:rsid w:val="001963E1"/>
    <w:rsid w:val="001A0CE6"/>
    <w:rsid w:val="001A54CC"/>
    <w:rsid w:val="001D0528"/>
    <w:rsid w:val="002353AB"/>
    <w:rsid w:val="00257FB4"/>
    <w:rsid w:val="00335367"/>
    <w:rsid w:val="00346B22"/>
    <w:rsid w:val="003D1E8D"/>
    <w:rsid w:val="003D673B"/>
    <w:rsid w:val="00401C20"/>
    <w:rsid w:val="00423E42"/>
    <w:rsid w:val="004C4144"/>
    <w:rsid w:val="004D1734"/>
    <w:rsid w:val="004F6F7A"/>
    <w:rsid w:val="00500630"/>
    <w:rsid w:val="005B047E"/>
    <w:rsid w:val="005F04CF"/>
    <w:rsid w:val="00660417"/>
    <w:rsid w:val="00684CB2"/>
    <w:rsid w:val="006B0A76"/>
    <w:rsid w:val="006C73A3"/>
    <w:rsid w:val="00703FE6"/>
    <w:rsid w:val="00722DEA"/>
    <w:rsid w:val="007427F2"/>
    <w:rsid w:val="00745CCE"/>
    <w:rsid w:val="008258C2"/>
    <w:rsid w:val="00835ECA"/>
    <w:rsid w:val="008505BD"/>
    <w:rsid w:val="00850C78"/>
    <w:rsid w:val="008C17AD"/>
    <w:rsid w:val="008D02CD"/>
    <w:rsid w:val="0095172A"/>
    <w:rsid w:val="00996A25"/>
    <w:rsid w:val="00A54E47"/>
    <w:rsid w:val="00AE7093"/>
    <w:rsid w:val="00B06AFD"/>
    <w:rsid w:val="00B422BC"/>
    <w:rsid w:val="00B43F77"/>
    <w:rsid w:val="00B95F0A"/>
    <w:rsid w:val="00B96180"/>
    <w:rsid w:val="00BE17CD"/>
    <w:rsid w:val="00BE6AE1"/>
    <w:rsid w:val="00C854D6"/>
    <w:rsid w:val="00C91876"/>
    <w:rsid w:val="00DD74D8"/>
    <w:rsid w:val="00DD77C9"/>
    <w:rsid w:val="00E92C09"/>
    <w:rsid w:val="00E96AB6"/>
    <w:rsid w:val="00EA471A"/>
    <w:rsid w:val="00F6461F"/>
    <w:rsid w:val="00F74519"/>
    <w:rsid w:val="00F8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C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684CB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84CB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84CB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84CB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684CB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684CB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684CB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684CB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684CB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684CB2"/>
    <w:rPr>
      <w:vertAlign w:val="superscript"/>
    </w:rPr>
  </w:style>
  <w:style w:type="paragraph" w:styleId="TOC8">
    <w:name w:val="toc 8"/>
    <w:basedOn w:val="TOC3"/>
    <w:semiHidden/>
    <w:rsid w:val="00684CB2"/>
  </w:style>
  <w:style w:type="paragraph" w:styleId="TOC7">
    <w:name w:val="toc 7"/>
    <w:basedOn w:val="TOC3"/>
    <w:semiHidden/>
    <w:rsid w:val="00684CB2"/>
  </w:style>
  <w:style w:type="paragraph" w:styleId="TOC6">
    <w:name w:val="toc 6"/>
    <w:basedOn w:val="TOC3"/>
    <w:semiHidden/>
    <w:rsid w:val="00684CB2"/>
  </w:style>
  <w:style w:type="paragraph" w:styleId="TOC5">
    <w:name w:val="toc 5"/>
    <w:basedOn w:val="TOC3"/>
    <w:semiHidden/>
    <w:rsid w:val="00684CB2"/>
  </w:style>
  <w:style w:type="paragraph" w:styleId="TOC4">
    <w:name w:val="toc 4"/>
    <w:basedOn w:val="TOC3"/>
    <w:semiHidden/>
    <w:rsid w:val="00684CB2"/>
  </w:style>
  <w:style w:type="paragraph" w:styleId="TOC3">
    <w:name w:val="toc 3"/>
    <w:basedOn w:val="TOC2"/>
    <w:semiHidden/>
    <w:rsid w:val="00684CB2"/>
    <w:pPr>
      <w:spacing w:before="80"/>
    </w:pPr>
  </w:style>
  <w:style w:type="paragraph" w:styleId="TOC2">
    <w:name w:val="toc 2"/>
    <w:basedOn w:val="TOC1"/>
    <w:semiHidden/>
    <w:rsid w:val="00684CB2"/>
    <w:pPr>
      <w:spacing w:before="120"/>
    </w:pPr>
  </w:style>
  <w:style w:type="paragraph" w:styleId="TOC1">
    <w:name w:val="toc 1"/>
    <w:basedOn w:val="Normal"/>
    <w:semiHidden/>
    <w:rsid w:val="00684CB2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684CB2"/>
    <w:pPr>
      <w:ind w:left="1698"/>
    </w:pPr>
  </w:style>
  <w:style w:type="paragraph" w:styleId="Index6">
    <w:name w:val="index 6"/>
    <w:basedOn w:val="Normal"/>
    <w:next w:val="Normal"/>
    <w:semiHidden/>
    <w:rsid w:val="00684CB2"/>
    <w:pPr>
      <w:ind w:left="1415"/>
    </w:pPr>
  </w:style>
  <w:style w:type="paragraph" w:styleId="Index5">
    <w:name w:val="index 5"/>
    <w:basedOn w:val="Normal"/>
    <w:next w:val="Normal"/>
    <w:semiHidden/>
    <w:rsid w:val="00684CB2"/>
    <w:pPr>
      <w:ind w:left="1132"/>
    </w:pPr>
  </w:style>
  <w:style w:type="paragraph" w:styleId="Index4">
    <w:name w:val="index 4"/>
    <w:basedOn w:val="Normal"/>
    <w:next w:val="Normal"/>
    <w:semiHidden/>
    <w:rsid w:val="00684CB2"/>
    <w:pPr>
      <w:ind w:left="849"/>
    </w:pPr>
  </w:style>
  <w:style w:type="paragraph" w:styleId="Index3">
    <w:name w:val="index 3"/>
    <w:basedOn w:val="Normal"/>
    <w:next w:val="Normal"/>
    <w:semiHidden/>
    <w:rsid w:val="00684CB2"/>
    <w:pPr>
      <w:ind w:left="566"/>
    </w:pPr>
  </w:style>
  <w:style w:type="paragraph" w:styleId="Index2">
    <w:name w:val="index 2"/>
    <w:basedOn w:val="Normal"/>
    <w:next w:val="Normal"/>
    <w:semiHidden/>
    <w:rsid w:val="00684CB2"/>
    <w:pPr>
      <w:ind w:left="283"/>
    </w:pPr>
  </w:style>
  <w:style w:type="paragraph" w:styleId="Index1">
    <w:name w:val="index 1"/>
    <w:basedOn w:val="Normal"/>
    <w:next w:val="Normal"/>
    <w:semiHidden/>
    <w:rsid w:val="00684CB2"/>
  </w:style>
  <w:style w:type="character" w:styleId="LineNumber">
    <w:name w:val="line number"/>
    <w:basedOn w:val="DefaultParagraphFont"/>
    <w:rsid w:val="00684CB2"/>
  </w:style>
  <w:style w:type="paragraph" w:styleId="IndexHeading">
    <w:name w:val="index heading"/>
    <w:basedOn w:val="Normal"/>
    <w:next w:val="Index1"/>
    <w:semiHidden/>
    <w:rsid w:val="00684CB2"/>
  </w:style>
  <w:style w:type="paragraph" w:styleId="Footer">
    <w:name w:val="footer"/>
    <w:basedOn w:val="Normal"/>
    <w:link w:val="FooterChar"/>
    <w:rsid w:val="00684CB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84CB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684CB2"/>
    <w:rPr>
      <w:position w:val="6"/>
      <w:sz w:val="16"/>
    </w:rPr>
  </w:style>
  <w:style w:type="paragraph" w:styleId="FootnoteText">
    <w:name w:val="footnote text"/>
    <w:basedOn w:val="Normal"/>
    <w:semiHidden/>
    <w:rsid w:val="00684CB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84CB2"/>
    <w:pPr>
      <w:ind w:left="794"/>
    </w:pPr>
  </w:style>
  <w:style w:type="paragraph" w:customStyle="1" w:styleId="TableLegend">
    <w:name w:val="Table_Legend"/>
    <w:basedOn w:val="TableText"/>
    <w:rsid w:val="00684CB2"/>
    <w:pPr>
      <w:spacing w:before="120"/>
    </w:pPr>
  </w:style>
  <w:style w:type="paragraph" w:customStyle="1" w:styleId="TableText">
    <w:name w:val="Table_Text"/>
    <w:basedOn w:val="Normal"/>
    <w:rsid w:val="00684CB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684CB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84CB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84CB2"/>
    <w:pPr>
      <w:spacing w:before="80"/>
      <w:ind w:left="794" w:hanging="794"/>
    </w:pPr>
  </w:style>
  <w:style w:type="paragraph" w:customStyle="1" w:styleId="enumlev2">
    <w:name w:val="enumlev2"/>
    <w:basedOn w:val="enumlev1"/>
    <w:rsid w:val="00684CB2"/>
    <w:pPr>
      <w:ind w:left="1191" w:hanging="397"/>
    </w:pPr>
  </w:style>
  <w:style w:type="paragraph" w:customStyle="1" w:styleId="enumlev3">
    <w:name w:val="enumlev3"/>
    <w:basedOn w:val="enumlev2"/>
    <w:rsid w:val="00684CB2"/>
    <w:pPr>
      <w:ind w:left="1588"/>
    </w:pPr>
  </w:style>
  <w:style w:type="paragraph" w:customStyle="1" w:styleId="TableHead">
    <w:name w:val="Table_Head"/>
    <w:basedOn w:val="TableText"/>
    <w:rsid w:val="00684CB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84CB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684CB2"/>
    <w:pPr>
      <w:spacing w:before="480"/>
    </w:pPr>
  </w:style>
  <w:style w:type="paragraph" w:customStyle="1" w:styleId="FigureTitle">
    <w:name w:val="Figure_Title"/>
    <w:basedOn w:val="TableTitle"/>
    <w:next w:val="Normal"/>
    <w:rsid w:val="00684CB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84CB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84CB2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684CB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684CB2"/>
  </w:style>
  <w:style w:type="paragraph" w:customStyle="1" w:styleId="AppendixRef">
    <w:name w:val="Appendix_Ref"/>
    <w:basedOn w:val="AnnexRef"/>
    <w:next w:val="AppendixTitle"/>
    <w:rsid w:val="00684CB2"/>
  </w:style>
  <w:style w:type="paragraph" w:customStyle="1" w:styleId="AppendixTitle">
    <w:name w:val="Appendix_Title"/>
    <w:basedOn w:val="AnnexTitle"/>
    <w:next w:val="Normal"/>
    <w:rsid w:val="00684CB2"/>
  </w:style>
  <w:style w:type="paragraph" w:customStyle="1" w:styleId="RefTitle">
    <w:name w:val="Ref_Title"/>
    <w:basedOn w:val="Normal"/>
    <w:next w:val="RefText"/>
    <w:rsid w:val="00684CB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84CB2"/>
    <w:pPr>
      <w:ind w:left="794" w:hanging="794"/>
    </w:pPr>
  </w:style>
  <w:style w:type="paragraph" w:customStyle="1" w:styleId="Equation">
    <w:name w:val="Equation"/>
    <w:basedOn w:val="Normal"/>
    <w:rsid w:val="00684CB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684CB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684CB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684CB2"/>
    <w:pPr>
      <w:spacing w:before="320"/>
    </w:pPr>
  </w:style>
  <w:style w:type="paragraph" w:customStyle="1" w:styleId="call">
    <w:name w:val="call"/>
    <w:basedOn w:val="Normal"/>
    <w:next w:val="Normal"/>
    <w:rsid w:val="00684CB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684CB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684CB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684CB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684CB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684CB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684CB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684CB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684CB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684CB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684CB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684CB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684CB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684CB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684CB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684CB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684CB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684CB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684CB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684CB2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684CB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684CB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684CB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684CB2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684CB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684CB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684CB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684CB2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684CB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rsid w:val="00684CB2"/>
  </w:style>
  <w:style w:type="paragraph" w:customStyle="1" w:styleId="listitem">
    <w:name w:val="listitem"/>
    <w:basedOn w:val="Normal"/>
    <w:rsid w:val="00684CB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684CB2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684CB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684CB2"/>
    <w:pPr>
      <w:tabs>
        <w:tab w:val="left" w:pos="397"/>
      </w:tabs>
    </w:pPr>
  </w:style>
  <w:style w:type="paragraph" w:customStyle="1" w:styleId="FirstFooter">
    <w:name w:val="FirstFooter"/>
    <w:basedOn w:val="Footer"/>
    <w:rsid w:val="00684CB2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684CB2"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Headingb0">
    <w:name w:val="Heading_b"/>
    <w:basedOn w:val="Normal"/>
    <w:next w:val="Normal"/>
    <w:rsid w:val="00144AA0"/>
    <w:pPr>
      <w:keepNext/>
      <w:spacing w:before="160"/>
    </w:pPr>
    <w:rPr>
      <w:rFonts w:eastAsia="MS Mincho"/>
      <w:b/>
      <w:lang w:val="en-GB"/>
    </w:rPr>
  </w:style>
  <w:style w:type="character" w:customStyle="1" w:styleId="FooterChar">
    <w:name w:val="Footer Char"/>
    <w:basedOn w:val="DefaultParagraphFont"/>
    <w:link w:val="Footer"/>
    <w:rsid w:val="004F6F7A"/>
    <w:rPr>
      <w:rFonts w:ascii="Times New Roman" w:hAnsi="Times New Roman"/>
      <w:caps/>
      <w:sz w:val="18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ip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sbsg17@itu.i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ns\My%20Documents\Downloads\CIRC1-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CIRC1-S</Template>
  <TotalTime>0</TotalTime>
  <Pages>4</Pages>
  <Words>1424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9337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pons</dc:creator>
  <cp:keywords/>
  <dc:description/>
  <cp:lastModifiedBy>bettini</cp:lastModifiedBy>
  <cp:revision>2</cp:revision>
  <cp:lastPrinted>2010-06-08T08:45:00Z</cp:lastPrinted>
  <dcterms:created xsi:type="dcterms:W3CDTF">2010-06-10T12:36:00Z</dcterms:created>
  <dcterms:modified xsi:type="dcterms:W3CDTF">2010-06-10T12:36:00Z</dcterms:modified>
</cp:coreProperties>
</file>