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A1787" w:rsidRPr="00BB01E0" w:rsidRDefault="00663E65" w:rsidP="009A17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9A1787" w:rsidRPr="00BB01E0" w:rsidRDefault="009A1787" w:rsidP="009A17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A1787" w:rsidRDefault="009A178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C5FED" w:rsidRDefault="00AC5FED" w:rsidP="00085AB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4F6E65">
        <w:t>Ginebra, 4 de agosto de 2010</w:t>
      </w:r>
    </w:p>
    <w:p w:rsidR="00AC5FED" w:rsidRDefault="00AC5FED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AC5FED">
        <w:trPr>
          <w:cantSplit/>
          <w:trHeight w:val="340"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076FD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AC5FED" w:rsidRPr="004F6E65" w:rsidRDefault="004F6E65" w:rsidP="004F6E6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Circular TSB 129</w:t>
            </w:r>
            <w:r>
              <w:br/>
            </w:r>
            <w:r w:rsidR="00AC5FED">
              <w:t xml:space="preserve">COM </w:t>
            </w:r>
            <w:r>
              <w:t>13/TK</w:t>
            </w: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AC5FED" w:rsidRDefault="00AC5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C5FED">
        <w:trPr>
          <w:cantSplit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C5FED" w:rsidRDefault="00AC5FED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076FD0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CD3E27">
              <w:t xml:space="preserve"> 5126</w:t>
            </w:r>
            <w:r>
              <w:br/>
              <w:t>+41 22 730 5853</w:t>
            </w:r>
            <w:r>
              <w:br/>
            </w:r>
            <w:hyperlink r:id="rId7" w:history="1">
              <w:r w:rsidR="00161C79" w:rsidRPr="00C30061">
                <w:rPr>
                  <w:rStyle w:val="Hyperlink"/>
                </w:rPr>
                <w:t>tsbsg13@itu.int</w:t>
              </w:r>
            </w:hyperlink>
            <w:r w:rsidR="00BE577D">
              <w:t xml:space="preserve"> </w:t>
            </w:r>
          </w:p>
        </w:tc>
        <w:tc>
          <w:tcPr>
            <w:tcW w:w="5188" w:type="dxa"/>
          </w:tcPr>
          <w:p w:rsidR="00AC5FED" w:rsidRDefault="00AC5FE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AC5FED" w:rsidRDefault="00AC5FED" w:rsidP="00BE577D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</w:t>
            </w:r>
            <w:r w:rsidR="00BE577D">
              <w:t xml:space="preserve"> Vicepresidente</w:t>
            </w:r>
            <w:r>
              <w:t xml:space="preserve">s de la Comisión de Estudio </w:t>
            </w:r>
            <w:r w:rsidR="00CD3E27">
              <w:t>13</w:t>
            </w:r>
            <w:r>
              <w:t>;</w:t>
            </w:r>
          </w:p>
          <w:p w:rsidR="00AC5FED" w:rsidRDefault="00AC5FED" w:rsidP="00BE577D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C5FED" w:rsidRDefault="00AC5FED" w:rsidP="00BE577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C5FED" w:rsidRDefault="00AC5FED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AC5FED">
        <w:trPr>
          <w:cantSplit/>
          <w:trHeight w:val="680"/>
        </w:trPr>
        <w:tc>
          <w:tcPr>
            <w:tcW w:w="822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</w:tcPr>
          <w:p w:rsidR="00AC5FED" w:rsidRDefault="00CD3E27">
            <w:pPr>
              <w:tabs>
                <w:tab w:val="left" w:pos="4111"/>
              </w:tabs>
              <w:spacing w:before="0"/>
              <w:ind w:left="57"/>
            </w:pPr>
            <w:r w:rsidRPr="00BC1E7E">
              <w:rPr>
                <w:b/>
                <w:lang w:val="es-ES_tradnl"/>
              </w:rPr>
              <w:t>Supresión de las Cuestiones 6, 8, 11 y 18/13</w:t>
            </w:r>
          </w:p>
        </w:tc>
      </w:tr>
    </w:tbl>
    <w:p w:rsidR="00AC5FED" w:rsidRDefault="00AC5FED">
      <w:bookmarkStart w:id="2" w:name="StartTyping_S"/>
      <w:bookmarkStart w:id="3" w:name="text"/>
      <w:bookmarkEnd w:id="2"/>
      <w:bookmarkEnd w:id="3"/>
    </w:p>
    <w:p w:rsidR="00AC5FED" w:rsidRDefault="00BE577D">
      <w:r>
        <w:t>Muy Señora mía/Muy S</w:t>
      </w:r>
      <w:r w:rsidR="00AC5FED">
        <w:t>eñor mío:</w:t>
      </w:r>
    </w:p>
    <w:p w:rsidR="00AC5FED" w:rsidRDefault="00AC5FED" w:rsidP="00F00EB6">
      <w:pPr>
        <w:ind w:right="-143"/>
      </w:pPr>
      <w:r>
        <w:rPr>
          <w:bCs/>
        </w:rPr>
        <w:t>1</w:t>
      </w:r>
      <w:r>
        <w:tab/>
      </w:r>
      <w:r w:rsidR="00F00EB6">
        <w:t xml:space="preserve">Por la Circular TSB 110 del 2 de junio de 2010 y a petición de los Miembros presentes en la reunión de la Comisión de Estudio 13 (Ginebra, 19-30 de abril de 2010), se propuso suprimir las Cuestiones mencionadas </w:t>
      </w:r>
      <w:r w:rsidR="00F00EB6">
        <w:rPr>
          <w:i/>
          <w:iCs/>
        </w:rPr>
        <w:t>supra</w:t>
      </w:r>
      <w:r w:rsidR="00F00EB6">
        <w:t>, de conformidad con las disposiciones de la Resolución 1, Sección 7, de la AMNT (</w:t>
      </w:r>
      <w:r w:rsidR="00F00EB6" w:rsidRPr="00BC1E7E">
        <w:rPr>
          <w:lang w:val="es-ES_tradnl"/>
        </w:rPr>
        <w:t>Johannesburgo, 2008</w:t>
      </w:r>
      <w:r w:rsidR="00F00EB6">
        <w:t>).</w:t>
      </w:r>
    </w:p>
    <w:p w:rsidR="002E3A38" w:rsidRPr="002E3A38" w:rsidRDefault="00AC5FED" w:rsidP="00BB4A26">
      <w:pPr>
        <w:rPr>
          <w:b/>
          <w:bCs/>
        </w:rPr>
      </w:pPr>
      <w:r>
        <w:rPr>
          <w:bCs/>
        </w:rPr>
        <w:t>2</w:t>
      </w:r>
      <w:r>
        <w:tab/>
      </w:r>
      <w:r w:rsidR="00F00EB6">
        <w:t xml:space="preserve">El 2 de agosto de 2010 se cumplieron las condiciones de supresión de estas Cuestiones. No se recibió ninguna objeción a la supresión. </w:t>
      </w:r>
      <w:r w:rsidR="00F00EB6">
        <w:rPr>
          <w:b/>
        </w:rPr>
        <w:t xml:space="preserve">Quedan, por tanto, suprimidas </w:t>
      </w:r>
      <w:r w:rsidR="00F00EB6">
        <w:rPr>
          <w:bCs/>
        </w:rPr>
        <w:t>la</w:t>
      </w:r>
      <w:r w:rsidR="00F00EB6" w:rsidRPr="00BC1E7E">
        <w:rPr>
          <w:bCs/>
        </w:rPr>
        <w:t>s</w:t>
      </w:r>
      <w:r w:rsidR="00F00EB6">
        <w:rPr>
          <w:bCs/>
        </w:rPr>
        <w:t xml:space="preserve"> siguientes</w:t>
      </w:r>
      <w:r w:rsidR="00F00EB6" w:rsidRPr="00BC1E7E">
        <w:rPr>
          <w:bCs/>
        </w:rPr>
        <w:t xml:space="preserve"> Cuesti</w:t>
      </w:r>
      <w:r w:rsidR="00F00EB6">
        <w:rPr>
          <w:bCs/>
        </w:rPr>
        <w:t>ones:</w:t>
      </w:r>
    </w:p>
    <w:p w:rsidR="00BB4A26" w:rsidRPr="001633B9" w:rsidRDefault="00BB4A26" w:rsidP="001633B9">
      <w:pPr>
        <w:tabs>
          <w:tab w:val="clear" w:pos="1985"/>
          <w:tab w:val="left" w:pos="1843"/>
        </w:tabs>
        <w:rPr>
          <w:b/>
          <w:bCs/>
          <w:szCs w:val="24"/>
          <w:lang w:val="es-ES_tradnl"/>
        </w:rPr>
      </w:pPr>
      <w:r w:rsidRPr="007863B2">
        <w:rPr>
          <w:b/>
          <w:bCs/>
          <w:szCs w:val="24"/>
          <w:lang w:val="es-ES_tradnl"/>
        </w:rPr>
        <w:t>Cuestión 6/13</w:t>
      </w:r>
      <w:r w:rsidRPr="001633B9">
        <w:rPr>
          <w:szCs w:val="24"/>
          <w:lang w:val="es-ES_tradnl"/>
        </w:rPr>
        <w:t>:</w:t>
      </w:r>
      <w:r w:rsidRPr="007863B2">
        <w:rPr>
          <w:i/>
          <w:iCs/>
          <w:szCs w:val="24"/>
          <w:lang w:val="es-ES_tradnl"/>
        </w:rPr>
        <w:tab/>
      </w:r>
      <w:r w:rsidRPr="007863B2">
        <w:rPr>
          <w:i/>
          <w:iCs/>
          <w:szCs w:val="24"/>
          <w:lang w:val="es-ES_tradnl"/>
        </w:rPr>
        <w:tab/>
      </w:r>
      <w:r w:rsidRPr="007863B2">
        <w:rPr>
          <w:i/>
          <w:iCs/>
          <w:lang w:val="es-ES_tradnl" w:eastAsia="ja-JP"/>
        </w:rPr>
        <w:t>Arquitectura de las redes de telecomunicaciones móviles para las NGN</w:t>
      </w:r>
    </w:p>
    <w:p w:rsidR="00BB4A26" w:rsidRPr="007863B2" w:rsidRDefault="00BB4A26" w:rsidP="001633B9">
      <w:pPr>
        <w:tabs>
          <w:tab w:val="clear" w:pos="1985"/>
          <w:tab w:val="left" w:pos="1843"/>
        </w:tabs>
        <w:rPr>
          <w:szCs w:val="24"/>
          <w:lang w:val="es-ES_tradnl"/>
        </w:rPr>
      </w:pPr>
      <w:r w:rsidRPr="007863B2">
        <w:rPr>
          <w:b/>
          <w:bCs/>
          <w:szCs w:val="24"/>
          <w:lang w:val="es-ES_tradnl"/>
        </w:rPr>
        <w:t>Cuestión 8/13</w:t>
      </w:r>
      <w:r w:rsidR="001633B9" w:rsidRPr="001633B9">
        <w:rPr>
          <w:szCs w:val="24"/>
          <w:lang w:val="es-ES_tradnl"/>
        </w:rPr>
        <w:t>:</w:t>
      </w:r>
      <w:r w:rsidRPr="007863B2">
        <w:rPr>
          <w:i/>
          <w:iCs/>
          <w:szCs w:val="24"/>
          <w:lang w:val="es-ES_tradnl"/>
        </w:rPr>
        <w:tab/>
      </w:r>
      <w:r w:rsidRPr="007863B2">
        <w:rPr>
          <w:i/>
          <w:iCs/>
          <w:szCs w:val="24"/>
          <w:lang w:val="es-ES_tradnl"/>
        </w:rPr>
        <w:tab/>
      </w:r>
      <w:r w:rsidRPr="007863B2">
        <w:rPr>
          <w:i/>
          <w:iCs/>
          <w:lang w:val="es-ES_tradnl" w:eastAsia="ja-JP"/>
        </w:rPr>
        <w:t>Gestión de la movilidad</w:t>
      </w:r>
    </w:p>
    <w:p w:rsidR="00BB4A26" w:rsidRDefault="00BB4A26" w:rsidP="001633B9">
      <w:pPr>
        <w:tabs>
          <w:tab w:val="clear" w:pos="1985"/>
          <w:tab w:val="left" w:pos="1843"/>
        </w:tabs>
        <w:ind w:left="1985" w:hanging="1985"/>
        <w:rPr>
          <w:bCs/>
          <w:color w:val="000000"/>
          <w:lang w:val="es-ES_tradnl"/>
        </w:rPr>
      </w:pPr>
      <w:r w:rsidRPr="007863B2">
        <w:rPr>
          <w:b/>
          <w:bCs/>
          <w:szCs w:val="24"/>
          <w:lang w:val="es-ES_tradnl"/>
        </w:rPr>
        <w:t>Cuestión 11/13</w:t>
      </w:r>
      <w:r w:rsidR="001633B9" w:rsidRPr="001633B9">
        <w:rPr>
          <w:szCs w:val="24"/>
          <w:lang w:val="es-ES_tradnl"/>
        </w:rPr>
        <w:t>:</w:t>
      </w:r>
      <w:r w:rsidRPr="007863B2">
        <w:rPr>
          <w:i/>
          <w:iCs/>
          <w:szCs w:val="24"/>
          <w:lang w:val="es-ES_tradnl"/>
        </w:rPr>
        <w:tab/>
      </w:r>
      <w:r w:rsidR="001633B9">
        <w:rPr>
          <w:i/>
          <w:iCs/>
          <w:szCs w:val="24"/>
          <w:lang w:val="es-ES_tradnl"/>
        </w:rPr>
        <w:tab/>
      </w:r>
      <w:r w:rsidRPr="007863B2">
        <w:rPr>
          <w:bCs/>
          <w:i/>
          <w:iCs/>
          <w:color w:val="000000"/>
          <w:lang w:val="es-ES_tradnl"/>
        </w:rPr>
        <w:t>Convergencia de las IMT existentes y en evolución y las redes fijas</w:t>
      </w:r>
    </w:p>
    <w:p w:rsidR="00BB4A26" w:rsidRDefault="00BB4A26" w:rsidP="001633B9">
      <w:pPr>
        <w:tabs>
          <w:tab w:val="clear" w:pos="1985"/>
          <w:tab w:val="left" w:pos="1843"/>
        </w:tabs>
        <w:ind w:left="1843" w:hanging="1843"/>
        <w:rPr>
          <w:i/>
          <w:iCs/>
          <w:lang w:val="es-ES_tradnl" w:eastAsia="ja-JP"/>
        </w:rPr>
      </w:pPr>
      <w:r w:rsidRPr="007863B2">
        <w:rPr>
          <w:b/>
          <w:bCs/>
          <w:szCs w:val="24"/>
          <w:lang w:val="es-ES_tradnl"/>
        </w:rPr>
        <w:t>Cuestión 18/13</w:t>
      </w:r>
      <w:r w:rsidR="001633B9" w:rsidRPr="001633B9">
        <w:rPr>
          <w:szCs w:val="24"/>
          <w:lang w:val="es-ES_tradnl"/>
        </w:rPr>
        <w:t>:</w:t>
      </w:r>
      <w:r w:rsidRPr="007863B2">
        <w:rPr>
          <w:i/>
          <w:iCs/>
          <w:szCs w:val="24"/>
          <w:lang w:val="es-ES_tradnl"/>
        </w:rPr>
        <w:t xml:space="preserve"> </w:t>
      </w:r>
      <w:r w:rsidRPr="007863B2">
        <w:rPr>
          <w:i/>
          <w:iCs/>
          <w:szCs w:val="24"/>
          <w:lang w:val="es-ES_tradnl"/>
        </w:rPr>
        <w:tab/>
      </w:r>
      <w:r w:rsidRPr="007863B2">
        <w:rPr>
          <w:i/>
          <w:iCs/>
          <w:lang w:val="es-ES_tradnl" w:eastAsia="ja-JP"/>
        </w:rPr>
        <w:t>Requisitos y marco para la habilitación de componentes COTS en un entorno abierto</w:t>
      </w:r>
    </w:p>
    <w:p w:rsidR="0074559F" w:rsidRDefault="0074559F" w:rsidP="001633B9">
      <w:r>
        <w:t>Le saluda muy atentamente</w:t>
      </w:r>
      <w:r w:rsidR="001633B9">
        <w:t>.</w:t>
      </w:r>
    </w:p>
    <w:p w:rsidR="0074559F" w:rsidRDefault="0074559F" w:rsidP="001633B9">
      <w:pPr>
        <w:spacing w:before="1000"/>
      </w:pPr>
      <w:r w:rsidRPr="00140D45">
        <w:t>Malcolm Johnson</w:t>
      </w:r>
      <w:r>
        <w:br/>
        <w:t>Director de la Oficina de</w:t>
      </w:r>
      <w:r>
        <w:br/>
        <w:t>Normalización de las Telecomunicaciones</w:t>
      </w:r>
    </w:p>
    <w:sectPr w:rsidR="0074559F" w:rsidSect="00076FD0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134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65" w:rsidRDefault="004F6E65">
      <w:r>
        <w:separator/>
      </w:r>
    </w:p>
  </w:endnote>
  <w:endnote w:type="continuationSeparator" w:id="0">
    <w:p w:rsidR="004F6E65" w:rsidRDefault="004F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9" w:rsidRPr="00E60273" w:rsidRDefault="00AB5ECE">
    <w:pPr>
      <w:pStyle w:val="Footer"/>
      <w:rPr>
        <w:lang w:val="en-US"/>
      </w:rPr>
    </w:pPr>
    <w:fldSimple w:instr=" FILENAME \p \* MERGEFORMAT ">
      <w:r w:rsidR="00E60273" w:rsidRPr="00E60273">
        <w:rPr>
          <w:noProof/>
          <w:lang w:val="en-US"/>
        </w:rPr>
        <w:t>M:\SG_DOC\SG13\2009-2012-Study-Period\Activities\Circulars\129S.DOCX</w:t>
      </w:r>
    </w:fldSimple>
    <w:r w:rsidR="002E3749" w:rsidRPr="00E60273">
      <w:rPr>
        <w:lang w:val="en-US"/>
      </w:rPr>
      <w:tab/>
    </w:r>
    <w:r>
      <w:fldChar w:fldCharType="begin"/>
    </w:r>
    <w:r w:rsidR="002E3749">
      <w:instrText xml:space="preserve"> savedate \@ dd.MM.yy </w:instrText>
    </w:r>
    <w:r>
      <w:fldChar w:fldCharType="separate"/>
    </w:r>
    <w:r w:rsidR="000A46FD">
      <w:rPr>
        <w:noProof/>
      </w:rPr>
      <w:t>10.08.10</w:t>
    </w:r>
    <w:r>
      <w:fldChar w:fldCharType="end"/>
    </w:r>
    <w:r w:rsidR="002E3749" w:rsidRPr="00E60273">
      <w:rPr>
        <w:lang w:val="en-US"/>
      </w:rPr>
      <w:tab/>
    </w:r>
    <w:r>
      <w:fldChar w:fldCharType="begin"/>
    </w:r>
    <w:r w:rsidR="002E3749">
      <w:instrText xml:space="preserve"> printdate \@ dd.MM.yy </w:instrText>
    </w:r>
    <w:r>
      <w:fldChar w:fldCharType="separate"/>
    </w:r>
    <w:r w:rsidR="00E60273">
      <w:rPr>
        <w:noProof/>
      </w:rPr>
      <w:t>10.08.10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2E3749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2E3749" w:rsidRDefault="002E3749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2E3749">
      <w:tc>
        <w:tcPr>
          <w:tcW w:w="1985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2E3749" w:rsidRDefault="002E374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2E3749" w:rsidRDefault="00076FD0" w:rsidP="00076FD0">
          <w:pPr>
            <w:pStyle w:val="FirstFooter"/>
            <w:tabs>
              <w:tab w:val="clear" w:pos="5954"/>
              <w:tab w:val="right" w:pos="1956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</w:r>
          <w:r w:rsidR="002E3749">
            <w:rPr>
              <w:rFonts w:ascii="Futura Lt BT" w:hAnsi="Futura Lt BT"/>
            </w:rPr>
            <w:t>www.itu.int</w:t>
          </w:r>
        </w:p>
      </w:tc>
    </w:tr>
    <w:tr w:rsidR="002E3749">
      <w:tc>
        <w:tcPr>
          <w:tcW w:w="1985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2E3749" w:rsidRDefault="002E3749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2E3749" w:rsidRDefault="002E3749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161C79" w:rsidRPr="00161C79" w:rsidRDefault="00161C79" w:rsidP="00E60273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65" w:rsidRDefault="004F6E65">
      <w:r>
        <w:t>____________________</w:t>
      </w:r>
    </w:p>
  </w:footnote>
  <w:footnote w:type="continuationSeparator" w:id="0">
    <w:p w:rsidR="004F6E65" w:rsidRDefault="004F6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749" w:rsidRDefault="002E3749">
    <w:pPr>
      <w:pStyle w:val="Header"/>
    </w:pPr>
    <w:r>
      <w:t xml:space="preserve">- </w:t>
    </w:r>
    <w:fldSimple w:instr="PAGE">
      <w:r w:rsidR="006B028D">
        <w:rPr>
          <w:noProof/>
        </w:rPr>
        <w:t>2</w:t>
      </w:r>
    </w:fldSimple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3E27"/>
    <w:rsid w:val="00022CAF"/>
    <w:rsid w:val="00076FD0"/>
    <w:rsid w:val="00085AB9"/>
    <w:rsid w:val="000A46FD"/>
    <w:rsid w:val="00101F41"/>
    <w:rsid w:val="00161C79"/>
    <w:rsid w:val="001633B9"/>
    <w:rsid w:val="00211275"/>
    <w:rsid w:val="002E3749"/>
    <w:rsid w:val="002E3A38"/>
    <w:rsid w:val="003B714D"/>
    <w:rsid w:val="004D7316"/>
    <w:rsid w:val="004F6E65"/>
    <w:rsid w:val="00536427"/>
    <w:rsid w:val="005E5AA5"/>
    <w:rsid w:val="00634CA5"/>
    <w:rsid w:val="00651502"/>
    <w:rsid w:val="00663E65"/>
    <w:rsid w:val="0068172F"/>
    <w:rsid w:val="00681CB9"/>
    <w:rsid w:val="006B028D"/>
    <w:rsid w:val="0074559F"/>
    <w:rsid w:val="007F5964"/>
    <w:rsid w:val="0084625C"/>
    <w:rsid w:val="008E4CA3"/>
    <w:rsid w:val="009A1787"/>
    <w:rsid w:val="00A63FDC"/>
    <w:rsid w:val="00A71673"/>
    <w:rsid w:val="00A81665"/>
    <w:rsid w:val="00AB5ECE"/>
    <w:rsid w:val="00AC5FED"/>
    <w:rsid w:val="00B7165A"/>
    <w:rsid w:val="00BB4A26"/>
    <w:rsid w:val="00BC71C9"/>
    <w:rsid w:val="00BE577D"/>
    <w:rsid w:val="00C6191A"/>
    <w:rsid w:val="00CA080F"/>
    <w:rsid w:val="00CD3E27"/>
    <w:rsid w:val="00CF1B22"/>
    <w:rsid w:val="00D31514"/>
    <w:rsid w:val="00D440C7"/>
    <w:rsid w:val="00DF3AED"/>
    <w:rsid w:val="00E60273"/>
    <w:rsid w:val="00F00EB6"/>
    <w:rsid w:val="00FB3085"/>
    <w:rsid w:val="00FE4834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F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101F4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01F4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01F4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01F4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01F4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01F4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01F4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01F4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01F4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101F41"/>
  </w:style>
  <w:style w:type="paragraph" w:styleId="TOC7">
    <w:name w:val="toc 7"/>
    <w:basedOn w:val="TOC3"/>
    <w:semiHidden/>
    <w:rsid w:val="00101F41"/>
  </w:style>
  <w:style w:type="paragraph" w:styleId="TOC6">
    <w:name w:val="toc 6"/>
    <w:basedOn w:val="TOC3"/>
    <w:semiHidden/>
    <w:rsid w:val="00101F41"/>
  </w:style>
  <w:style w:type="paragraph" w:styleId="TOC5">
    <w:name w:val="toc 5"/>
    <w:basedOn w:val="TOC3"/>
    <w:semiHidden/>
    <w:rsid w:val="00101F41"/>
  </w:style>
  <w:style w:type="paragraph" w:styleId="TOC4">
    <w:name w:val="toc 4"/>
    <w:basedOn w:val="TOC3"/>
    <w:semiHidden/>
    <w:rsid w:val="00101F41"/>
  </w:style>
  <w:style w:type="paragraph" w:styleId="TOC3">
    <w:name w:val="toc 3"/>
    <w:basedOn w:val="TOC2"/>
    <w:semiHidden/>
    <w:rsid w:val="00101F41"/>
    <w:pPr>
      <w:spacing w:before="80"/>
    </w:pPr>
  </w:style>
  <w:style w:type="paragraph" w:styleId="TOC2">
    <w:name w:val="toc 2"/>
    <w:basedOn w:val="TOC1"/>
    <w:semiHidden/>
    <w:rsid w:val="00101F41"/>
    <w:pPr>
      <w:spacing w:before="120"/>
    </w:pPr>
  </w:style>
  <w:style w:type="paragraph" w:styleId="TOC1">
    <w:name w:val="toc 1"/>
    <w:basedOn w:val="Normal"/>
    <w:semiHidden/>
    <w:rsid w:val="00101F4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01F41"/>
    <w:pPr>
      <w:ind w:left="1698"/>
    </w:pPr>
  </w:style>
  <w:style w:type="paragraph" w:styleId="Index6">
    <w:name w:val="index 6"/>
    <w:basedOn w:val="Normal"/>
    <w:next w:val="Normal"/>
    <w:semiHidden/>
    <w:rsid w:val="00101F41"/>
    <w:pPr>
      <w:ind w:left="1415"/>
    </w:pPr>
  </w:style>
  <w:style w:type="paragraph" w:styleId="Index5">
    <w:name w:val="index 5"/>
    <w:basedOn w:val="Normal"/>
    <w:next w:val="Normal"/>
    <w:semiHidden/>
    <w:rsid w:val="00101F41"/>
    <w:pPr>
      <w:ind w:left="1132"/>
    </w:pPr>
  </w:style>
  <w:style w:type="paragraph" w:styleId="Index4">
    <w:name w:val="index 4"/>
    <w:basedOn w:val="Normal"/>
    <w:next w:val="Normal"/>
    <w:semiHidden/>
    <w:rsid w:val="00101F41"/>
    <w:pPr>
      <w:ind w:left="849"/>
    </w:pPr>
  </w:style>
  <w:style w:type="paragraph" w:styleId="Index3">
    <w:name w:val="index 3"/>
    <w:basedOn w:val="Normal"/>
    <w:next w:val="Normal"/>
    <w:semiHidden/>
    <w:rsid w:val="00101F41"/>
    <w:pPr>
      <w:ind w:left="566"/>
    </w:pPr>
  </w:style>
  <w:style w:type="paragraph" w:styleId="Index2">
    <w:name w:val="index 2"/>
    <w:basedOn w:val="Normal"/>
    <w:next w:val="Normal"/>
    <w:semiHidden/>
    <w:rsid w:val="00101F41"/>
    <w:pPr>
      <w:ind w:left="283"/>
    </w:pPr>
  </w:style>
  <w:style w:type="paragraph" w:styleId="Index1">
    <w:name w:val="index 1"/>
    <w:basedOn w:val="Normal"/>
    <w:next w:val="Normal"/>
    <w:semiHidden/>
    <w:rsid w:val="00101F41"/>
  </w:style>
  <w:style w:type="character" w:styleId="LineNumber">
    <w:name w:val="line number"/>
    <w:basedOn w:val="DefaultParagraphFont"/>
    <w:rsid w:val="00101F41"/>
  </w:style>
  <w:style w:type="paragraph" w:styleId="IndexHeading">
    <w:name w:val="index heading"/>
    <w:basedOn w:val="Normal"/>
    <w:next w:val="Index1"/>
    <w:semiHidden/>
    <w:rsid w:val="00101F41"/>
  </w:style>
  <w:style w:type="paragraph" w:styleId="Footer">
    <w:name w:val="footer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101F4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101F41"/>
    <w:rPr>
      <w:position w:val="6"/>
      <w:sz w:val="16"/>
    </w:rPr>
  </w:style>
  <w:style w:type="paragraph" w:styleId="FootnoteText">
    <w:name w:val="footnote text"/>
    <w:basedOn w:val="Normal"/>
    <w:semiHidden/>
    <w:rsid w:val="00101F4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01F41"/>
    <w:pPr>
      <w:ind w:left="794"/>
    </w:pPr>
  </w:style>
  <w:style w:type="paragraph" w:customStyle="1" w:styleId="TableLegend">
    <w:name w:val="Table_Legend"/>
    <w:basedOn w:val="TableText"/>
    <w:rsid w:val="00101F41"/>
    <w:pPr>
      <w:spacing w:before="120"/>
    </w:pPr>
  </w:style>
  <w:style w:type="paragraph" w:customStyle="1" w:styleId="TableText">
    <w:name w:val="Table_Text"/>
    <w:basedOn w:val="Normal"/>
    <w:rsid w:val="00101F4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01F4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01F4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01F41"/>
    <w:pPr>
      <w:spacing w:before="80"/>
      <w:ind w:left="794" w:hanging="794"/>
    </w:pPr>
  </w:style>
  <w:style w:type="paragraph" w:customStyle="1" w:styleId="enumlev2">
    <w:name w:val="enumlev2"/>
    <w:basedOn w:val="enumlev1"/>
    <w:rsid w:val="00101F41"/>
    <w:pPr>
      <w:ind w:left="1191" w:hanging="397"/>
    </w:pPr>
  </w:style>
  <w:style w:type="paragraph" w:customStyle="1" w:styleId="enumlev3">
    <w:name w:val="enumlev3"/>
    <w:basedOn w:val="enumlev2"/>
    <w:rsid w:val="00101F41"/>
    <w:pPr>
      <w:ind w:left="1588"/>
    </w:pPr>
  </w:style>
  <w:style w:type="paragraph" w:customStyle="1" w:styleId="TableHead">
    <w:name w:val="Table_Head"/>
    <w:basedOn w:val="TableText"/>
    <w:rsid w:val="00101F4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01F4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01F41"/>
    <w:pPr>
      <w:spacing w:before="480"/>
    </w:pPr>
  </w:style>
  <w:style w:type="paragraph" w:customStyle="1" w:styleId="FigureTitle">
    <w:name w:val="Figure_Title"/>
    <w:basedOn w:val="TableTitle"/>
    <w:next w:val="Normal"/>
    <w:rsid w:val="00101F4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01F4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01F4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01F4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01F41"/>
  </w:style>
  <w:style w:type="paragraph" w:customStyle="1" w:styleId="AppendixRef">
    <w:name w:val="Appendix_Ref"/>
    <w:basedOn w:val="AnnexRef"/>
    <w:next w:val="AppendixTitle"/>
    <w:rsid w:val="00101F41"/>
  </w:style>
  <w:style w:type="paragraph" w:customStyle="1" w:styleId="AppendixTitle">
    <w:name w:val="Appendix_Title"/>
    <w:basedOn w:val="AnnexTitle"/>
    <w:next w:val="Normal"/>
    <w:rsid w:val="00101F41"/>
  </w:style>
  <w:style w:type="paragraph" w:customStyle="1" w:styleId="RefTitle">
    <w:name w:val="Ref_Title"/>
    <w:basedOn w:val="Normal"/>
    <w:next w:val="RefText"/>
    <w:rsid w:val="00101F4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01F41"/>
    <w:pPr>
      <w:ind w:left="794" w:hanging="794"/>
    </w:pPr>
  </w:style>
  <w:style w:type="paragraph" w:customStyle="1" w:styleId="Equation">
    <w:name w:val="Equation"/>
    <w:basedOn w:val="Normal"/>
    <w:rsid w:val="00101F4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01F4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01F41"/>
    <w:pPr>
      <w:spacing w:before="320"/>
    </w:pPr>
  </w:style>
  <w:style w:type="paragraph" w:customStyle="1" w:styleId="call">
    <w:name w:val="call"/>
    <w:basedOn w:val="Normal"/>
    <w:next w:val="Normal"/>
    <w:rsid w:val="00101F4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01F4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01F4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BE577D"/>
    <w:rPr>
      <w:color w:val="0000FF"/>
      <w:u w:val="single"/>
    </w:rPr>
  </w:style>
  <w:style w:type="paragraph" w:customStyle="1" w:styleId="Keywords">
    <w:name w:val="Keywords"/>
    <w:basedOn w:val="Normal"/>
    <w:rsid w:val="00101F41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101F41"/>
    <w:pPr>
      <w:spacing w:after="120"/>
    </w:pPr>
  </w:style>
  <w:style w:type="paragraph" w:customStyle="1" w:styleId="EquationLegend">
    <w:name w:val="Equation_Legend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01F41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01F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01F41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01F41"/>
    <w:pPr>
      <w:tabs>
        <w:tab w:val="left" w:pos="397"/>
      </w:tabs>
    </w:pPr>
  </w:style>
  <w:style w:type="paragraph" w:styleId="TOC9">
    <w:name w:val="toc 9"/>
    <w:basedOn w:val="TOC3"/>
    <w:semiHidden/>
    <w:rsid w:val="00101F41"/>
  </w:style>
  <w:style w:type="paragraph" w:customStyle="1" w:styleId="headingb">
    <w:name w:val="heading_b"/>
    <w:basedOn w:val="Heading3"/>
    <w:next w:val="Normal"/>
    <w:rsid w:val="00101F4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01F41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rquizul\Application%20Data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PS_TSBcirc2</Template>
  <TotalTime>1</TotalTime>
  <Pages>1</Pages>
  <Words>252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1572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urquizul</dc:creator>
  <cp:keywords/>
  <dc:description/>
  <cp:lastModifiedBy>schiffer</cp:lastModifiedBy>
  <cp:revision>2</cp:revision>
  <cp:lastPrinted>2010-08-10T10:06:00Z</cp:lastPrinted>
  <dcterms:created xsi:type="dcterms:W3CDTF">2010-08-11T09:13:00Z</dcterms:created>
  <dcterms:modified xsi:type="dcterms:W3CDTF">2010-08-11T09:13:00Z</dcterms:modified>
</cp:coreProperties>
</file>