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6A1263" w:rsidP="00035B4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035B4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247949">
        <w:t xml:space="preserve">le </w:t>
      </w:r>
      <w:r w:rsidR="00907245">
        <w:t>10 novembre 2010</w:t>
      </w:r>
    </w:p>
    <w:p w:rsidR="004B732E" w:rsidRDefault="004B732E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4B732E" w:rsidRDefault="004B732E" w:rsidP="00907245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907245">
              <w:rPr>
                <w:b/>
              </w:rPr>
              <w:t>150</w:t>
            </w:r>
          </w:p>
          <w:p w:rsidR="004B732E" w:rsidRDefault="00702077">
            <w:pPr>
              <w:tabs>
                <w:tab w:val="left" w:pos="4111"/>
              </w:tabs>
              <w:spacing w:before="0"/>
            </w:pPr>
            <w:r>
              <w:t>DIR/</w:t>
            </w:r>
            <w:proofErr w:type="spellStart"/>
            <w:r>
              <w:t>tsbdoc</w:t>
            </w:r>
            <w:proofErr w:type="spellEnd"/>
          </w:p>
        </w:tc>
        <w:tc>
          <w:tcPr>
            <w:tcW w:w="5329" w:type="dxa"/>
          </w:tcPr>
          <w:p w:rsidR="004B732E" w:rsidRDefault="00A66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 w:rsidR="004B732E">
              <w:tab/>
              <w:t>Aux administrations des Etats Membres de l'Union</w:t>
            </w:r>
          </w:p>
          <w:p w:rsidR="00702077" w:rsidRDefault="00702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Membres du Secteur UIT</w:t>
            </w:r>
            <w:r>
              <w:noBreakHyphen/>
              <w:t>T;</w:t>
            </w:r>
          </w:p>
          <w:p w:rsidR="00702077" w:rsidRDefault="00702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associés de l'UIT</w:t>
            </w:r>
            <w:r>
              <w:noBreakHyphen/>
              <w:t>T</w:t>
            </w:r>
          </w:p>
          <w:p w:rsidR="00721DF6" w:rsidRDefault="00721D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>
            <w:pPr>
              <w:tabs>
                <w:tab w:val="left" w:pos="4111"/>
              </w:tabs>
              <w:spacing w:before="0"/>
            </w:pPr>
          </w:p>
          <w:p w:rsidR="004B732E" w:rsidRDefault="00702077" w:rsidP="00721DF6">
            <w:pPr>
              <w:pStyle w:val="Index1"/>
              <w:tabs>
                <w:tab w:val="left" w:pos="4111"/>
              </w:tabs>
              <w:spacing w:before="0"/>
            </w:pPr>
            <w:r w:rsidRPr="00770C91">
              <w:rPr>
                <w:lang w:val="fr-CH"/>
              </w:rPr>
              <w:t>+41 22 730 59</w:t>
            </w:r>
            <w:r>
              <w:rPr>
                <w:lang w:val="fr-CH"/>
              </w:rPr>
              <w:t>72</w:t>
            </w:r>
            <w:r w:rsidRPr="00770C91">
              <w:rPr>
                <w:lang w:val="fr-CH"/>
              </w:rPr>
              <w:br/>
              <w:t>+41 22 730 5853</w:t>
            </w:r>
            <w:r w:rsidRPr="00770C91">
              <w:rPr>
                <w:lang w:val="fr-CH"/>
              </w:rPr>
              <w:br/>
            </w:r>
            <w:hyperlink r:id="rId7" w:history="1">
              <w:r w:rsidR="00721DF6" w:rsidRPr="00A4076C">
                <w:rPr>
                  <w:rStyle w:val="Hyperlink"/>
                  <w:lang w:val="fr-CH"/>
                </w:rPr>
                <w:t>tsbdoc@itu.int</w:t>
              </w:r>
            </w:hyperlink>
          </w:p>
        </w:tc>
        <w:tc>
          <w:tcPr>
            <w:tcW w:w="5329" w:type="dxa"/>
          </w:tcPr>
          <w:p w:rsidR="004B732E" w:rsidRDefault="004B732E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</w:t>
            </w:r>
            <w:r w:rsidR="00721DF6">
              <w:br/>
            </w:r>
            <w:r>
              <w:t>des télécommunications;</w:t>
            </w:r>
          </w:p>
          <w:p w:rsidR="004B732E" w:rsidRDefault="009A621B" w:rsidP="009A62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4B732E">
              <w:t xml:space="preserve">Au Directeur du Bureau des </w:t>
            </w:r>
            <w:r>
              <w:br/>
            </w:r>
            <w:r w:rsidR="004B732E">
              <w:t>Radiocommunications</w:t>
            </w:r>
          </w:p>
        </w:tc>
      </w:tr>
    </w:tbl>
    <w:p w:rsidR="004B732E" w:rsidRDefault="004B732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4B732E">
        <w:trPr>
          <w:cantSplit/>
          <w:trHeight w:val="680"/>
        </w:trPr>
        <w:tc>
          <w:tcPr>
            <w:tcW w:w="822" w:type="dxa"/>
          </w:tcPr>
          <w:p w:rsidR="004B732E" w:rsidRDefault="004B732E" w:rsidP="009A621B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</w:pPr>
            <w:r>
              <w:t>Objet:</w:t>
            </w:r>
          </w:p>
        </w:tc>
        <w:tc>
          <w:tcPr>
            <w:tcW w:w="4943" w:type="dxa"/>
          </w:tcPr>
          <w:p w:rsidR="004B732E" w:rsidRDefault="00702077" w:rsidP="00907245">
            <w:pPr>
              <w:tabs>
                <w:tab w:val="left" w:pos="4111"/>
              </w:tabs>
              <w:spacing w:before="0"/>
              <w:ind w:left="57"/>
            </w:pPr>
            <w:r w:rsidRPr="00770C91">
              <w:rPr>
                <w:b/>
                <w:bCs/>
                <w:lang w:val="fr-CH"/>
              </w:rPr>
              <w:t>Disponibilité des documents de l'UIT</w:t>
            </w:r>
            <w:r w:rsidRPr="00770C91">
              <w:rPr>
                <w:b/>
                <w:bCs/>
                <w:lang w:val="fr-CH"/>
              </w:rPr>
              <w:noBreakHyphen/>
              <w:t xml:space="preserve">T </w:t>
            </w:r>
            <w:r w:rsidR="00907245">
              <w:rPr>
                <w:b/>
                <w:bCs/>
                <w:lang w:val="fr-CH"/>
              </w:rPr>
              <w:t>en version</w:t>
            </w:r>
            <w:r w:rsidRPr="00770C91">
              <w:rPr>
                <w:b/>
                <w:bCs/>
                <w:lang w:val="fr-CH"/>
              </w:rPr>
              <w:t xml:space="preserve"> électronique</w:t>
            </w:r>
          </w:p>
        </w:tc>
      </w:tr>
    </w:tbl>
    <w:p w:rsidR="004B732E" w:rsidRDefault="004B732E">
      <w:bookmarkStart w:id="2" w:name="StartTyping_F"/>
      <w:bookmarkStart w:id="3" w:name="text"/>
      <w:bookmarkEnd w:id="2"/>
      <w:bookmarkEnd w:id="3"/>
    </w:p>
    <w:p w:rsidR="004B732E" w:rsidRDefault="004B732E" w:rsidP="00247949">
      <w:r>
        <w:t>Madame, Monsieur,</w:t>
      </w:r>
    </w:p>
    <w:p w:rsidR="00702077" w:rsidRPr="00770C91" w:rsidRDefault="00702077" w:rsidP="00BB3979">
      <w:pPr>
        <w:rPr>
          <w:lang w:val="fr-CH"/>
        </w:rPr>
      </w:pPr>
      <w:r>
        <w:rPr>
          <w:lang w:val="fr-CH"/>
        </w:rPr>
        <w:t xml:space="preserve">En raison des </w:t>
      </w:r>
      <w:r w:rsidR="00BB3979">
        <w:rPr>
          <w:lang w:val="fr-CH"/>
        </w:rPr>
        <w:t xml:space="preserve">mesures de </w:t>
      </w:r>
      <w:r>
        <w:rPr>
          <w:lang w:val="fr-CH"/>
        </w:rPr>
        <w:t xml:space="preserve">restrictions budgétaires </w:t>
      </w:r>
      <w:r w:rsidR="00BB3979">
        <w:rPr>
          <w:lang w:val="fr-CH"/>
        </w:rPr>
        <w:t>prises par</w:t>
      </w:r>
      <w:r>
        <w:rPr>
          <w:lang w:val="fr-CH"/>
        </w:rPr>
        <w:t xml:space="preserve"> la dernière Conf</w:t>
      </w:r>
      <w:r w:rsidR="00BB3979">
        <w:rPr>
          <w:lang w:val="fr-CH"/>
        </w:rPr>
        <w:t>érence de plénipotentiaires (PP</w:t>
      </w:r>
      <w:r w:rsidR="00BB3979">
        <w:rPr>
          <w:lang w:val="fr-CH"/>
        </w:rPr>
        <w:noBreakHyphen/>
      </w:r>
      <w:r>
        <w:rPr>
          <w:lang w:val="fr-CH"/>
        </w:rPr>
        <w:t>10), qui s'est tenue au Mexique (Guadalajara, 4-22 octobre 2010), il est impératif de réduire les coûts liés à l'impression et à l'</w:t>
      </w:r>
      <w:r w:rsidR="00BB3979">
        <w:rPr>
          <w:lang w:val="fr-CH"/>
        </w:rPr>
        <w:t>expédition</w:t>
      </w:r>
      <w:r>
        <w:rPr>
          <w:lang w:val="fr-CH"/>
        </w:rPr>
        <w:t xml:space="preserve"> de documents papier. Le TSB a déjà </w:t>
      </w:r>
      <w:r w:rsidR="00BB3979">
        <w:rPr>
          <w:lang w:val="fr-CH"/>
        </w:rPr>
        <w:t>déployé</w:t>
      </w:r>
      <w:r>
        <w:rPr>
          <w:lang w:val="fr-CH"/>
        </w:rPr>
        <w:t xml:space="preserve"> des efforts considérables pour développer les </w:t>
      </w:r>
      <w:r w:rsidR="00BB3979">
        <w:rPr>
          <w:lang w:val="fr-CH"/>
        </w:rPr>
        <w:t>méthodes</w:t>
      </w:r>
      <w:r>
        <w:rPr>
          <w:lang w:val="fr-CH"/>
        </w:rPr>
        <w:t xml:space="preserve"> de travail électroniques et je </w:t>
      </w:r>
      <w:r w:rsidR="00BB3979">
        <w:rPr>
          <w:lang w:val="fr-CH"/>
        </w:rPr>
        <w:t>vous encourage</w:t>
      </w:r>
      <w:r>
        <w:rPr>
          <w:lang w:val="fr-CH"/>
        </w:rPr>
        <w:t xml:space="preserve"> à </w:t>
      </w:r>
      <w:r w:rsidR="00BB3979">
        <w:rPr>
          <w:lang w:val="fr-CH"/>
        </w:rPr>
        <w:t>poursuivre dans cette voie</w:t>
      </w:r>
      <w:r>
        <w:rPr>
          <w:lang w:val="fr-CH"/>
        </w:rPr>
        <w:t>.</w:t>
      </w:r>
    </w:p>
    <w:p w:rsidR="00702077" w:rsidRPr="00770C91" w:rsidRDefault="00702077" w:rsidP="00BB3979">
      <w:pPr>
        <w:rPr>
          <w:lang w:val="fr-CH"/>
        </w:rPr>
      </w:pPr>
      <w:r>
        <w:rPr>
          <w:lang w:val="fr-CH"/>
        </w:rPr>
        <w:t xml:space="preserve">A l'heure actuelle, le TSB continue </w:t>
      </w:r>
      <w:r w:rsidR="00BB3979">
        <w:rPr>
          <w:lang w:val="fr-CH"/>
        </w:rPr>
        <w:t>d'expédier</w:t>
      </w:r>
      <w:r>
        <w:rPr>
          <w:lang w:val="fr-CH"/>
        </w:rPr>
        <w:t xml:space="preserve"> par </w:t>
      </w:r>
      <w:r w:rsidR="00BB3979">
        <w:rPr>
          <w:lang w:val="fr-CH"/>
        </w:rPr>
        <w:t>poste</w:t>
      </w:r>
      <w:r>
        <w:rPr>
          <w:lang w:val="fr-CH"/>
        </w:rPr>
        <w:t xml:space="preserve"> des exemplai</w:t>
      </w:r>
      <w:r w:rsidR="00721DF6">
        <w:rPr>
          <w:lang w:val="fr-CH"/>
        </w:rPr>
        <w:t>res papier des circulaires, des </w:t>
      </w:r>
      <w:r>
        <w:rPr>
          <w:lang w:val="fr-CH"/>
        </w:rPr>
        <w:t>lettres collectives et des rapports aux Administrations des Etats Membres, aux Membres du Secteur UIT-T et aux Associés de l'UIT-T qui en ont fait la demande, ou à c</w:t>
      </w:r>
      <w:r w:rsidR="00012D0E">
        <w:rPr>
          <w:lang w:val="fr-CH"/>
        </w:rPr>
        <w:t>eux qui n'ont jamais indiqué au </w:t>
      </w:r>
      <w:r>
        <w:rPr>
          <w:lang w:val="fr-CH"/>
        </w:rPr>
        <w:t>TSB s'ils préféraient des documents imprimés ou des documents en version électronique.</w:t>
      </w:r>
    </w:p>
    <w:p w:rsidR="00702077" w:rsidRDefault="00702077" w:rsidP="00721DF6">
      <w:pPr>
        <w:rPr>
          <w:lang w:val="fr-CH"/>
        </w:rPr>
      </w:pPr>
      <w:r>
        <w:rPr>
          <w:lang w:val="fr-CH"/>
        </w:rPr>
        <w:t xml:space="preserve">Je tiens à vous rappeler que tous les documents de l'UIT-T et du TSB sont disponibles en version électronique sur le </w:t>
      </w:r>
      <w:hyperlink r:id="rId8" w:history="1">
        <w:r w:rsidRPr="009109E4">
          <w:rPr>
            <w:rStyle w:val="Hyperlink"/>
            <w:bCs/>
            <w:lang w:val="fr-CH"/>
          </w:rPr>
          <w:t>site web de l'UIT-T</w:t>
        </w:r>
      </w:hyperlink>
      <w:r>
        <w:rPr>
          <w:lang w:val="fr-CH"/>
        </w:rPr>
        <w:t xml:space="preserve">. Les représentants des Etats Membres de l'UIT, des Membres du Secteur UIT-T et des Associés de l'UIT-T peuvent demander à être titulaires d'un compte TIES, s'ils ne le sont pas déjà, en remplissant le formulaire en ligne d'inscription au système TIES disponible à l'adresse suivante: </w:t>
      </w:r>
      <w:hyperlink r:id="rId9" w:history="1">
        <w:r w:rsidRPr="00770C91">
          <w:rPr>
            <w:rStyle w:val="Hyperlink"/>
            <w:bCs/>
            <w:lang w:val="fr-CH"/>
          </w:rPr>
          <w:t>http://www.itu.int/TIES</w:t>
        </w:r>
      </w:hyperlink>
      <w:r>
        <w:rPr>
          <w:lang w:val="fr-CH"/>
        </w:rPr>
        <w:t xml:space="preserve">. </w:t>
      </w:r>
      <w:r w:rsidR="00BB3979">
        <w:rPr>
          <w:lang w:val="fr-CH"/>
        </w:rPr>
        <w:t>Les utilisateurs de</w:t>
      </w:r>
      <w:r>
        <w:rPr>
          <w:lang w:val="fr-CH"/>
        </w:rPr>
        <w:t xml:space="preserve"> TIES </w:t>
      </w:r>
      <w:r w:rsidR="00BB3979">
        <w:rPr>
          <w:lang w:val="fr-CH"/>
        </w:rPr>
        <w:t xml:space="preserve">peuvent </w:t>
      </w:r>
      <w:r w:rsidR="00721DF6">
        <w:rPr>
          <w:lang w:val="fr-CH"/>
        </w:rPr>
        <w:t>consulter</w:t>
      </w:r>
      <w:r>
        <w:rPr>
          <w:lang w:val="fr-CH"/>
        </w:rPr>
        <w:t xml:space="preserve"> tous les documents </w:t>
      </w:r>
      <w:r w:rsidR="00BB3979">
        <w:rPr>
          <w:lang w:val="fr-CH"/>
        </w:rPr>
        <w:t>auxquels seuls nos</w:t>
      </w:r>
      <w:r>
        <w:rPr>
          <w:lang w:val="fr-CH"/>
        </w:rPr>
        <w:t xml:space="preserve"> membres</w:t>
      </w:r>
      <w:r w:rsidR="00BB3979">
        <w:rPr>
          <w:lang w:val="fr-CH"/>
        </w:rPr>
        <w:t xml:space="preserve"> ont accès</w:t>
      </w:r>
      <w:r>
        <w:rPr>
          <w:lang w:val="fr-CH"/>
        </w:rPr>
        <w:t xml:space="preserve">. </w:t>
      </w:r>
      <w:r w:rsidR="00BB3979">
        <w:rPr>
          <w:lang w:val="fr-CH"/>
        </w:rPr>
        <w:t>Ils</w:t>
      </w:r>
      <w:r>
        <w:rPr>
          <w:lang w:val="fr-CH"/>
        </w:rPr>
        <w:t xml:space="preserve"> peuvent ensuite </w:t>
      </w:r>
      <w:r w:rsidR="00BB3979">
        <w:rPr>
          <w:lang w:val="fr-CH"/>
        </w:rPr>
        <w:t>s'abonner</w:t>
      </w:r>
      <w:r>
        <w:rPr>
          <w:lang w:val="fr-CH"/>
        </w:rPr>
        <w:t xml:space="preserve"> au </w:t>
      </w:r>
      <w:hyperlink r:id="rId10" w:history="1">
        <w:r w:rsidR="00BB3979">
          <w:rPr>
            <w:rStyle w:val="Hyperlink"/>
            <w:lang w:val="fr-CH"/>
          </w:rPr>
          <w:t>Système </w:t>
        </w:r>
        <w:r>
          <w:rPr>
            <w:rStyle w:val="Hyperlink"/>
            <w:lang w:val="fr-CH"/>
          </w:rPr>
          <w:t>de notification par courriel</w:t>
        </w:r>
      </w:hyperlink>
      <w:r>
        <w:rPr>
          <w:lang w:val="fr-CH"/>
        </w:rPr>
        <w:t xml:space="preserve">, qui les </w:t>
      </w:r>
      <w:r w:rsidR="00DA0A6A">
        <w:rPr>
          <w:lang w:val="fr-CH"/>
        </w:rPr>
        <w:t>tient</w:t>
      </w:r>
      <w:r>
        <w:rPr>
          <w:lang w:val="fr-CH"/>
        </w:rPr>
        <w:t xml:space="preserve"> informés à chaque fois qu'un nouveau document </w:t>
      </w:r>
      <w:r w:rsidR="00DA0A6A">
        <w:rPr>
          <w:lang w:val="fr-CH"/>
        </w:rPr>
        <w:t>est</w:t>
      </w:r>
      <w:r>
        <w:rPr>
          <w:lang w:val="fr-CH"/>
        </w:rPr>
        <w:t xml:space="preserve"> publié sur le site web de l'UIT-T. On trouvera des informations détaillées sur le traitement électronique des documents (EDH) et sur les services Internet mis à la disposition des participants aux activités de l'UIT-T à l'adresse suivante: </w:t>
      </w:r>
      <w:hyperlink r:id="rId11" w:history="1">
        <w:r w:rsidRPr="00770C91">
          <w:rPr>
            <w:rStyle w:val="Hyperlink"/>
            <w:lang w:val="fr-CH"/>
          </w:rPr>
          <w:t>www.itu.int/ITU-T/edh</w:t>
        </w:r>
      </w:hyperlink>
      <w:r>
        <w:rPr>
          <w:lang w:val="fr-CH"/>
        </w:rPr>
        <w:t xml:space="preserve">. Veuillez noter que, dès lors que les documents sont disponibles sur le site web de l'UIT-T, ils ne </w:t>
      </w:r>
      <w:r w:rsidR="00DA0A6A">
        <w:rPr>
          <w:lang w:val="fr-CH"/>
        </w:rPr>
        <w:t>sont</w:t>
      </w:r>
      <w:r>
        <w:rPr>
          <w:lang w:val="fr-CH"/>
        </w:rPr>
        <w:t xml:space="preserve"> pas envoyés par courriel.</w:t>
      </w:r>
    </w:p>
    <w:p w:rsidR="00702077" w:rsidRDefault="00702077" w:rsidP="009B5DCF">
      <w:pPr>
        <w:rPr>
          <w:b/>
          <w:lang w:val="fr-CH"/>
        </w:rPr>
      </w:pPr>
      <w:r>
        <w:rPr>
          <w:lang w:val="fr-CH"/>
        </w:rPr>
        <w:t>La présente Circulaire s'adresse spécifiquement aux Administrations des Etats Membres, au</w:t>
      </w:r>
      <w:r w:rsidR="00721DF6">
        <w:rPr>
          <w:lang w:val="fr-CH"/>
        </w:rPr>
        <w:t>x</w:t>
      </w:r>
      <w:r>
        <w:rPr>
          <w:lang w:val="fr-CH"/>
        </w:rPr>
        <w:t xml:space="preserve"> Membres du Secteur UIT-T et aux Associés de l'UIT-T qui continuent de recevoir des exemplaires papier des documents de l'UIT-T et du TSB. Je vous </w:t>
      </w:r>
      <w:r w:rsidR="00DA0A6A">
        <w:rPr>
          <w:lang w:val="fr-CH"/>
        </w:rPr>
        <w:t xml:space="preserve">prie de bien vouloir </w:t>
      </w:r>
      <w:r w:rsidR="000953D6">
        <w:rPr>
          <w:lang w:val="fr-CH"/>
        </w:rPr>
        <w:t xml:space="preserve">reconsidérer votre </w:t>
      </w:r>
      <w:r w:rsidR="009B5DCF">
        <w:rPr>
          <w:lang w:val="fr-CH"/>
        </w:rPr>
        <w:t>choix et</w:t>
      </w:r>
      <w:r w:rsidR="00DA0A6A">
        <w:rPr>
          <w:b/>
          <w:lang w:val="fr-CH"/>
        </w:rPr>
        <w:t xml:space="preserve"> nous signaler</w:t>
      </w:r>
      <w:r>
        <w:rPr>
          <w:b/>
          <w:lang w:val="fr-CH"/>
        </w:rPr>
        <w:t xml:space="preserve"> si vous souhaitez </w:t>
      </w:r>
      <w:r w:rsidR="00DA0A6A">
        <w:rPr>
          <w:b/>
          <w:lang w:val="fr-CH"/>
        </w:rPr>
        <w:t>continuer à</w:t>
      </w:r>
      <w:r>
        <w:rPr>
          <w:b/>
          <w:lang w:val="fr-CH"/>
        </w:rPr>
        <w:t xml:space="preserve"> recevoir des exemplaires papier ou si vous acceptez de télécharger les documents sur le site web de l'UIT-T.</w:t>
      </w:r>
    </w:p>
    <w:p w:rsidR="00702077" w:rsidRPr="00770C91" w:rsidRDefault="00702077" w:rsidP="00012D0E">
      <w:pPr>
        <w:keepNext/>
        <w:keepLines/>
        <w:rPr>
          <w:bCs/>
          <w:lang w:val="fr-CH"/>
        </w:rPr>
      </w:pPr>
      <w:r w:rsidRPr="00FA2D20">
        <w:rPr>
          <w:lang w:val="fr-CH"/>
        </w:rPr>
        <w:lastRenderedPageBreak/>
        <w:t>Vous pouvez faire parvenir votre réponse au TSB</w:t>
      </w:r>
      <w:r w:rsidR="00DA0A6A">
        <w:rPr>
          <w:lang w:val="fr-CH"/>
        </w:rPr>
        <w:t>,</w:t>
      </w:r>
      <w:r w:rsidRPr="00FA2D20">
        <w:rPr>
          <w:lang w:val="fr-CH"/>
        </w:rPr>
        <w:t xml:space="preserve"> soit par fax (</w:t>
      </w:r>
      <w:r w:rsidRPr="00770C91">
        <w:rPr>
          <w:bCs/>
          <w:lang w:val="fr-CH"/>
        </w:rPr>
        <w:t>+41 22 730 5853</w:t>
      </w:r>
      <w:r w:rsidRPr="00FA2D20">
        <w:rPr>
          <w:lang w:val="fr-CH"/>
        </w:rPr>
        <w:t xml:space="preserve">), soit par </w:t>
      </w:r>
      <w:r>
        <w:rPr>
          <w:lang w:val="fr-CH"/>
        </w:rPr>
        <w:t>courriel</w:t>
      </w:r>
      <w:r w:rsidRPr="00FA2D20">
        <w:rPr>
          <w:lang w:val="fr-CH"/>
        </w:rPr>
        <w:t xml:space="preserve"> à l'adresse</w:t>
      </w:r>
      <w:r>
        <w:rPr>
          <w:lang w:val="fr-CH"/>
        </w:rPr>
        <w:t xml:space="preserve"> </w:t>
      </w:r>
      <w:hyperlink r:id="rId12" w:history="1">
        <w:r w:rsidRPr="00770C91">
          <w:rPr>
            <w:rStyle w:val="Hyperlink"/>
            <w:bCs/>
            <w:lang w:val="fr-CH"/>
          </w:rPr>
          <w:t>tsbdoc@itu.int</w:t>
        </w:r>
      </w:hyperlink>
      <w:r>
        <w:rPr>
          <w:lang w:val="fr-CH"/>
        </w:rPr>
        <w:t xml:space="preserve">. </w:t>
      </w:r>
      <w:r w:rsidR="00DA0A6A">
        <w:rPr>
          <w:lang w:val="fr-CH"/>
        </w:rPr>
        <w:t>En l'absence de</w:t>
      </w:r>
      <w:r>
        <w:rPr>
          <w:lang w:val="fr-CH"/>
        </w:rPr>
        <w:t xml:space="preserve"> réponse de votre part </w:t>
      </w:r>
      <w:r w:rsidRPr="00FA2D20">
        <w:rPr>
          <w:lang w:val="fr-CH"/>
        </w:rPr>
        <w:t>avant</w:t>
      </w:r>
      <w:r w:rsidRPr="00FA2D20">
        <w:rPr>
          <w:b/>
          <w:bCs/>
          <w:lang w:val="fr-CH"/>
        </w:rPr>
        <w:t xml:space="preserve"> la fin de cette année</w:t>
      </w:r>
      <w:r>
        <w:rPr>
          <w:lang w:val="fr-CH"/>
        </w:rPr>
        <w:t xml:space="preserve">, nous supposerons que </w:t>
      </w:r>
      <w:r w:rsidR="00DA0A6A">
        <w:rPr>
          <w:lang w:val="fr-CH"/>
        </w:rPr>
        <w:t>vous unissez vos efforts aux nôtres pour travailler sur</w:t>
      </w:r>
      <w:r>
        <w:rPr>
          <w:lang w:val="fr-CH"/>
        </w:rPr>
        <w:t xml:space="preserve"> support électronique et </w:t>
      </w:r>
      <w:r w:rsidR="00DA0A6A">
        <w:rPr>
          <w:lang w:val="fr-CH"/>
        </w:rPr>
        <w:t xml:space="preserve">ainsi, réduire les coûts et nous </w:t>
      </w:r>
      <w:r>
        <w:rPr>
          <w:lang w:val="fr-CH"/>
        </w:rPr>
        <w:t xml:space="preserve">cesserons de vous </w:t>
      </w:r>
      <w:r w:rsidR="00DA0A6A">
        <w:rPr>
          <w:lang w:val="fr-CH"/>
        </w:rPr>
        <w:t>expédier</w:t>
      </w:r>
      <w:r>
        <w:rPr>
          <w:lang w:val="fr-CH"/>
        </w:rPr>
        <w:t xml:space="preserve"> des documents imprimés. Dans l'attente de votre réponse, je vous remercie pour votre compréhension.</w:t>
      </w:r>
    </w:p>
    <w:p w:rsidR="00702077" w:rsidRPr="00770C91" w:rsidRDefault="00702077" w:rsidP="00702077">
      <w:pPr>
        <w:spacing w:line="720" w:lineRule="auto"/>
        <w:rPr>
          <w:bCs/>
          <w:lang w:val="fr-CH"/>
        </w:rPr>
      </w:pPr>
      <w:r w:rsidRPr="000E010E">
        <w:rPr>
          <w:lang w:val="fr-CH"/>
        </w:rPr>
        <w:t>Veuillez agréer, Madame, Monsieur, l'assurance de ma considération distinguée.</w:t>
      </w:r>
    </w:p>
    <w:p w:rsidR="00CD042E" w:rsidRDefault="00CD042E" w:rsidP="00CD042E">
      <w:pPr>
        <w:ind w:right="-143"/>
      </w:pPr>
    </w:p>
    <w:p w:rsidR="00CD042E" w:rsidRDefault="00CD042E" w:rsidP="00CD042E">
      <w:pPr>
        <w:ind w:right="-143"/>
      </w:pPr>
    </w:p>
    <w:p w:rsidR="00CD042E" w:rsidRDefault="00CD042E" w:rsidP="00CD042E">
      <w:pPr>
        <w:ind w:right="-143"/>
      </w:pPr>
    </w:p>
    <w:p w:rsidR="00CD042E" w:rsidRDefault="00CD042E" w:rsidP="00CD042E">
      <w:pPr>
        <w:ind w:right="-143"/>
      </w:pPr>
    </w:p>
    <w:p w:rsidR="004B732E" w:rsidRDefault="008C4397" w:rsidP="00CD042E">
      <w:pPr>
        <w:ind w:right="-143"/>
      </w:pPr>
      <w:r w:rsidRPr="00D5327F">
        <w:t>Malcolm Johnson</w:t>
      </w:r>
      <w:r w:rsidR="004B732E">
        <w:br/>
        <w:t>Directeur du Bureau de la</w:t>
      </w:r>
      <w:r w:rsidR="004B732E">
        <w:br/>
        <w:t>normalisation des télécommunications</w:t>
      </w:r>
    </w:p>
    <w:p w:rsidR="004B732E" w:rsidRDefault="004B732E"/>
    <w:sectPr w:rsidR="004B732E" w:rsidSect="005B78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79" w:rsidRDefault="00BB3979">
      <w:r>
        <w:separator/>
      </w:r>
    </w:p>
  </w:endnote>
  <w:endnote w:type="continuationSeparator" w:id="0">
    <w:p w:rsidR="00BB3979" w:rsidRDefault="00BB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97" w:rsidRDefault="006F04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79" w:rsidRPr="000953D6" w:rsidRDefault="006F0497">
    <w:pPr>
      <w:pStyle w:val="Footer"/>
      <w:rPr>
        <w:lang w:val="fr-CH"/>
      </w:rPr>
    </w:pPr>
    <w:r w:rsidRPr="000953D6">
      <w:rPr>
        <w:lang w:val="fr-CH"/>
      </w:rPr>
      <w:t>ITU-T\BUREAU\CIRC\100\150F.DOCX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79" w:rsidRDefault="00BB3979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BB3979" w:rsidRDefault="00BB3979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BB3979" w:rsidRDefault="00BB3979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79" w:rsidRDefault="00BB3979">
      <w:r>
        <w:t>____________________</w:t>
      </w:r>
    </w:p>
  </w:footnote>
  <w:footnote w:type="continuationSeparator" w:id="0">
    <w:p w:rsidR="00BB3979" w:rsidRDefault="00BB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97" w:rsidRDefault="006F04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79" w:rsidRDefault="00BB3979">
    <w:pPr>
      <w:pStyle w:val="Header"/>
    </w:pPr>
    <w:r>
      <w:t xml:space="preserve">- </w:t>
    </w:r>
    <w:fldSimple w:instr="PAGE">
      <w:r w:rsidR="009B5DCF">
        <w:rPr>
          <w:noProof/>
        </w:rPr>
        <w:t>2</w:t>
      </w:r>
    </w:fldSimple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97" w:rsidRDefault="006F04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B3979"/>
    <w:rsid w:val="00012D0E"/>
    <w:rsid w:val="00035B43"/>
    <w:rsid w:val="000465B3"/>
    <w:rsid w:val="000953D6"/>
    <w:rsid w:val="000F1D0A"/>
    <w:rsid w:val="000F5AB0"/>
    <w:rsid w:val="00247949"/>
    <w:rsid w:val="003649F0"/>
    <w:rsid w:val="003B66E8"/>
    <w:rsid w:val="00414B0C"/>
    <w:rsid w:val="00462EF1"/>
    <w:rsid w:val="004B732E"/>
    <w:rsid w:val="004D51F4"/>
    <w:rsid w:val="005136D2"/>
    <w:rsid w:val="005B1DFC"/>
    <w:rsid w:val="005B7885"/>
    <w:rsid w:val="006912CA"/>
    <w:rsid w:val="006A1263"/>
    <w:rsid w:val="006F0497"/>
    <w:rsid w:val="00702077"/>
    <w:rsid w:val="00721DF6"/>
    <w:rsid w:val="00760063"/>
    <w:rsid w:val="0079553B"/>
    <w:rsid w:val="007D7D5B"/>
    <w:rsid w:val="008C4397"/>
    <w:rsid w:val="008D7753"/>
    <w:rsid w:val="008F5CBD"/>
    <w:rsid w:val="00907245"/>
    <w:rsid w:val="009A621B"/>
    <w:rsid w:val="009B5DCF"/>
    <w:rsid w:val="00A44868"/>
    <w:rsid w:val="00A66D7A"/>
    <w:rsid w:val="00AE44B9"/>
    <w:rsid w:val="00B177E6"/>
    <w:rsid w:val="00BB3979"/>
    <w:rsid w:val="00C26F2E"/>
    <w:rsid w:val="00CA0416"/>
    <w:rsid w:val="00CD042E"/>
    <w:rsid w:val="00CE0BD4"/>
    <w:rsid w:val="00DA0A6A"/>
    <w:rsid w:val="00E72AE1"/>
    <w:rsid w:val="00F346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8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B788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788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B788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B788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B788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B788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B788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B788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B788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5B7885"/>
  </w:style>
  <w:style w:type="paragraph" w:styleId="TOC7">
    <w:name w:val="toc 7"/>
    <w:basedOn w:val="TOC3"/>
    <w:semiHidden/>
    <w:rsid w:val="005B7885"/>
  </w:style>
  <w:style w:type="paragraph" w:styleId="TOC6">
    <w:name w:val="toc 6"/>
    <w:basedOn w:val="TOC3"/>
    <w:semiHidden/>
    <w:rsid w:val="005B7885"/>
  </w:style>
  <w:style w:type="paragraph" w:styleId="TOC5">
    <w:name w:val="toc 5"/>
    <w:basedOn w:val="TOC3"/>
    <w:semiHidden/>
    <w:rsid w:val="005B7885"/>
  </w:style>
  <w:style w:type="paragraph" w:styleId="TOC4">
    <w:name w:val="toc 4"/>
    <w:basedOn w:val="TOC3"/>
    <w:semiHidden/>
    <w:rsid w:val="005B7885"/>
  </w:style>
  <w:style w:type="paragraph" w:styleId="TOC3">
    <w:name w:val="toc 3"/>
    <w:basedOn w:val="TOC2"/>
    <w:semiHidden/>
    <w:rsid w:val="005B7885"/>
    <w:pPr>
      <w:spacing w:before="80"/>
    </w:pPr>
  </w:style>
  <w:style w:type="paragraph" w:styleId="TOC2">
    <w:name w:val="toc 2"/>
    <w:basedOn w:val="TOC1"/>
    <w:semiHidden/>
    <w:rsid w:val="005B7885"/>
    <w:pPr>
      <w:spacing w:before="120"/>
    </w:pPr>
  </w:style>
  <w:style w:type="paragraph" w:styleId="TOC1">
    <w:name w:val="toc 1"/>
    <w:basedOn w:val="Normal"/>
    <w:semiHidden/>
    <w:rsid w:val="005B788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B7885"/>
    <w:pPr>
      <w:ind w:left="1698"/>
    </w:pPr>
  </w:style>
  <w:style w:type="paragraph" w:styleId="Index6">
    <w:name w:val="index 6"/>
    <w:basedOn w:val="Normal"/>
    <w:next w:val="Normal"/>
    <w:semiHidden/>
    <w:rsid w:val="005B7885"/>
    <w:pPr>
      <w:ind w:left="1415"/>
    </w:pPr>
  </w:style>
  <w:style w:type="paragraph" w:styleId="Index5">
    <w:name w:val="index 5"/>
    <w:basedOn w:val="Normal"/>
    <w:next w:val="Normal"/>
    <w:semiHidden/>
    <w:rsid w:val="005B7885"/>
    <w:pPr>
      <w:ind w:left="1132"/>
    </w:pPr>
  </w:style>
  <w:style w:type="paragraph" w:styleId="Index4">
    <w:name w:val="index 4"/>
    <w:basedOn w:val="Normal"/>
    <w:next w:val="Normal"/>
    <w:semiHidden/>
    <w:rsid w:val="005B7885"/>
    <w:pPr>
      <w:ind w:left="849"/>
    </w:pPr>
  </w:style>
  <w:style w:type="paragraph" w:styleId="Index3">
    <w:name w:val="index 3"/>
    <w:basedOn w:val="Normal"/>
    <w:next w:val="Normal"/>
    <w:semiHidden/>
    <w:rsid w:val="005B7885"/>
    <w:pPr>
      <w:ind w:left="566"/>
    </w:pPr>
  </w:style>
  <w:style w:type="paragraph" w:styleId="Index2">
    <w:name w:val="index 2"/>
    <w:basedOn w:val="Normal"/>
    <w:next w:val="Normal"/>
    <w:semiHidden/>
    <w:rsid w:val="005B7885"/>
    <w:pPr>
      <w:ind w:left="283"/>
    </w:pPr>
  </w:style>
  <w:style w:type="paragraph" w:styleId="Index1">
    <w:name w:val="index 1"/>
    <w:basedOn w:val="Normal"/>
    <w:next w:val="Normal"/>
    <w:semiHidden/>
    <w:rsid w:val="005B7885"/>
  </w:style>
  <w:style w:type="character" w:styleId="LineNumber">
    <w:name w:val="line number"/>
    <w:basedOn w:val="DefaultParagraphFont"/>
    <w:rsid w:val="005B7885"/>
  </w:style>
  <w:style w:type="paragraph" w:styleId="IndexHeading">
    <w:name w:val="index heading"/>
    <w:basedOn w:val="Normal"/>
    <w:next w:val="Index1"/>
    <w:semiHidden/>
    <w:rsid w:val="005B7885"/>
  </w:style>
  <w:style w:type="paragraph" w:styleId="Footer">
    <w:name w:val="footer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5B78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5B7885"/>
    <w:rPr>
      <w:position w:val="6"/>
      <w:sz w:val="16"/>
    </w:rPr>
  </w:style>
  <w:style w:type="paragraph" w:styleId="FootnoteText">
    <w:name w:val="footnote text"/>
    <w:basedOn w:val="Normal"/>
    <w:semiHidden/>
    <w:rsid w:val="005B788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B7885"/>
    <w:pPr>
      <w:ind w:left="794"/>
    </w:pPr>
  </w:style>
  <w:style w:type="paragraph" w:customStyle="1" w:styleId="TableLegend">
    <w:name w:val="Table_Legend"/>
    <w:basedOn w:val="TableText"/>
    <w:rsid w:val="005B7885"/>
    <w:pPr>
      <w:spacing w:before="120"/>
    </w:pPr>
  </w:style>
  <w:style w:type="paragraph" w:customStyle="1" w:styleId="TableText">
    <w:name w:val="Table_Text"/>
    <w:basedOn w:val="Normal"/>
    <w:rsid w:val="005B78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B788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B788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B7885"/>
    <w:pPr>
      <w:spacing w:before="80"/>
      <w:ind w:left="794" w:hanging="794"/>
    </w:pPr>
  </w:style>
  <w:style w:type="paragraph" w:customStyle="1" w:styleId="enumlev2">
    <w:name w:val="enumlev2"/>
    <w:basedOn w:val="enumlev1"/>
    <w:rsid w:val="005B7885"/>
    <w:pPr>
      <w:ind w:left="1191" w:hanging="397"/>
    </w:pPr>
  </w:style>
  <w:style w:type="paragraph" w:customStyle="1" w:styleId="enumlev3">
    <w:name w:val="enumlev3"/>
    <w:basedOn w:val="enumlev2"/>
    <w:rsid w:val="005B7885"/>
    <w:pPr>
      <w:ind w:left="1588"/>
    </w:pPr>
  </w:style>
  <w:style w:type="paragraph" w:customStyle="1" w:styleId="TableHead">
    <w:name w:val="Table_Head"/>
    <w:basedOn w:val="TableText"/>
    <w:rsid w:val="005B788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B78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B7885"/>
    <w:pPr>
      <w:spacing w:before="480"/>
    </w:pPr>
  </w:style>
  <w:style w:type="paragraph" w:customStyle="1" w:styleId="FigureTitle">
    <w:name w:val="Figure_Title"/>
    <w:basedOn w:val="TableTitle"/>
    <w:next w:val="Normal"/>
    <w:rsid w:val="005B788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B788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B788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B788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B7885"/>
  </w:style>
  <w:style w:type="paragraph" w:customStyle="1" w:styleId="AppendixRef">
    <w:name w:val="Appendix_Ref"/>
    <w:basedOn w:val="AnnexRef"/>
    <w:next w:val="AppendixTitle"/>
    <w:rsid w:val="005B7885"/>
  </w:style>
  <w:style w:type="paragraph" w:customStyle="1" w:styleId="AppendixTitle">
    <w:name w:val="Appendix_Title"/>
    <w:basedOn w:val="AnnexTitle"/>
    <w:next w:val="Normal"/>
    <w:rsid w:val="005B7885"/>
  </w:style>
  <w:style w:type="paragraph" w:customStyle="1" w:styleId="RefTitle">
    <w:name w:val="Ref_Title"/>
    <w:basedOn w:val="Normal"/>
    <w:next w:val="RefText"/>
    <w:rsid w:val="005B788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B7885"/>
    <w:pPr>
      <w:ind w:left="794" w:hanging="794"/>
    </w:pPr>
  </w:style>
  <w:style w:type="paragraph" w:customStyle="1" w:styleId="Equation">
    <w:name w:val="Equation"/>
    <w:basedOn w:val="Normal"/>
    <w:rsid w:val="005B788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B788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B7885"/>
    <w:pPr>
      <w:spacing w:before="320"/>
    </w:pPr>
  </w:style>
  <w:style w:type="paragraph" w:customStyle="1" w:styleId="call">
    <w:name w:val="call"/>
    <w:basedOn w:val="Normal"/>
    <w:next w:val="Normal"/>
    <w:rsid w:val="005B788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B788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B788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5B7885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5B7885"/>
    <w:pPr>
      <w:spacing w:after="120"/>
    </w:pPr>
  </w:style>
  <w:style w:type="paragraph" w:customStyle="1" w:styleId="EquationLegend">
    <w:name w:val="Equation_Legend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5B7885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5B78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5B7885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5B7885"/>
    <w:pPr>
      <w:tabs>
        <w:tab w:val="left" w:pos="397"/>
      </w:tabs>
    </w:pPr>
  </w:style>
  <w:style w:type="paragraph" w:styleId="TOC9">
    <w:name w:val="toc 9"/>
    <w:basedOn w:val="TOC3"/>
    <w:semiHidden/>
    <w:rsid w:val="005B7885"/>
  </w:style>
  <w:style w:type="paragraph" w:customStyle="1" w:styleId="headingb">
    <w:name w:val="heading_b"/>
    <w:basedOn w:val="Heading3"/>
    <w:next w:val="Normal"/>
    <w:rsid w:val="005B788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5B7885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6F04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ndex-f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doc@itu.int" TargetMode="External"/><Relationship Id="rId12" Type="http://schemas.openxmlformats.org/officeDocument/2006/relationships/hyperlink" Target="mailto:tsbdoc@itu.in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ITU-T/ed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itu.int/tiesutils/asp/notify.as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tu.int/TIE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PF_TSBcirc2</Template>
  <TotalTime>7</TotalTime>
  <Pages>2</Pages>
  <Words>529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3714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</dc:creator>
  <cp:keywords/>
  <dc:description/>
  <cp:lastModifiedBy>schiffer</cp:lastModifiedBy>
  <cp:revision>4</cp:revision>
  <cp:lastPrinted>2010-11-18T15:36:00Z</cp:lastPrinted>
  <dcterms:created xsi:type="dcterms:W3CDTF">2010-11-18T10:11:00Z</dcterms:created>
  <dcterms:modified xsi:type="dcterms:W3CDTF">2010-11-18T15:38:00Z</dcterms:modified>
</cp:coreProperties>
</file>