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780"/>
      </w:tblGrid>
      <w:tr w:rsidR="002B5642" w:rsidRPr="00FC68B7" w:rsidTr="00AB2772">
        <w:trPr>
          <w:cantSplit/>
        </w:trPr>
        <w:tc>
          <w:tcPr>
            <w:tcW w:w="6426" w:type="dxa"/>
            <w:vAlign w:val="center"/>
          </w:tcPr>
          <w:p w:rsidR="002B5642" w:rsidRPr="00FC68B7" w:rsidRDefault="002B5642" w:rsidP="00AB277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  <w:lang w:val="es-ES"/>
              </w:rPr>
            </w:pPr>
            <w:r w:rsidRPr="00FC68B7">
              <w:rPr>
                <w:rFonts w:ascii="Verdana" w:hAnsi="Verdana"/>
                <w:b/>
                <w:bCs/>
                <w:sz w:val="26"/>
                <w:szCs w:val="26"/>
                <w:lang w:val="es-ES"/>
              </w:rPr>
              <w:t>Oficina de Normalización</w:t>
            </w:r>
            <w:r w:rsidRPr="00FC68B7">
              <w:rPr>
                <w:rFonts w:ascii="Verdana" w:hAnsi="Verdana"/>
                <w:b/>
                <w:bCs/>
                <w:sz w:val="26"/>
                <w:szCs w:val="26"/>
                <w:lang w:val="es-ES"/>
              </w:rPr>
              <w:br/>
              <w:t>de las Telecomunicaciones</w:t>
            </w:r>
          </w:p>
        </w:tc>
        <w:tc>
          <w:tcPr>
            <w:tcW w:w="3780" w:type="dxa"/>
            <w:vAlign w:val="center"/>
          </w:tcPr>
          <w:p w:rsidR="002B5642" w:rsidRPr="00FC68B7" w:rsidRDefault="00FB297D" w:rsidP="00AB277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es-ES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>
                  <wp:extent cx="1771650" cy="695325"/>
                  <wp:effectExtent l="19050" t="0" r="0" b="0"/>
                  <wp:docPr id="1" name="Picture 1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642" w:rsidRPr="00FC68B7" w:rsidTr="00AB2772">
        <w:trPr>
          <w:cantSplit/>
        </w:trPr>
        <w:tc>
          <w:tcPr>
            <w:tcW w:w="6426" w:type="dxa"/>
            <w:vAlign w:val="center"/>
          </w:tcPr>
          <w:p w:rsidR="002B5642" w:rsidRPr="00FC68B7" w:rsidRDefault="002B5642" w:rsidP="00AB277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val="es-ES"/>
              </w:rPr>
            </w:pPr>
          </w:p>
        </w:tc>
        <w:tc>
          <w:tcPr>
            <w:tcW w:w="3780" w:type="dxa"/>
            <w:vAlign w:val="center"/>
          </w:tcPr>
          <w:p w:rsidR="002B5642" w:rsidRPr="00FC68B7" w:rsidRDefault="002B5642" w:rsidP="00AB277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s-ES"/>
              </w:rPr>
            </w:pPr>
          </w:p>
        </w:tc>
      </w:tr>
    </w:tbl>
    <w:p w:rsidR="002B5642" w:rsidRPr="00FC68B7" w:rsidRDefault="002B5642" w:rsidP="002B5642">
      <w:pPr>
        <w:tabs>
          <w:tab w:val="left" w:pos="5755"/>
        </w:tabs>
        <w:spacing w:before="0"/>
        <w:rPr>
          <w:lang w:val="es-ES"/>
        </w:rPr>
      </w:pPr>
    </w:p>
    <w:p w:rsidR="002B5642" w:rsidRPr="00FC68B7" w:rsidRDefault="002B5642" w:rsidP="002B5642">
      <w:pPr>
        <w:tabs>
          <w:tab w:val="clear" w:pos="794"/>
          <w:tab w:val="clear" w:pos="1191"/>
          <w:tab w:val="clear" w:pos="1588"/>
          <w:tab w:val="clear" w:pos="1985"/>
          <w:tab w:val="left" w:pos="5670"/>
        </w:tabs>
        <w:spacing w:before="0"/>
        <w:rPr>
          <w:lang w:val="es-ES"/>
        </w:rPr>
      </w:pPr>
      <w:r w:rsidRPr="00FC68B7">
        <w:rPr>
          <w:lang w:val="es-ES"/>
        </w:rPr>
        <w:tab/>
      </w:r>
      <w:bookmarkStart w:id="1" w:name="Date"/>
      <w:bookmarkEnd w:id="1"/>
      <w:r w:rsidRPr="00FC68B7">
        <w:rPr>
          <w:lang w:val="es-ES"/>
        </w:rPr>
        <w:t xml:space="preserve">Ginebra, </w:t>
      </w:r>
      <w:r w:rsidR="00FC68B7">
        <w:rPr>
          <w:lang w:val="es-ES"/>
        </w:rPr>
        <w:t>25 de noviembre de 2010</w:t>
      </w:r>
    </w:p>
    <w:p w:rsidR="002B5642" w:rsidRPr="00FC68B7" w:rsidRDefault="002B5642" w:rsidP="002B5642">
      <w:pPr>
        <w:tabs>
          <w:tab w:val="left" w:pos="5755"/>
        </w:tabs>
        <w:spacing w:before="0"/>
        <w:rPr>
          <w:lang w:val="es-ES"/>
        </w:rPr>
      </w:pPr>
    </w:p>
    <w:p w:rsidR="002B5642" w:rsidRPr="00FC68B7" w:rsidRDefault="002B5642" w:rsidP="002B5642">
      <w:pPr>
        <w:tabs>
          <w:tab w:val="left" w:pos="5755"/>
        </w:tabs>
        <w:spacing w:before="0"/>
        <w:rPr>
          <w:lang w:val="es-ES"/>
        </w:rPr>
      </w:pPr>
    </w:p>
    <w:p w:rsidR="002B5642" w:rsidRPr="00FC68B7" w:rsidRDefault="002B5642" w:rsidP="002B5642">
      <w:pPr>
        <w:tabs>
          <w:tab w:val="left" w:pos="5755"/>
        </w:tabs>
        <w:spacing w:before="0"/>
        <w:rPr>
          <w:lang w:val="es-ES"/>
        </w:rPr>
        <w:sectPr w:rsidR="002B5642" w:rsidRPr="00FC68B7" w:rsidSect="00AB2772">
          <w:footerReference w:type="default" r:id="rId8"/>
          <w:footerReference w:type="first" r:id="rId9"/>
          <w:pgSz w:w="11907" w:h="16840" w:code="9"/>
          <w:pgMar w:top="1418" w:right="1134" w:bottom="1418" w:left="1134" w:header="720" w:footer="567" w:gutter="0"/>
          <w:paperSrc w:first="15" w:other="15"/>
          <w:cols w:space="720"/>
        </w:sectPr>
      </w:pPr>
    </w:p>
    <w:tbl>
      <w:tblPr>
        <w:tblW w:w="4528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3535"/>
      </w:tblGrid>
      <w:tr w:rsidR="002B5642" w:rsidRPr="00FC68B7" w:rsidTr="002B5642">
        <w:trPr>
          <w:trHeight w:val="340"/>
        </w:trPr>
        <w:tc>
          <w:tcPr>
            <w:tcW w:w="993" w:type="dxa"/>
          </w:tcPr>
          <w:p w:rsidR="002B5642" w:rsidRPr="00FC68B7" w:rsidRDefault="002B5642" w:rsidP="00AB2772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color w:val="FFFFFF"/>
                <w:sz w:val="20"/>
                <w:lang w:val="es-ES"/>
              </w:rPr>
            </w:pPr>
            <w:bookmarkStart w:id="2" w:name="RefData"/>
            <w:bookmarkEnd w:id="2"/>
            <w:r w:rsidRPr="00FC68B7">
              <w:rPr>
                <w:rFonts w:ascii="Futura Lt BT" w:hAnsi="Futura Lt BT"/>
                <w:sz w:val="20"/>
                <w:lang w:val="es-ES"/>
              </w:rPr>
              <w:lastRenderedPageBreak/>
              <w:t>Ref.:</w:t>
            </w:r>
          </w:p>
        </w:tc>
        <w:tc>
          <w:tcPr>
            <w:tcW w:w="3535" w:type="dxa"/>
          </w:tcPr>
          <w:p w:rsidR="002B5642" w:rsidRPr="00FC68B7" w:rsidRDefault="002B5642" w:rsidP="00FC68B7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  <w:r w:rsidRPr="00FC68B7">
              <w:rPr>
                <w:b/>
                <w:lang w:val="es-ES"/>
              </w:rPr>
              <w:t xml:space="preserve">Circular TSB </w:t>
            </w:r>
            <w:r w:rsidR="00FC68B7">
              <w:rPr>
                <w:b/>
                <w:lang w:val="es-ES"/>
              </w:rPr>
              <w:t>152</w:t>
            </w:r>
            <w:r w:rsidRPr="00FC68B7">
              <w:rPr>
                <w:lang w:val="es-ES"/>
              </w:rPr>
              <w:br/>
              <w:t xml:space="preserve">COM </w:t>
            </w:r>
            <w:r w:rsidR="00FC68B7">
              <w:rPr>
                <w:lang w:val="es-ES"/>
              </w:rPr>
              <w:t>2</w:t>
            </w:r>
            <w:r w:rsidRPr="00FC68B7">
              <w:rPr>
                <w:lang w:val="es-ES"/>
              </w:rPr>
              <w:t>/</w:t>
            </w:r>
            <w:r w:rsidR="00FC68B7">
              <w:rPr>
                <w:lang w:val="es-ES"/>
              </w:rPr>
              <w:t>RH</w:t>
            </w:r>
          </w:p>
        </w:tc>
      </w:tr>
      <w:tr w:rsidR="002B5642" w:rsidRPr="00FC68B7" w:rsidTr="002B5642">
        <w:trPr>
          <w:trHeight w:hRule="exact" w:val="340"/>
        </w:trPr>
        <w:tc>
          <w:tcPr>
            <w:tcW w:w="993" w:type="dxa"/>
          </w:tcPr>
          <w:p w:rsidR="002B5642" w:rsidRPr="00FC68B7" w:rsidRDefault="002B5642" w:rsidP="00AB2772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color w:val="FFFFFF"/>
                <w:sz w:val="20"/>
                <w:lang w:val="es-ES"/>
              </w:rPr>
            </w:pPr>
          </w:p>
        </w:tc>
        <w:tc>
          <w:tcPr>
            <w:tcW w:w="3535" w:type="dxa"/>
          </w:tcPr>
          <w:p w:rsidR="002B5642" w:rsidRPr="00FC68B7" w:rsidRDefault="002B5642" w:rsidP="00AB2772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</w:p>
        </w:tc>
      </w:tr>
      <w:tr w:rsidR="002B5642" w:rsidRPr="00FC68B7" w:rsidTr="002B5642">
        <w:trPr>
          <w:trHeight w:hRule="exact" w:val="340"/>
        </w:trPr>
        <w:tc>
          <w:tcPr>
            <w:tcW w:w="993" w:type="dxa"/>
          </w:tcPr>
          <w:p w:rsidR="002B5642" w:rsidRPr="00FC68B7" w:rsidRDefault="002B5642" w:rsidP="00AB2772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color w:val="FFFFFF"/>
                <w:sz w:val="20"/>
                <w:lang w:val="es-ES"/>
              </w:rPr>
            </w:pPr>
            <w:r w:rsidRPr="00FC68B7">
              <w:rPr>
                <w:rFonts w:ascii="Futura Lt BT" w:hAnsi="Futura Lt BT"/>
                <w:sz w:val="20"/>
                <w:lang w:val="es-ES"/>
              </w:rPr>
              <w:t>Tel.:</w:t>
            </w:r>
          </w:p>
        </w:tc>
        <w:tc>
          <w:tcPr>
            <w:tcW w:w="3535" w:type="dxa"/>
          </w:tcPr>
          <w:p w:rsidR="002B5642" w:rsidRPr="00FC68B7" w:rsidRDefault="002B5642" w:rsidP="00AB2772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  <w:r w:rsidRPr="00FC68B7">
              <w:rPr>
                <w:lang w:val="es-ES"/>
              </w:rPr>
              <w:t xml:space="preserve">+41 22 730 </w:t>
            </w:r>
            <w:r w:rsidR="00FC68B7">
              <w:rPr>
                <w:lang w:val="es-ES"/>
              </w:rPr>
              <w:t>5887</w:t>
            </w:r>
          </w:p>
        </w:tc>
      </w:tr>
      <w:tr w:rsidR="002B5642" w:rsidRPr="00FC68B7" w:rsidTr="002B5642">
        <w:trPr>
          <w:trHeight w:hRule="exact" w:val="340"/>
        </w:trPr>
        <w:tc>
          <w:tcPr>
            <w:tcW w:w="993" w:type="dxa"/>
          </w:tcPr>
          <w:p w:rsidR="002B5642" w:rsidRPr="00FC68B7" w:rsidRDefault="002B5642" w:rsidP="00AB2772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color w:val="FFFFFF"/>
                <w:sz w:val="20"/>
                <w:lang w:val="es-ES"/>
              </w:rPr>
            </w:pPr>
            <w:r w:rsidRPr="00FC68B7">
              <w:rPr>
                <w:rFonts w:ascii="Futura Lt BT" w:hAnsi="Futura Lt BT"/>
                <w:sz w:val="20"/>
                <w:lang w:val="es-ES"/>
              </w:rPr>
              <w:t>Fax:</w:t>
            </w:r>
          </w:p>
        </w:tc>
        <w:tc>
          <w:tcPr>
            <w:tcW w:w="3535" w:type="dxa"/>
          </w:tcPr>
          <w:p w:rsidR="002B5642" w:rsidRPr="00FC68B7" w:rsidRDefault="002B5642" w:rsidP="00AB2772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  <w:r w:rsidRPr="00FC68B7">
              <w:rPr>
                <w:lang w:val="es-ES"/>
              </w:rPr>
              <w:t>+41 22 730 5853</w:t>
            </w:r>
          </w:p>
        </w:tc>
      </w:tr>
      <w:tr w:rsidR="002B5642" w:rsidRPr="00FC68B7" w:rsidTr="002B5642">
        <w:trPr>
          <w:trHeight w:hRule="exact" w:val="560"/>
        </w:trPr>
        <w:tc>
          <w:tcPr>
            <w:tcW w:w="993" w:type="dxa"/>
          </w:tcPr>
          <w:p w:rsidR="002B5642" w:rsidRPr="00FC68B7" w:rsidRDefault="002B5642" w:rsidP="00AB2772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sz w:val="20"/>
                <w:lang w:val="es-ES"/>
              </w:rPr>
            </w:pPr>
            <w:r w:rsidRPr="00FC68B7">
              <w:rPr>
                <w:rFonts w:ascii="Futura Lt BT" w:hAnsi="Futura Lt BT"/>
                <w:sz w:val="20"/>
                <w:lang w:val="es-ES"/>
              </w:rPr>
              <w:t>Correo-e:</w:t>
            </w:r>
          </w:p>
        </w:tc>
        <w:tc>
          <w:tcPr>
            <w:tcW w:w="3535" w:type="dxa"/>
          </w:tcPr>
          <w:p w:rsidR="002B5642" w:rsidRPr="00FC68B7" w:rsidRDefault="005267E4" w:rsidP="00FC68B7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  <w:hyperlink r:id="rId10" w:history="1">
              <w:r w:rsidR="00FC68B7" w:rsidRPr="00FD7A42">
                <w:rPr>
                  <w:rStyle w:val="Hyperlink"/>
                  <w:lang w:val="es-ES"/>
                </w:rPr>
                <w:t>tsbsg2@itu.int</w:t>
              </w:r>
            </w:hyperlink>
            <w:r w:rsidR="002B5642" w:rsidRPr="00FC68B7">
              <w:rPr>
                <w:lang w:val="es-ES"/>
              </w:rPr>
              <w:t xml:space="preserve"> </w:t>
            </w:r>
          </w:p>
        </w:tc>
      </w:tr>
    </w:tbl>
    <w:p w:rsidR="002B5642" w:rsidRPr="00FC68B7" w:rsidRDefault="002B5642" w:rsidP="002B5642">
      <w:pPr>
        <w:spacing w:before="0"/>
        <w:rPr>
          <w:sz w:val="4"/>
          <w:lang w:val="es-ES"/>
        </w:rPr>
      </w:pPr>
      <w:r w:rsidRPr="00FC68B7">
        <w:rPr>
          <w:sz w:val="4"/>
          <w:lang w:val="es-ES"/>
        </w:rPr>
        <w:br w:type="column"/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/>
      </w:tblPr>
      <w:tblGrid>
        <w:gridCol w:w="4690"/>
      </w:tblGrid>
      <w:tr w:rsidR="002B5642" w:rsidRPr="00FC68B7" w:rsidTr="002B5642">
        <w:trPr>
          <w:trHeight w:val="1588"/>
          <w:jc w:val="right"/>
        </w:trPr>
        <w:tc>
          <w:tcPr>
            <w:tcW w:w="4690" w:type="dxa"/>
          </w:tcPr>
          <w:p w:rsidR="002B5642" w:rsidRPr="00FC68B7" w:rsidRDefault="002B5642" w:rsidP="002B564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0"/>
              </w:tabs>
              <w:spacing w:before="0"/>
              <w:ind w:left="240" w:hanging="142"/>
              <w:rPr>
                <w:lang w:val="es-ES"/>
              </w:rPr>
            </w:pPr>
            <w:bookmarkStart w:id="3" w:name="Addressee"/>
            <w:bookmarkEnd w:id="3"/>
            <w:r w:rsidRPr="00FC68B7">
              <w:rPr>
                <w:lang w:val="es-ES"/>
              </w:rPr>
              <w:t>-</w:t>
            </w:r>
            <w:r w:rsidRPr="00FC68B7">
              <w:rPr>
                <w:lang w:val="es-ES"/>
              </w:rPr>
              <w:tab/>
              <w:t>A las Administraciones de los Estados Miembros de la Unión</w:t>
            </w:r>
          </w:p>
          <w:p w:rsidR="002B5642" w:rsidRPr="00FC68B7" w:rsidRDefault="002B5642" w:rsidP="002B564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0"/>
              </w:tabs>
              <w:spacing w:before="0"/>
              <w:ind w:left="98"/>
              <w:rPr>
                <w:lang w:val="es-ES"/>
              </w:rPr>
            </w:pPr>
          </w:p>
          <w:p w:rsidR="002B5642" w:rsidRPr="00FC68B7" w:rsidRDefault="002B5642" w:rsidP="002B564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0"/>
              </w:tabs>
              <w:spacing w:before="0"/>
              <w:ind w:left="98"/>
              <w:rPr>
                <w:lang w:val="es-ES"/>
              </w:rPr>
            </w:pPr>
            <w:r w:rsidRPr="00FC68B7">
              <w:rPr>
                <w:b/>
                <w:lang w:val="es-ES"/>
              </w:rPr>
              <w:t>Copia:</w:t>
            </w:r>
          </w:p>
          <w:p w:rsidR="002B5642" w:rsidRPr="00FC68B7" w:rsidRDefault="002B5642" w:rsidP="002B564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0"/>
              </w:tabs>
              <w:spacing w:before="0"/>
              <w:ind w:left="98"/>
              <w:rPr>
                <w:lang w:val="es-ES"/>
              </w:rPr>
            </w:pPr>
            <w:r w:rsidRPr="00FC68B7">
              <w:rPr>
                <w:lang w:val="es-ES"/>
              </w:rPr>
              <w:t>-</w:t>
            </w:r>
            <w:r w:rsidRPr="00FC68B7">
              <w:rPr>
                <w:lang w:val="es-ES"/>
              </w:rPr>
              <w:tab/>
              <w:t>A los Miembros del Sector UIT-T;</w:t>
            </w:r>
          </w:p>
          <w:p w:rsidR="002B5642" w:rsidRPr="00FC68B7" w:rsidRDefault="002B5642" w:rsidP="002B564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0"/>
              </w:tabs>
              <w:spacing w:before="0"/>
              <w:ind w:left="98"/>
              <w:rPr>
                <w:lang w:val="es-ES"/>
              </w:rPr>
            </w:pPr>
            <w:r w:rsidRPr="00FC68B7">
              <w:rPr>
                <w:lang w:val="es-ES"/>
              </w:rPr>
              <w:t>-</w:t>
            </w:r>
            <w:r w:rsidRPr="00FC68B7">
              <w:rPr>
                <w:lang w:val="es-ES"/>
              </w:rPr>
              <w:tab/>
              <w:t>A los Asociados del UIT-T;</w:t>
            </w:r>
          </w:p>
          <w:p w:rsidR="002B5642" w:rsidRPr="00FC68B7" w:rsidRDefault="002B5642" w:rsidP="00675C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0"/>
              </w:tabs>
              <w:spacing w:before="0"/>
              <w:ind w:left="240" w:hanging="142"/>
              <w:rPr>
                <w:lang w:val="es-ES"/>
              </w:rPr>
            </w:pPr>
            <w:r w:rsidRPr="00FC68B7">
              <w:rPr>
                <w:lang w:val="es-ES"/>
              </w:rPr>
              <w:t>-</w:t>
            </w:r>
            <w:r w:rsidRPr="00FC68B7">
              <w:rPr>
                <w:lang w:val="es-ES"/>
              </w:rPr>
              <w:tab/>
              <w:t>A</w:t>
            </w:r>
            <w:r w:rsidR="00675CD1">
              <w:rPr>
                <w:lang w:val="es-ES"/>
              </w:rPr>
              <w:t xml:space="preserve"> la </w:t>
            </w:r>
            <w:r w:rsidRPr="00FC68B7">
              <w:rPr>
                <w:lang w:val="es-ES"/>
              </w:rPr>
              <w:t>President</w:t>
            </w:r>
            <w:r w:rsidR="00675CD1">
              <w:rPr>
                <w:lang w:val="es-ES"/>
              </w:rPr>
              <w:t>a</w:t>
            </w:r>
            <w:r w:rsidRPr="00FC68B7">
              <w:rPr>
                <w:lang w:val="es-ES"/>
              </w:rPr>
              <w:t xml:space="preserve"> y a los Vicepresidentes</w:t>
            </w:r>
            <w:r w:rsidRPr="00FC68B7">
              <w:rPr>
                <w:lang w:val="es-ES"/>
              </w:rPr>
              <w:br/>
              <w:t xml:space="preserve">de la Comisión de Estudio </w:t>
            </w:r>
            <w:r w:rsidR="00FC68B7">
              <w:rPr>
                <w:lang w:val="es-ES"/>
              </w:rPr>
              <w:t>2</w:t>
            </w:r>
            <w:r w:rsidRPr="00FC68B7">
              <w:rPr>
                <w:lang w:val="es-ES"/>
              </w:rPr>
              <w:t>;</w:t>
            </w:r>
          </w:p>
          <w:p w:rsidR="002B5642" w:rsidRPr="00FC68B7" w:rsidRDefault="002B5642" w:rsidP="002B564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0"/>
              </w:tabs>
              <w:spacing w:before="0"/>
              <w:ind w:left="240" w:hanging="142"/>
              <w:rPr>
                <w:lang w:val="es-ES"/>
              </w:rPr>
            </w:pPr>
            <w:r w:rsidRPr="00FC68B7">
              <w:rPr>
                <w:lang w:val="es-ES"/>
              </w:rPr>
              <w:t>-</w:t>
            </w:r>
            <w:r w:rsidRPr="00FC68B7">
              <w:rPr>
                <w:lang w:val="es-ES"/>
              </w:rPr>
              <w:tab/>
              <w:t xml:space="preserve">Al Director de la Oficina de Desarrollo </w:t>
            </w:r>
            <w:r w:rsidRPr="00FC68B7">
              <w:rPr>
                <w:lang w:val="es-ES"/>
              </w:rPr>
              <w:br/>
              <w:t>de las Telecomunicaciones;</w:t>
            </w:r>
          </w:p>
          <w:p w:rsidR="002B5642" w:rsidRPr="00FC68B7" w:rsidRDefault="002B5642" w:rsidP="002B564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0"/>
              </w:tabs>
              <w:spacing w:before="0"/>
              <w:ind w:left="240" w:hanging="142"/>
              <w:rPr>
                <w:lang w:val="es-ES"/>
              </w:rPr>
            </w:pPr>
            <w:r w:rsidRPr="00FC68B7">
              <w:rPr>
                <w:lang w:val="es-ES"/>
              </w:rPr>
              <w:t>-</w:t>
            </w:r>
            <w:r w:rsidRPr="00FC68B7">
              <w:rPr>
                <w:lang w:val="es-ES"/>
              </w:rPr>
              <w:tab/>
              <w:t>Al Director de la Oficina de Radiocomunicaciones</w:t>
            </w:r>
          </w:p>
        </w:tc>
      </w:tr>
    </w:tbl>
    <w:p w:rsidR="002B5642" w:rsidRPr="00FC68B7" w:rsidRDefault="002B5642" w:rsidP="002B5642">
      <w:pPr>
        <w:tabs>
          <w:tab w:val="left" w:pos="4111"/>
        </w:tabs>
        <w:spacing w:before="0" w:after="300"/>
        <w:ind w:left="57"/>
        <w:rPr>
          <w:lang w:val="es-ES"/>
        </w:rPr>
        <w:sectPr w:rsidR="002B5642" w:rsidRPr="00FC68B7" w:rsidSect="002B5642">
          <w:type w:val="continuous"/>
          <w:pgSz w:w="11907" w:h="16840" w:code="9"/>
          <w:pgMar w:top="1418" w:right="567" w:bottom="1418" w:left="1134" w:header="720" w:footer="720" w:gutter="0"/>
          <w:paperSrc w:first="15" w:other="15"/>
          <w:cols w:num="2" w:space="454"/>
        </w:sectPr>
      </w:pPr>
    </w:p>
    <w:p w:rsidR="002B5642" w:rsidRPr="00FC68B7" w:rsidRDefault="002B5642" w:rsidP="002B5642">
      <w:pPr>
        <w:tabs>
          <w:tab w:val="left" w:pos="4111"/>
        </w:tabs>
        <w:spacing w:before="0" w:after="300"/>
        <w:ind w:left="57"/>
        <w:rPr>
          <w:lang w:val="es-ES"/>
        </w:rPr>
      </w:pPr>
    </w:p>
    <w:p w:rsidR="00545529" w:rsidRPr="00FC68B7" w:rsidRDefault="00545529" w:rsidP="002B5642">
      <w:pPr>
        <w:tabs>
          <w:tab w:val="left" w:pos="4111"/>
        </w:tabs>
        <w:spacing w:before="0" w:after="300"/>
        <w:ind w:left="57"/>
        <w:rPr>
          <w:lang w:val="es-ES"/>
        </w:rPr>
        <w:sectPr w:rsidR="00545529" w:rsidRPr="00FC68B7" w:rsidSect="002B5642">
          <w:type w:val="continuous"/>
          <w:pgSz w:w="11907" w:h="16840" w:code="9"/>
          <w:pgMar w:top="1418" w:right="1134" w:bottom="1418" w:left="1134" w:header="720" w:footer="720" w:gutter="0"/>
          <w:paperSrc w:first="15" w:other="15"/>
          <w:cols w:num="2" w:space="720"/>
        </w:sect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990"/>
      </w:tblGrid>
      <w:tr w:rsidR="002B5642" w:rsidRPr="00FC68B7" w:rsidTr="00AB2772">
        <w:trPr>
          <w:trHeight w:val="680"/>
        </w:trPr>
        <w:tc>
          <w:tcPr>
            <w:tcW w:w="822" w:type="dxa"/>
          </w:tcPr>
          <w:p w:rsidR="002B5642" w:rsidRPr="00FC68B7" w:rsidRDefault="002B5642" w:rsidP="00AB2772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color w:val="FFFFFF"/>
                <w:sz w:val="20"/>
                <w:lang w:val="es-ES"/>
              </w:rPr>
            </w:pPr>
            <w:bookmarkStart w:id="4" w:name="Subject"/>
            <w:bookmarkEnd w:id="4"/>
            <w:r w:rsidRPr="00FC68B7">
              <w:rPr>
                <w:rFonts w:ascii="Futura Lt BT" w:hAnsi="Futura Lt BT"/>
                <w:sz w:val="20"/>
                <w:lang w:val="es-ES"/>
              </w:rPr>
              <w:lastRenderedPageBreak/>
              <w:t>Asunto:</w:t>
            </w:r>
            <w:r w:rsidRPr="00FC68B7">
              <w:rPr>
                <w:rFonts w:ascii="Futura Lt BT" w:hAnsi="Futura Lt BT"/>
                <w:sz w:val="20"/>
                <w:lang w:val="es-ES"/>
              </w:rPr>
              <w:tab/>
            </w:r>
          </w:p>
        </w:tc>
        <w:tc>
          <w:tcPr>
            <w:tcW w:w="4990" w:type="dxa"/>
          </w:tcPr>
          <w:p w:rsidR="002B5642" w:rsidRPr="00FC68B7" w:rsidRDefault="002B5642" w:rsidP="00FC68B7">
            <w:pPr>
              <w:tabs>
                <w:tab w:val="left" w:pos="4111"/>
              </w:tabs>
              <w:spacing w:before="0"/>
              <w:ind w:left="57"/>
              <w:rPr>
                <w:b/>
                <w:lang w:val="es-ES"/>
              </w:rPr>
            </w:pPr>
            <w:r w:rsidRPr="00FC68B7">
              <w:rPr>
                <w:b/>
                <w:lang w:val="es-ES"/>
              </w:rPr>
              <w:t xml:space="preserve">Aprobación de la Cuestión </w:t>
            </w:r>
            <w:r w:rsidR="00FC68B7">
              <w:rPr>
                <w:b/>
                <w:lang w:val="es-ES"/>
              </w:rPr>
              <w:t xml:space="preserve">7/2 </w:t>
            </w:r>
            <w:r w:rsidRPr="00FC68B7">
              <w:rPr>
                <w:b/>
                <w:lang w:val="es-ES"/>
              </w:rPr>
              <w:t xml:space="preserve">revisada </w:t>
            </w:r>
          </w:p>
        </w:tc>
      </w:tr>
    </w:tbl>
    <w:p w:rsidR="002B5642" w:rsidRPr="00FC68B7" w:rsidRDefault="002B5642" w:rsidP="002B5642">
      <w:pPr>
        <w:ind w:left="-198"/>
        <w:rPr>
          <w:rFonts w:ascii="Century Gothic" w:hAnsi="Century Gothic"/>
          <w:color w:val="FFFFFF"/>
          <w:sz w:val="16"/>
          <w:lang w:val="es-ES"/>
        </w:rPr>
      </w:pPr>
    </w:p>
    <w:p w:rsidR="002B5642" w:rsidRPr="00FC68B7" w:rsidRDefault="002B5642" w:rsidP="002B5642">
      <w:pPr>
        <w:rPr>
          <w:lang w:val="es-ES"/>
        </w:rPr>
      </w:pPr>
      <w:bookmarkStart w:id="5" w:name="StartTyping"/>
      <w:bookmarkEnd w:id="5"/>
      <w:r w:rsidRPr="00FC68B7">
        <w:rPr>
          <w:lang w:val="es-ES"/>
        </w:rPr>
        <w:t>Muy Señora mía/Muy Señor mío:</w:t>
      </w:r>
    </w:p>
    <w:p w:rsidR="002B5642" w:rsidRPr="00FC68B7" w:rsidRDefault="00F8081C" w:rsidP="00675CD1">
      <w:pPr>
        <w:rPr>
          <w:lang w:val="es-ES"/>
        </w:rPr>
      </w:pPr>
      <w:r w:rsidRPr="00FC68B7">
        <w:rPr>
          <w:lang w:val="es-ES"/>
        </w:rPr>
        <w:t>1</w:t>
      </w:r>
      <w:r w:rsidRPr="00FC68B7">
        <w:rPr>
          <w:lang w:val="es-ES"/>
        </w:rPr>
        <w:tab/>
      </w:r>
      <w:r w:rsidR="002B5642" w:rsidRPr="00FC68B7">
        <w:rPr>
          <w:lang w:val="es-ES"/>
        </w:rPr>
        <w:t>A petición de</w:t>
      </w:r>
      <w:r w:rsidR="00675CD1">
        <w:rPr>
          <w:lang w:val="es-ES"/>
        </w:rPr>
        <w:t xml:space="preserve"> </w:t>
      </w:r>
      <w:r w:rsidR="002B5642" w:rsidRPr="00FC68B7">
        <w:rPr>
          <w:lang w:val="es-ES"/>
        </w:rPr>
        <w:t>l</w:t>
      </w:r>
      <w:r w:rsidR="00675CD1">
        <w:rPr>
          <w:lang w:val="es-ES"/>
        </w:rPr>
        <w:t>a</w:t>
      </w:r>
      <w:r w:rsidR="002B5642" w:rsidRPr="00FC68B7">
        <w:rPr>
          <w:lang w:val="es-ES"/>
        </w:rPr>
        <w:t xml:space="preserve"> President</w:t>
      </w:r>
      <w:r w:rsidR="00675CD1">
        <w:rPr>
          <w:lang w:val="es-ES"/>
        </w:rPr>
        <w:t>a</w:t>
      </w:r>
      <w:r w:rsidR="002B5642" w:rsidRPr="00FC68B7">
        <w:rPr>
          <w:lang w:val="es-ES"/>
        </w:rPr>
        <w:t xml:space="preserve"> de la Comisión de Estudio </w:t>
      </w:r>
      <w:r w:rsidR="00FC68B7">
        <w:rPr>
          <w:lang w:val="es-ES"/>
        </w:rPr>
        <w:t>2</w:t>
      </w:r>
      <w:r w:rsidR="002B5642" w:rsidRPr="00FC68B7">
        <w:rPr>
          <w:lang w:val="es-ES"/>
        </w:rPr>
        <w:t>,</w:t>
      </w:r>
      <w:r w:rsidR="00BA778E">
        <w:rPr>
          <w:lang w:val="es-ES"/>
        </w:rPr>
        <w:t xml:space="preserve"> </w:t>
      </w:r>
      <w:r w:rsidR="00FC68B7" w:rsidRPr="00FC68B7">
        <w:rPr>
          <w:i/>
          <w:lang w:val="es-ES"/>
        </w:rPr>
        <w:t>Aspectos operativos de la prestación de servicios y de la gestión de telecomunicaciones</w:t>
      </w:r>
      <w:r w:rsidR="002B5642" w:rsidRPr="00FC68B7">
        <w:rPr>
          <w:lang w:val="es-ES"/>
        </w:rPr>
        <w:t xml:space="preserve">, tengo el honor de informarle que, de conformidad con las disposiciones de la Resolución 1, Sección 7, § 7.2.2, de la AMNT (Johannesburgo, 2008), los Estados Miembros y los Miembros del Sector presentes en la última reunión de dicha Comisión que tuvo lugar en Ginebra del </w:t>
      </w:r>
      <w:r w:rsidR="00FC68B7">
        <w:rPr>
          <w:lang w:val="es-ES"/>
        </w:rPr>
        <w:t>9</w:t>
      </w:r>
      <w:r w:rsidR="002B5642" w:rsidRPr="00FC68B7">
        <w:rPr>
          <w:lang w:val="es-ES"/>
        </w:rPr>
        <w:t xml:space="preserve"> al </w:t>
      </w:r>
      <w:r w:rsidR="00FC68B7">
        <w:rPr>
          <w:lang w:val="es-ES"/>
        </w:rPr>
        <w:t>18 de noviembre de 2010,</w:t>
      </w:r>
      <w:r w:rsidR="002B5642" w:rsidRPr="00FC68B7">
        <w:rPr>
          <w:lang w:val="es-ES"/>
        </w:rPr>
        <w:t xml:space="preserve"> acordaron por consenso aprobar la </w:t>
      </w:r>
      <w:r w:rsidR="00FC68B7">
        <w:rPr>
          <w:lang w:val="es-ES"/>
        </w:rPr>
        <w:t>revisión de la siguiente</w:t>
      </w:r>
      <w:r w:rsidR="002B5642" w:rsidRPr="00FC68B7">
        <w:rPr>
          <w:lang w:val="es-ES"/>
        </w:rPr>
        <w:t xml:space="preserve"> Cuestión:</w:t>
      </w:r>
    </w:p>
    <w:p w:rsidR="002B5642" w:rsidRPr="00FC68B7" w:rsidRDefault="00FC68B7" w:rsidP="0033182A">
      <w:pPr>
        <w:numPr>
          <w:ilvl w:val="12"/>
          <w:numId w:val="0"/>
        </w:numPr>
        <w:tabs>
          <w:tab w:val="clear" w:pos="794"/>
          <w:tab w:val="clear" w:pos="1191"/>
          <w:tab w:val="clear" w:pos="1588"/>
          <w:tab w:val="left" w:pos="1418"/>
        </w:tabs>
        <w:ind w:left="794"/>
        <w:rPr>
          <w:lang w:val="es-ES"/>
        </w:rPr>
      </w:pPr>
      <w:r>
        <w:rPr>
          <w:lang w:val="es-ES"/>
        </w:rPr>
        <w:t>Cuestión 7/2</w:t>
      </w:r>
      <w:r w:rsidR="00BA778E">
        <w:rPr>
          <w:lang w:val="es-ES"/>
        </w:rPr>
        <w:t xml:space="preserve"> </w:t>
      </w:r>
      <w:r w:rsidR="00BA778E" w:rsidRPr="00BA778E">
        <w:rPr>
          <w:lang w:val="es-ES"/>
        </w:rPr>
        <w:t>–</w:t>
      </w:r>
      <w:r w:rsidR="00BA778E">
        <w:rPr>
          <w:lang w:val="es-ES"/>
        </w:rPr>
        <w:t xml:space="preserve"> </w:t>
      </w:r>
      <w:r w:rsidRPr="00FC68B7">
        <w:rPr>
          <w:i/>
          <w:lang w:val="es-ES"/>
        </w:rPr>
        <w:t>Requisitos para las interfaces de gestión entre empresas y de cliente a empre</w:t>
      </w:r>
      <w:r>
        <w:rPr>
          <w:i/>
          <w:lang w:val="es-ES"/>
        </w:rPr>
        <w:t xml:space="preserve">sa </w:t>
      </w:r>
      <w:r>
        <w:rPr>
          <w:lang w:val="es-ES"/>
        </w:rPr>
        <w:t xml:space="preserve">en </w:t>
      </w:r>
      <w:r w:rsidR="00BA778E">
        <w:rPr>
          <w:lang w:val="es-ES"/>
        </w:rPr>
        <w:tab/>
      </w:r>
      <w:r>
        <w:rPr>
          <w:lang w:val="es-ES"/>
        </w:rPr>
        <w:t>los términos de la Comisión de Estudio 2</w:t>
      </w:r>
      <w:r w:rsidR="00BA778E">
        <w:rPr>
          <w:lang w:val="es-ES"/>
        </w:rPr>
        <w:t xml:space="preserve"> (véase el anexo </w:t>
      </w:r>
      <w:r w:rsidR="002B5642" w:rsidRPr="00FC68B7">
        <w:rPr>
          <w:lang w:val="es-ES"/>
        </w:rPr>
        <w:t>1)</w:t>
      </w:r>
    </w:p>
    <w:p w:rsidR="002B5642" w:rsidRPr="00FC68B7" w:rsidRDefault="00545529" w:rsidP="00FC68B7">
      <w:pPr>
        <w:rPr>
          <w:lang w:val="es-ES"/>
        </w:rPr>
      </w:pPr>
      <w:r w:rsidRPr="00FC68B7">
        <w:rPr>
          <w:lang w:val="es-ES"/>
        </w:rPr>
        <w:t>2</w:t>
      </w:r>
      <w:r w:rsidRPr="00FC68B7">
        <w:rPr>
          <w:lang w:val="es-ES"/>
        </w:rPr>
        <w:tab/>
      </w:r>
      <w:r w:rsidR="00433FB8">
        <w:rPr>
          <w:b/>
          <w:bCs/>
          <w:lang w:val="es-ES"/>
        </w:rPr>
        <w:t>Queda por tanto aprobado</w:t>
      </w:r>
      <w:r w:rsidR="002B5642" w:rsidRPr="00FC68B7">
        <w:rPr>
          <w:b/>
          <w:bCs/>
          <w:lang w:val="es-ES"/>
        </w:rPr>
        <w:t xml:space="preserve"> </w:t>
      </w:r>
      <w:r w:rsidR="00FC68B7">
        <w:rPr>
          <w:b/>
          <w:bCs/>
          <w:lang w:val="es-ES"/>
        </w:rPr>
        <w:t>el texto revisado de la</w:t>
      </w:r>
      <w:r w:rsidR="002B5642" w:rsidRPr="00FC68B7">
        <w:rPr>
          <w:b/>
          <w:bCs/>
          <w:lang w:val="es-ES"/>
        </w:rPr>
        <w:t xml:space="preserve"> Cuestión</w:t>
      </w:r>
      <w:r w:rsidR="00FC68B7">
        <w:rPr>
          <w:b/>
          <w:bCs/>
          <w:lang w:val="es-ES"/>
        </w:rPr>
        <w:t xml:space="preserve"> 7/2</w:t>
      </w:r>
      <w:r w:rsidR="00FC68B7" w:rsidRPr="00BA778E">
        <w:rPr>
          <w:lang w:val="es-ES"/>
        </w:rPr>
        <w:t>.</w:t>
      </w:r>
    </w:p>
    <w:p w:rsidR="002B5642" w:rsidRPr="00FC68B7" w:rsidRDefault="00545529" w:rsidP="00D26844">
      <w:pPr>
        <w:rPr>
          <w:lang w:val="es-ES"/>
        </w:rPr>
      </w:pPr>
      <w:r w:rsidRPr="00FC68B7">
        <w:rPr>
          <w:lang w:val="es-ES"/>
        </w:rPr>
        <w:t>3</w:t>
      </w:r>
      <w:r w:rsidRPr="00FC68B7">
        <w:rPr>
          <w:lang w:val="es-ES"/>
        </w:rPr>
        <w:tab/>
      </w:r>
      <w:r w:rsidR="002B5642" w:rsidRPr="00FC68B7">
        <w:rPr>
          <w:lang w:val="es-ES"/>
        </w:rPr>
        <w:t xml:space="preserve">Se </w:t>
      </w:r>
      <w:r w:rsidR="00D26844">
        <w:rPr>
          <w:lang w:val="es-ES"/>
        </w:rPr>
        <w:t>entiende</w:t>
      </w:r>
      <w:r w:rsidR="002B5642" w:rsidRPr="00FC68B7">
        <w:rPr>
          <w:lang w:val="es-ES"/>
        </w:rPr>
        <w:t xml:space="preserve"> que las Recomendaciones resultantes se someterán al proceso de aprobación alternativo (AAP).</w:t>
      </w:r>
    </w:p>
    <w:p w:rsidR="002B5642" w:rsidRPr="00FC68B7" w:rsidRDefault="002B5642" w:rsidP="002B5642">
      <w:pPr>
        <w:rPr>
          <w:lang w:val="es-ES"/>
        </w:rPr>
      </w:pPr>
      <w:r w:rsidRPr="00FC68B7">
        <w:rPr>
          <w:lang w:val="es-ES"/>
        </w:rPr>
        <w:t>Le saluda muy atentamente,</w:t>
      </w:r>
    </w:p>
    <w:p w:rsidR="00545529" w:rsidRPr="00FC68B7" w:rsidRDefault="00545529" w:rsidP="00397D41">
      <w:pPr>
        <w:spacing w:before="480"/>
        <w:rPr>
          <w:lang w:val="es-ES"/>
        </w:rPr>
      </w:pPr>
    </w:p>
    <w:p w:rsidR="002B5642" w:rsidRPr="00FC68B7" w:rsidRDefault="002B5642" w:rsidP="00397D41">
      <w:pPr>
        <w:spacing w:before="360"/>
        <w:rPr>
          <w:lang w:val="es-ES"/>
        </w:rPr>
      </w:pPr>
      <w:r w:rsidRPr="00FC68B7">
        <w:rPr>
          <w:szCs w:val="24"/>
          <w:lang w:val="es-ES"/>
        </w:rPr>
        <w:t>Malcolm Johnson</w:t>
      </w:r>
      <w:r w:rsidRPr="00FC68B7">
        <w:rPr>
          <w:lang w:val="es-ES"/>
        </w:rPr>
        <w:br/>
        <w:t>Director de la Oficina de</w:t>
      </w:r>
      <w:r w:rsidRPr="00FC68B7">
        <w:rPr>
          <w:lang w:val="es-ES"/>
        </w:rPr>
        <w:br/>
        <w:t>Normalización de las Telecomunicaciones</w:t>
      </w:r>
    </w:p>
    <w:p w:rsidR="002B5642" w:rsidRPr="00FC68B7" w:rsidRDefault="00545529" w:rsidP="00BA778E">
      <w:pPr>
        <w:spacing w:before="480"/>
        <w:rPr>
          <w:b/>
          <w:bCs/>
          <w:lang w:val="es-ES"/>
        </w:rPr>
      </w:pPr>
      <w:r w:rsidRPr="00FC68B7">
        <w:rPr>
          <w:b/>
          <w:bCs/>
          <w:lang w:val="es-ES"/>
        </w:rPr>
        <w:t>Anexo</w:t>
      </w:r>
      <w:r w:rsidR="002B5642" w:rsidRPr="00FC68B7">
        <w:rPr>
          <w:b/>
          <w:bCs/>
          <w:lang w:val="es-ES"/>
        </w:rPr>
        <w:t>:</w:t>
      </w:r>
      <w:r w:rsidR="002B5642" w:rsidRPr="00FC68B7">
        <w:rPr>
          <w:lang w:val="es-ES"/>
        </w:rPr>
        <w:t xml:space="preserve"> 1</w:t>
      </w:r>
    </w:p>
    <w:p w:rsidR="00CF1831" w:rsidRDefault="00FC68B7" w:rsidP="00CF1831">
      <w:pPr>
        <w:pStyle w:val="AnnexNotitle"/>
        <w:rPr>
          <w:b w:val="0"/>
          <w:bCs/>
          <w:sz w:val="24"/>
          <w:szCs w:val="24"/>
          <w:lang w:val="es-ES"/>
        </w:rPr>
      </w:pPr>
      <w:r>
        <w:rPr>
          <w:lang w:val="es-ES"/>
        </w:rPr>
        <w:lastRenderedPageBreak/>
        <w:t>Anexo 1</w:t>
      </w:r>
      <w:r w:rsidR="00BA778E">
        <w:rPr>
          <w:lang w:val="es-ES"/>
        </w:rPr>
        <w:br/>
      </w:r>
      <w:r w:rsidRPr="00BA778E">
        <w:rPr>
          <w:b w:val="0"/>
          <w:bCs/>
          <w:sz w:val="24"/>
          <w:szCs w:val="24"/>
          <w:lang w:val="es-ES"/>
        </w:rPr>
        <w:t>(a la Circular TSB 152)</w:t>
      </w:r>
    </w:p>
    <w:p w:rsidR="00FC68B7" w:rsidRDefault="00BA778E" w:rsidP="00CF1831">
      <w:pPr>
        <w:pStyle w:val="AnnexNotitle"/>
        <w:spacing w:before="240"/>
        <w:rPr>
          <w:lang w:val="es-ES"/>
        </w:rPr>
      </w:pPr>
      <w:r w:rsidRPr="00297E50">
        <w:t>Texto revisado de la Cuestión 7/2</w:t>
      </w:r>
    </w:p>
    <w:p w:rsidR="009127BE" w:rsidRDefault="009127BE" w:rsidP="00162E1F"/>
    <w:p w:rsidR="00297E50" w:rsidRPr="009127BE" w:rsidRDefault="00297E50" w:rsidP="009127BE">
      <w:pPr>
        <w:pStyle w:val="headingb0"/>
        <w:rPr>
          <w:lang w:val="es-ES_tradnl"/>
        </w:rPr>
      </w:pPr>
      <w:r w:rsidRPr="009127BE">
        <w:rPr>
          <w:lang w:val="es-ES_tradnl"/>
        </w:rPr>
        <w:t xml:space="preserve">Cuestión 7/2 – Requisitos para las interfaces de gestión entre empresas y de cliente a empresa </w:t>
      </w:r>
    </w:p>
    <w:p w:rsidR="00297E50" w:rsidRPr="00297E50" w:rsidRDefault="00297E50" w:rsidP="00CF1831">
      <w:pPr>
        <w:pStyle w:val="Title4"/>
        <w:spacing w:before="120"/>
        <w:jc w:val="left"/>
        <w:rPr>
          <w:sz w:val="24"/>
          <w:szCs w:val="24"/>
        </w:rPr>
      </w:pPr>
      <w:r w:rsidRPr="00297E50">
        <w:rPr>
          <w:sz w:val="24"/>
          <w:szCs w:val="24"/>
        </w:rPr>
        <w:t>(continuación de parte de la C.2/4 y la C.7/4)</w:t>
      </w:r>
    </w:p>
    <w:p w:rsidR="00297E50" w:rsidRPr="00CF1831" w:rsidRDefault="00297E50" w:rsidP="00CF1831">
      <w:pPr>
        <w:pStyle w:val="headingb0"/>
        <w:spacing w:before="240"/>
        <w:rPr>
          <w:lang w:val="es-ES_tradnl"/>
        </w:rPr>
      </w:pPr>
      <w:r w:rsidRPr="00CF1831">
        <w:rPr>
          <w:lang w:val="es-ES_tradnl"/>
        </w:rPr>
        <w:t>Motivos</w:t>
      </w:r>
    </w:p>
    <w:p w:rsidR="00297E50" w:rsidRDefault="00297E50" w:rsidP="00CF1831">
      <w:r w:rsidRPr="006035D6">
        <w:t>La industria de las telecomunicaciones es consciente de las ventajas que ofrece la gestión de las telecomunicaciones para la comunicación de la información de gestión entre empresas</w:t>
      </w:r>
      <w:r w:rsidR="00CF1831">
        <w:t xml:space="preserve"> (B2B) -</w:t>
      </w:r>
      <w:r w:rsidRPr="006035D6">
        <w:t>por ejemplo entre proveedores de servicio, entre proveedores de servicio y operadores de red, y entre operadores de red</w:t>
      </w:r>
      <w:r w:rsidR="00024B72">
        <w:t>-</w:t>
      </w:r>
      <w:r w:rsidRPr="006035D6">
        <w:t xml:space="preserve"> y de cliente a empresa </w:t>
      </w:r>
      <w:r w:rsidR="00CF1831">
        <w:t>(C2B) -</w:t>
      </w:r>
      <w:r w:rsidRPr="006035D6">
        <w:t>por ejemplo, entre el cliente y el proveedor del servicio</w:t>
      </w:r>
      <w:r w:rsidR="00024B72">
        <w:t>-</w:t>
      </w:r>
      <w:r w:rsidRPr="006035D6">
        <w:t xml:space="preserve">, en particular la gestión de la red del cliente. </w:t>
      </w:r>
      <w:r>
        <w:t xml:space="preserve">Estas ventajas también resultan esenciales para las comunicaciones entre </w:t>
      </w:r>
      <w:r w:rsidR="00433FB8">
        <w:t>las empresas comerciales y las administraciones/gobiernos nacionales (empresa a g</w:t>
      </w:r>
      <w:r>
        <w:t>obierno – B2G). Hay que especificar las interfaces B2G necesarias para hacer frente a la creciente demanda de un proceso de comunicación entre el gobierno y las empresas comerciales que sea rápido, a un coste razonable, automatizado y eficaz en términos de tiempo.</w:t>
      </w:r>
      <w:r w:rsidR="00BA778E">
        <w:t xml:space="preserve"> </w:t>
      </w:r>
    </w:p>
    <w:p w:rsidR="00297E50" w:rsidRPr="006035D6" w:rsidRDefault="00297E50" w:rsidP="00433FB8">
      <w:r>
        <w:t>R</w:t>
      </w:r>
      <w:r w:rsidRPr="006035D6">
        <w:t>esulta importante especificar la funcionalidad de gestión y la información de gestión asociada que debe comunicarse a través de estas interfaces. En particular, con la rápida introducción del protocolo Internet, muchos operadores de red y proveedores de servicios están transformando sus redes de conmutación de circuitos a redes por paquetes. Ésta es la Cuestión principal de la CE </w:t>
      </w:r>
      <w:r w:rsidR="00433FB8">
        <w:t>2</w:t>
      </w:r>
      <w:r w:rsidRPr="006035D6">
        <w:t xml:space="preserve"> en lo que respecta al lenguaje tML y las telecomunicaciones </w:t>
      </w:r>
      <w:r w:rsidR="00D26844">
        <w:t xml:space="preserve">para las operaciones </w:t>
      </w:r>
      <w:r w:rsidRPr="006035D6">
        <w:t>de socorro en caso de catástrofe.</w:t>
      </w:r>
    </w:p>
    <w:p w:rsidR="00297E50" w:rsidRPr="006035D6" w:rsidRDefault="00D26844" w:rsidP="00297E50">
      <w:r>
        <w:t>Se requiere</w:t>
      </w:r>
      <w:r w:rsidR="00297E50" w:rsidRPr="006035D6">
        <w:t xml:space="preserve"> la colaboración con otros foros y organismos de normalización.</w:t>
      </w:r>
    </w:p>
    <w:p w:rsidR="00297E50" w:rsidRPr="00CF1831" w:rsidRDefault="00297E50" w:rsidP="00CF1831">
      <w:pPr>
        <w:pStyle w:val="headingb0"/>
        <w:spacing w:before="240"/>
        <w:rPr>
          <w:lang w:val="es-ES_tradnl"/>
        </w:rPr>
      </w:pPr>
      <w:r w:rsidRPr="00CF1831">
        <w:rPr>
          <w:lang w:val="es-ES_tradnl"/>
        </w:rPr>
        <w:t>Cuestión</w:t>
      </w:r>
    </w:p>
    <w:p w:rsidR="00297E50" w:rsidRPr="006035D6" w:rsidRDefault="00297E50" w:rsidP="00297E50">
      <w:pPr>
        <w:rPr>
          <w:b/>
        </w:rPr>
      </w:pPr>
      <w:r w:rsidRPr="006035D6">
        <w:t>Los temas de estudio que se han de considerar son, entre otros:</w:t>
      </w:r>
    </w:p>
    <w:p w:rsidR="00297E50" w:rsidRPr="006035D6" w:rsidRDefault="00297E50" w:rsidP="00297E50">
      <w:pPr>
        <w:pStyle w:val="enumlev1"/>
      </w:pPr>
      <w:r w:rsidRPr="006035D6">
        <w:t>•</w:t>
      </w:r>
      <w:r w:rsidRPr="006035D6">
        <w:tab/>
        <w:t>¿Qué arquitectura y principios de gestión de las telecomunicaciones son necesarios para la interfaz</w:t>
      </w:r>
      <w:r w:rsidR="00024B72">
        <w:t xml:space="preserve"> B2B</w:t>
      </w:r>
      <w:r w:rsidRPr="006035D6">
        <w:t xml:space="preserve"> y </w:t>
      </w:r>
      <w:r w:rsidR="00024B72">
        <w:t>C2B</w:t>
      </w:r>
      <w:r w:rsidR="00D522CD">
        <w:t xml:space="preserve"> </w:t>
      </w:r>
      <w:r w:rsidRPr="006035D6">
        <w:t>durante todo el ciclo de vida del servicio?</w:t>
      </w:r>
    </w:p>
    <w:p w:rsidR="00297E50" w:rsidRPr="006035D6" w:rsidRDefault="00297E50" w:rsidP="00297E50">
      <w:pPr>
        <w:pStyle w:val="enumlev1"/>
      </w:pPr>
      <w:r w:rsidRPr="006035D6">
        <w:t>•</w:t>
      </w:r>
      <w:r w:rsidRPr="006035D6">
        <w:tab/>
        <w:t>¿Qué procesos y elementos adicionales de la M.3050 se requieren para los aspectos de la gestión de las telecomunicaciones relativos a la gestión entre empresas y de cliente a empresa, en particular la estrategia y el compromiso, la gestión del ciclo de vida de la infraestructura y del producto, la ayuda y la preparación de las operaciones, el cumplimiento, la garantía y la facturación, en la medida en que guardan relación con la gestión del cliente y del producto en el mercado y la gestión de servicios, recursos y proveedores/asociados (procesos de la M.3050)?</w:t>
      </w:r>
    </w:p>
    <w:p w:rsidR="00297E50" w:rsidRPr="006035D6" w:rsidRDefault="00297E50" w:rsidP="00297E50">
      <w:pPr>
        <w:pStyle w:val="enumlev1"/>
      </w:pPr>
      <w:r w:rsidRPr="006035D6">
        <w:t>•</w:t>
      </w:r>
      <w:r w:rsidRPr="006035D6">
        <w:tab/>
        <w:t>¿Qué mejoras es necesario introducir en las Recomendaciones M.3050 y M.3060 para la autogestión del servicio por el cliente/usuario?</w:t>
      </w:r>
    </w:p>
    <w:p w:rsidR="00297E50" w:rsidRPr="006035D6" w:rsidRDefault="00297E50" w:rsidP="00297E50">
      <w:pPr>
        <w:pStyle w:val="enumlev1"/>
      </w:pPr>
      <w:r w:rsidRPr="006035D6">
        <w:t>•</w:t>
      </w:r>
      <w:r w:rsidRPr="006035D6">
        <w:tab/>
        <w:t>¿Cuáles son los requisitos del lenguaje tML para poder emplear el XML en las comunicaciones a través de las interfaces entre empresas y de cliente a empresa?</w:t>
      </w:r>
    </w:p>
    <w:p w:rsidR="00297E50" w:rsidRPr="006035D6" w:rsidRDefault="00297E50" w:rsidP="00024B72">
      <w:pPr>
        <w:pStyle w:val="enumlev1"/>
      </w:pPr>
      <w:r w:rsidRPr="006035D6">
        <w:t>•</w:t>
      </w:r>
      <w:r w:rsidRPr="006035D6">
        <w:tab/>
        <w:t xml:space="preserve">¿Qué servicios y requisitos de comunicación adicionales, en particular los relativos a la seguridad, es necesario especificar para las interfaces </w:t>
      </w:r>
      <w:r w:rsidR="00024B72">
        <w:t>B2B</w:t>
      </w:r>
      <w:r w:rsidRPr="006035D6">
        <w:t xml:space="preserve"> y </w:t>
      </w:r>
      <w:r w:rsidR="00024B72">
        <w:t xml:space="preserve">C2B </w:t>
      </w:r>
      <w:r w:rsidRPr="006035D6">
        <w:t>con el fin de cumplir los requisitos jurídicos y de reglamentación de las Administraciones?</w:t>
      </w:r>
    </w:p>
    <w:p w:rsidR="00297E50" w:rsidRPr="006035D6" w:rsidRDefault="00297E50" w:rsidP="00297E50">
      <w:pPr>
        <w:pStyle w:val="enumlev1"/>
      </w:pPr>
      <w:r w:rsidRPr="006035D6">
        <w:t>•</w:t>
      </w:r>
      <w:r w:rsidRPr="006035D6">
        <w:tab/>
        <w:t>¿Qué información han de intercambiar los proveedores de servicio para los acuerdos a nivel de servicio sobre la QoS de extremo a extremo?</w:t>
      </w:r>
    </w:p>
    <w:p w:rsidR="00297E50" w:rsidRPr="006035D6" w:rsidRDefault="00297E50" w:rsidP="00297E50">
      <w:pPr>
        <w:pStyle w:val="enumlev1"/>
      </w:pPr>
      <w:r w:rsidRPr="006035D6">
        <w:t>•</w:t>
      </w:r>
      <w:r w:rsidRPr="006035D6">
        <w:tab/>
        <w:t>¿Qué modificaciones es necesario introducir en las Recomendaciones de la serie M.1400 para adaptarlas a las nuevas tecnologías? ¿Qué información deben intercambiar los clientes y proveedores de servicio para la autogestión del servicio por el cliente/usuario?</w:t>
      </w:r>
    </w:p>
    <w:p w:rsidR="00297E50" w:rsidRPr="006035D6" w:rsidRDefault="00297E50" w:rsidP="00297E50">
      <w:pPr>
        <w:pStyle w:val="enumlev1"/>
      </w:pPr>
      <w:r w:rsidRPr="006035D6">
        <w:t>•</w:t>
      </w:r>
      <w:r w:rsidRPr="006035D6">
        <w:tab/>
        <w:t>¿Qué modificaciones es necesario introducir en las Recomendaciones de las series M.1400, M.3320, M.1500, X.160 y X.170?</w:t>
      </w:r>
    </w:p>
    <w:p w:rsidR="00297E50" w:rsidRPr="006035D6" w:rsidRDefault="00297E50" w:rsidP="00297E50">
      <w:pPr>
        <w:pStyle w:val="enumlev1"/>
      </w:pPr>
      <w:r w:rsidRPr="006035D6">
        <w:t>•</w:t>
      </w:r>
      <w:r w:rsidRPr="006035D6">
        <w:tab/>
        <w:t>¿Qué funciones de gestión del servicio y qué información de gestión es necesario intercambiar a través de la interfaz</w:t>
      </w:r>
      <w:r w:rsidR="00024B72">
        <w:t xml:space="preserve"> B2B</w:t>
      </w:r>
      <w:r w:rsidRPr="006035D6">
        <w:t xml:space="preserve"> y </w:t>
      </w:r>
      <w:r w:rsidR="00024B72">
        <w:t xml:space="preserve">C2B </w:t>
      </w:r>
      <w:r w:rsidRPr="006035D6">
        <w:t xml:space="preserve">para cumplir los requisitos de la E.106 en cuanto a la gestión de las telecomunicaciones para operaciones de socorro en caso de catástrofe en el contexto de las NGN? </w:t>
      </w:r>
    </w:p>
    <w:p w:rsidR="00297E50" w:rsidRDefault="00297E50" w:rsidP="00297E50">
      <w:pPr>
        <w:pStyle w:val="enumlev1"/>
      </w:pPr>
      <w:r w:rsidRPr="006035D6">
        <w:t>•</w:t>
      </w:r>
      <w:r w:rsidRPr="006035D6">
        <w:tab/>
        <w:t>¿Cuáles son los requisitos de gestión de los operadores de telecomunicaciones y sus clientes para la gestión de identidades (IdM), en particular T-SPID, y su armonización en el marco de las Recomendaciones de la serie M.1400?</w:t>
      </w:r>
    </w:p>
    <w:p w:rsidR="00297E50" w:rsidRDefault="00297E50" w:rsidP="00297E50">
      <w:pPr>
        <w:pStyle w:val="enumlev1"/>
      </w:pPr>
      <w:r w:rsidRPr="006035D6">
        <w:t>•</w:t>
      </w:r>
      <w:r w:rsidRPr="006035D6">
        <w:tab/>
      </w:r>
      <w:r>
        <w:t xml:space="preserve">¿Cuáles son los objetivos y metas que han de alcanzarse, y cuáles el contenido, </w:t>
      </w:r>
      <w:r w:rsidR="00D26844">
        <w:t xml:space="preserve">el </w:t>
      </w:r>
      <w:r>
        <w:t xml:space="preserve">alcance y </w:t>
      </w:r>
      <w:r w:rsidR="00D26844">
        <w:t xml:space="preserve">el </w:t>
      </w:r>
      <w:r>
        <w:t>tipo de información que ha de intercambiarse a través de la interfaz B2G?</w:t>
      </w:r>
    </w:p>
    <w:p w:rsidR="00297E50" w:rsidRDefault="00297E50" w:rsidP="00297E50">
      <w:pPr>
        <w:pStyle w:val="enumlev1"/>
      </w:pPr>
      <w:r w:rsidRPr="006035D6">
        <w:t>•</w:t>
      </w:r>
      <w:r w:rsidRPr="006035D6">
        <w:tab/>
      </w:r>
      <w:r>
        <w:t>¿Cuáles son los requisitos de la interfaz B2G?</w:t>
      </w:r>
    </w:p>
    <w:p w:rsidR="00297E50" w:rsidRDefault="00297E50" w:rsidP="00297E50">
      <w:pPr>
        <w:pStyle w:val="enumlev1"/>
      </w:pPr>
      <w:r w:rsidRPr="006035D6">
        <w:t>•</w:t>
      </w:r>
      <w:r w:rsidRPr="006035D6">
        <w:tab/>
      </w:r>
      <w:r>
        <w:t xml:space="preserve">¿Cuál es la repercusión en términos reglamentarios </w:t>
      </w:r>
      <w:r w:rsidR="00024B72">
        <w:t>sobre los procesos empresariales descritos en la Recomendación M.3050 y otras Recomendaciones conexas?</w:t>
      </w:r>
      <w:r>
        <w:t xml:space="preserve"> </w:t>
      </w:r>
    </w:p>
    <w:p w:rsidR="00024B72" w:rsidRDefault="00024B72" w:rsidP="00297E50">
      <w:pPr>
        <w:pStyle w:val="enumlev1"/>
      </w:pPr>
      <w:r w:rsidRPr="006035D6">
        <w:t>•</w:t>
      </w:r>
      <w:r w:rsidRPr="006035D6">
        <w:tab/>
      </w:r>
      <w:r>
        <w:t>¿Cuáles son las Recomendaciones que se prestan a ser reutilizadas a fin de cumplir la especificación de los requisitos de la interfaz B2G?</w:t>
      </w:r>
    </w:p>
    <w:p w:rsidR="00024B72" w:rsidRDefault="00024B72" w:rsidP="00297E50">
      <w:pPr>
        <w:pStyle w:val="enumlev1"/>
      </w:pPr>
      <w:r w:rsidRPr="006035D6">
        <w:t>•</w:t>
      </w:r>
      <w:r w:rsidRPr="006035D6">
        <w:tab/>
      </w:r>
      <w:r>
        <w:t>¿Qué nuevas Recomendaciones y modificaciones a recomendaciones existentes serían necesarias para cumplir los requisitos de la interfaz B2G?</w:t>
      </w:r>
    </w:p>
    <w:p w:rsidR="00024B72" w:rsidRPr="006035D6" w:rsidRDefault="00024B72" w:rsidP="00297E50">
      <w:pPr>
        <w:pStyle w:val="enumlev1"/>
      </w:pPr>
      <w:r>
        <w:t>Es posible identificar más adelante nuevos temas de estudio.</w:t>
      </w:r>
    </w:p>
    <w:p w:rsidR="00297E50" w:rsidRPr="00433FB8" w:rsidRDefault="00297E50" w:rsidP="00433FB8">
      <w:pPr>
        <w:pStyle w:val="headingb0"/>
        <w:spacing w:before="240"/>
        <w:rPr>
          <w:lang w:val="es-ES_tradnl"/>
        </w:rPr>
      </w:pPr>
      <w:r w:rsidRPr="00433FB8">
        <w:rPr>
          <w:lang w:val="es-ES_tradnl"/>
        </w:rPr>
        <w:t>Tareas</w:t>
      </w:r>
    </w:p>
    <w:p w:rsidR="00297E50" w:rsidRPr="006035D6" w:rsidRDefault="00297E50" w:rsidP="00297E50">
      <w:r w:rsidRPr="006035D6">
        <w:t>Las tareas son, entre otras:</w:t>
      </w:r>
    </w:p>
    <w:p w:rsidR="00297E50" w:rsidRPr="006035D6" w:rsidRDefault="00297E50" w:rsidP="00024B72">
      <w:pPr>
        <w:pStyle w:val="enumlev1"/>
      </w:pPr>
      <w:r w:rsidRPr="006035D6">
        <w:t>•</w:t>
      </w:r>
      <w:r w:rsidRPr="006035D6">
        <w:tab/>
        <w:t xml:space="preserve">Especificar los requisitos de seguridad de la interfaz </w:t>
      </w:r>
      <w:r w:rsidR="00024B72">
        <w:t xml:space="preserve">B2B, C2B y B2G </w:t>
      </w:r>
      <w:r w:rsidRPr="006035D6">
        <w:t>para atender las necesidades de interconexión de las interfaces SP-SP, SP-NO</w:t>
      </w:r>
      <w:r w:rsidR="00024B72">
        <w:t>,</w:t>
      </w:r>
      <w:r w:rsidRPr="006035D6">
        <w:t xml:space="preserve"> SP-SC</w:t>
      </w:r>
      <w:r w:rsidR="00024B72">
        <w:t xml:space="preserve"> y SP/NO-G</w:t>
      </w:r>
      <w:r w:rsidRPr="006035D6">
        <w:t>.</w:t>
      </w:r>
    </w:p>
    <w:p w:rsidR="00297E50" w:rsidRPr="006035D6" w:rsidRDefault="00297E50" w:rsidP="00297E50">
      <w:pPr>
        <w:pStyle w:val="enumlev1"/>
      </w:pPr>
      <w:r w:rsidRPr="006035D6">
        <w:t>•</w:t>
      </w:r>
      <w:r w:rsidRPr="006035D6">
        <w:tab/>
        <w:t>Especificar los requisitos para atender las necesidades de las interfaces</w:t>
      </w:r>
      <w:r w:rsidR="00024B72">
        <w:t xml:space="preserve"> B2B</w:t>
      </w:r>
      <w:r w:rsidRPr="006035D6">
        <w:t xml:space="preserve"> y </w:t>
      </w:r>
      <w:r w:rsidR="00024B72">
        <w:t>C2B</w:t>
      </w:r>
      <w:r w:rsidR="00D522CD">
        <w:t xml:space="preserve"> </w:t>
      </w:r>
      <w:r w:rsidRPr="006035D6">
        <w:t>con arreglo a la metodología de la M.3020.</w:t>
      </w:r>
    </w:p>
    <w:p w:rsidR="00297E50" w:rsidRPr="006035D6" w:rsidRDefault="00297E50" w:rsidP="00297E50">
      <w:pPr>
        <w:pStyle w:val="enumlev1"/>
      </w:pPr>
      <w:r w:rsidRPr="006035D6">
        <w:t>•</w:t>
      </w:r>
      <w:r w:rsidRPr="006035D6">
        <w:tab/>
        <w:t>Actualizar, según proceda, los documentos relativos a los requisitos de la interfaz</w:t>
      </w:r>
      <w:r w:rsidR="00433FB8">
        <w:t> </w:t>
      </w:r>
      <w:r w:rsidR="00024B72">
        <w:t>B2B</w:t>
      </w:r>
      <w:r w:rsidRPr="006035D6">
        <w:t xml:space="preserve"> y </w:t>
      </w:r>
      <w:r w:rsidR="00024B72">
        <w:t>C2B</w:t>
      </w:r>
      <w:r w:rsidR="00D522CD">
        <w:t xml:space="preserve"> </w:t>
      </w:r>
      <w:r w:rsidRPr="006035D6">
        <w:t>(por ejemplo, las Recomendaciones M.3320, M.3341 y M.3350).</w:t>
      </w:r>
    </w:p>
    <w:p w:rsidR="00297E50" w:rsidRPr="006035D6" w:rsidRDefault="00297E50" w:rsidP="00D522CD">
      <w:pPr>
        <w:pStyle w:val="enumlev1"/>
      </w:pPr>
      <w:r w:rsidRPr="006035D6">
        <w:t>•</w:t>
      </w:r>
      <w:r w:rsidRPr="006035D6">
        <w:tab/>
      </w:r>
      <w:r w:rsidR="00D522CD">
        <w:t>Elaborar</w:t>
      </w:r>
      <w:r w:rsidRPr="006035D6">
        <w:t xml:space="preserve"> otro documento relativo a los requisitos de la interfaz</w:t>
      </w:r>
      <w:r w:rsidR="00024B72">
        <w:t xml:space="preserve"> B2B</w:t>
      </w:r>
      <w:r w:rsidRPr="006035D6">
        <w:t xml:space="preserve"> y </w:t>
      </w:r>
      <w:r w:rsidR="00024B72">
        <w:t>C2B</w:t>
      </w:r>
      <w:r w:rsidR="00D522CD">
        <w:t xml:space="preserve"> </w:t>
      </w:r>
      <w:r w:rsidRPr="006035D6">
        <w:t>que complemente los procesos de la M.3050.</w:t>
      </w:r>
    </w:p>
    <w:p w:rsidR="00297E50" w:rsidRPr="006035D6" w:rsidRDefault="00297E50" w:rsidP="00297E50">
      <w:pPr>
        <w:pStyle w:val="enumlev1"/>
      </w:pPr>
      <w:r w:rsidRPr="006035D6">
        <w:t>•</w:t>
      </w:r>
      <w:r w:rsidRPr="006035D6">
        <w:tab/>
        <w:t>Determinar los requisitos para la autogestión del servicio por el cliente/usuario.</w:t>
      </w:r>
    </w:p>
    <w:p w:rsidR="00297E50" w:rsidRPr="006035D6" w:rsidRDefault="00297E50" w:rsidP="00297E50">
      <w:pPr>
        <w:pStyle w:val="enumlev1"/>
      </w:pPr>
      <w:r w:rsidRPr="006035D6">
        <w:t>•</w:t>
      </w:r>
      <w:r w:rsidRPr="006035D6">
        <w:tab/>
        <w:t>Mejorar las Recomendaciones de la serie M.1400 para integrar nuevas tecnologías.</w:t>
      </w:r>
    </w:p>
    <w:p w:rsidR="00297E50" w:rsidRDefault="00297E50" w:rsidP="00297E50">
      <w:pPr>
        <w:pStyle w:val="enumlev1"/>
        <w:rPr>
          <w:color w:val="000000"/>
          <w:lang w:eastAsia="en-GB"/>
        </w:rPr>
      </w:pPr>
      <w:r w:rsidRPr="006035D6">
        <w:t>•</w:t>
      </w:r>
      <w:r w:rsidRPr="006035D6">
        <w:tab/>
        <w:t xml:space="preserve">Mantener actualizadas las siguientes Recomendaciones: serie </w:t>
      </w:r>
      <w:r w:rsidRPr="006035D6">
        <w:rPr>
          <w:color w:val="000000"/>
          <w:lang w:eastAsia="en-GB"/>
        </w:rPr>
        <w:t>M.1400, M.1520, M.1530, M.1532, M.1535, M.1537, M.1539, X.160, X.161, X.162, X.163, X.170 y X.171.</w:t>
      </w:r>
    </w:p>
    <w:p w:rsidR="00D522CD" w:rsidRDefault="00D522CD" w:rsidP="00297E50">
      <w:pPr>
        <w:pStyle w:val="enumlev1"/>
      </w:pPr>
      <w:r w:rsidRPr="006035D6">
        <w:t>•</w:t>
      </w:r>
      <w:r w:rsidRPr="006035D6">
        <w:tab/>
      </w:r>
      <w:r>
        <w:t>Especificar los requisitos para dar soporte a las necesidades para las interfaces B2G basadas en el método de la M.3020.</w:t>
      </w:r>
    </w:p>
    <w:p w:rsidR="00D522CD" w:rsidRPr="006035D6" w:rsidRDefault="00D522CD" w:rsidP="00297E50">
      <w:pPr>
        <w:pStyle w:val="enumlev1"/>
      </w:pPr>
      <w:r w:rsidRPr="006035D6">
        <w:t>•</w:t>
      </w:r>
      <w:r w:rsidRPr="006035D6">
        <w:tab/>
      </w:r>
      <w:r>
        <w:t>Coordinar las repercusiones derivadas de los requisitos o las especificaciones de B2G para el JCA-Mgt.</w:t>
      </w:r>
    </w:p>
    <w:p w:rsidR="00297E50" w:rsidRPr="00CF1831" w:rsidRDefault="00297E50" w:rsidP="00CF1831">
      <w:pPr>
        <w:pStyle w:val="headingb0"/>
        <w:spacing w:before="240"/>
        <w:rPr>
          <w:lang w:val="es-ES_tradnl"/>
        </w:rPr>
      </w:pPr>
      <w:r w:rsidRPr="00CF1831">
        <w:rPr>
          <w:lang w:val="es-ES_tradnl"/>
        </w:rPr>
        <w:t>Relaciones</w:t>
      </w:r>
    </w:p>
    <w:p w:rsidR="00297E50" w:rsidRPr="00BA778E" w:rsidRDefault="00297E50" w:rsidP="00D621CA">
      <w:r w:rsidRPr="00D522CD">
        <w:t>Recomendaciones:</w:t>
      </w:r>
      <w:r w:rsidR="00D522CD">
        <w:t xml:space="preserve"> </w:t>
      </w:r>
      <w:r w:rsidRPr="00D522CD">
        <w:rPr>
          <w:lang w:val="es-ES"/>
        </w:rPr>
        <w:t>Recomendaciones de la serie M de las que se ocupa la CE 2.</w:t>
      </w:r>
    </w:p>
    <w:p w:rsidR="00297E50" w:rsidRPr="00BA778E" w:rsidRDefault="00297E50" w:rsidP="00D621CA">
      <w:r w:rsidRPr="00D522CD">
        <w:t>Comisiones de Estudio:</w:t>
      </w:r>
      <w:r w:rsidR="00D522CD">
        <w:t xml:space="preserve"> </w:t>
      </w:r>
      <w:r w:rsidRPr="00BA778E">
        <w:t>CE 13, CE 15 y CE 17.</w:t>
      </w:r>
    </w:p>
    <w:p w:rsidR="00FC68B7" w:rsidRDefault="00297E50" w:rsidP="00D621CA">
      <w:r w:rsidRPr="00D522CD">
        <w:t>Órganos de normalización:</w:t>
      </w:r>
      <w:r w:rsidR="00D522CD">
        <w:t xml:space="preserve"> </w:t>
      </w:r>
      <w:r w:rsidRPr="00BA778E">
        <w:t>ATIS, DMTF, ETSI, IETF, OASIS, TMForum.</w:t>
      </w:r>
    </w:p>
    <w:p w:rsidR="00B11AFA" w:rsidRDefault="00B11AFA" w:rsidP="00D621CA"/>
    <w:p w:rsidR="00B11AFA" w:rsidRPr="00FC68B7" w:rsidRDefault="00B11AFA" w:rsidP="00B11AFA">
      <w:pPr>
        <w:jc w:val="center"/>
        <w:rPr>
          <w:lang w:val="es-ES"/>
        </w:rPr>
      </w:pPr>
      <w:r>
        <w:t>______________</w:t>
      </w:r>
    </w:p>
    <w:sectPr w:rsidR="00B11AFA" w:rsidRPr="00FC68B7" w:rsidSect="002B5642">
      <w:headerReference w:type="default" r:id="rId11"/>
      <w:footerReference w:type="default" r:id="rId12"/>
      <w:type w:val="continuous"/>
      <w:pgSz w:w="11907" w:h="16840" w:code="9"/>
      <w:pgMar w:top="1418" w:right="1134" w:bottom="1418" w:left="1134" w:header="720" w:footer="720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004" w:rsidRDefault="008E6004">
      <w:r>
        <w:separator/>
      </w:r>
    </w:p>
  </w:endnote>
  <w:endnote w:type="continuationSeparator" w:id="0">
    <w:p w:rsidR="008E6004" w:rsidRDefault="008E6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7" w:type="dxa"/>
      <w:tblLayout w:type="fixed"/>
      <w:tblCellMar>
        <w:left w:w="107" w:type="dxa"/>
        <w:right w:w="107" w:type="dxa"/>
      </w:tblCellMar>
      <w:tblLook w:val="0000"/>
    </w:tblPr>
    <w:tblGrid>
      <w:gridCol w:w="1918"/>
      <w:gridCol w:w="3103"/>
      <w:gridCol w:w="2362"/>
      <w:gridCol w:w="2290"/>
    </w:tblGrid>
    <w:tr w:rsidR="008E6004" w:rsidRPr="005246DD" w:rsidTr="00545529">
      <w:tc>
        <w:tcPr>
          <w:tcW w:w="1918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8E6004" w:rsidRDefault="008E6004" w:rsidP="00AB2772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Place des Nations</w:t>
          </w:r>
        </w:p>
      </w:tc>
      <w:tc>
        <w:tcPr>
          <w:tcW w:w="3103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8E6004" w:rsidRDefault="008E6004" w:rsidP="00AB2772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62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8E6004" w:rsidRDefault="008E6004" w:rsidP="00AB2772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Télex 421 000 uit ch</w:t>
          </w:r>
        </w:p>
      </w:tc>
      <w:tc>
        <w:tcPr>
          <w:tcW w:w="2290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8E6004" w:rsidRDefault="008E6004" w:rsidP="00AB2772">
          <w:pPr>
            <w:pStyle w:val="FirstFooter"/>
            <w:tabs>
              <w:tab w:val="left" w:pos="886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8E6004" w:rsidTr="00545529">
      <w:tc>
        <w:tcPr>
          <w:tcW w:w="1918" w:type="dxa"/>
        </w:tcPr>
        <w:p w:rsidR="008E6004" w:rsidRDefault="008E6004" w:rsidP="00AB2772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03" w:type="dxa"/>
        </w:tcPr>
        <w:p w:rsidR="008E6004" w:rsidRDefault="008E6004" w:rsidP="00AB2772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62" w:type="dxa"/>
        </w:tcPr>
        <w:p w:rsidR="008E6004" w:rsidRDefault="008E6004" w:rsidP="00AB2772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290" w:type="dxa"/>
        </w:tcPr>
        <w:p w:rsidR="008E6004" w:rsidRDefault="008E6004" w:rsidP="00545529">
          <w:pPr>
            <w:pStyle w:val="FirstFooter"/>
            <w:tabs>
              <w:tab w:val="right" w:pos="1878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8E6004" w:rsidTr="00545529">
      <w:tc>
        <w:tcPr>
          <w:tcW w:w="1918" w:type="dxa"/>
        </w:tcPr>
        <w:p w:rsidR="008E6004" w:rsidRDefault="008E6004" w:rsidP="00AB2772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03" w:type="dxa"/>
        </w:tcPr>
        <w:p w:rsidR="008E6004" w:rsidRDefault="008E6004" w:rsidP="00AB2772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62" w:type="dxa"/>
        </w:tcPr>
        <w:p w:rsidR="008E6004" w:rsidRDefault="008E6004" w:rsidP="00AB2772">
          <w:pPr>
            <w:pStyle w:val="FirstFooter"/>
            <w:rPr>
              <w:rFonts w:ascii="Futura Lt BT" w:hAnsi="Futura Lt BT"/>
            </w:rPr>
          </w:pPr>
        </w:p>
      </w:tc>
      <w:tc>
        <w:tcPr>
          <w:tcW w:w="2290" w:type="dxa"/>
        </w:tcPr>
        <w:p w:rsidR="008E6004" w:rsidRDefault="008E6004" w:rsidP="00AB2772">
          <w:pPr>
            <w:pStyle w:val="FirstFooter"/>
            <w:rPr>
              <w:rFonts w:ascii="Futura Lt BT" w:hAnsi="Futura Lt BT"/>
            </w:rPr>
          </w:pPr>
        </w:p>
      </w:tc>
    </w:tr>
  </w:tbl>
  <w:p w:rsidR="008E6004" w:rsidRDefault="008E6004" w:rsidP="00AB2772">
    <w:pPr>
      <w:pStyle w:val="Footer"/>
      <w:tabs>
        <w:tab w:val="right" w:pos="2694"/>
        <w:tab w:val="left" w:pos="3289"/>
        <w:tab w:val="left" w:pos="3686"/>
        <w:tab w:val="left" w:pos="6294"/>
        <w:tab w:val="right" w:pos="10858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004" w:rsidRPr="002451FF" w:rsidRDefault="005267E4">
    <w:pPr>
      <w:rPr>
        <w:lang w:val="en-US"/>
      </w:rPr>
    </w:pPr>
    <w:fldSimple w:instr=" FILENAME \p \* MERGEFORMAT ">
      <w:r w:rsidR="002451FF" w:rsidRPr="002451FF">
        <w:rPr>
          <w:noProof/>
          <w:lang w:val="en-US"/>
        </w:rPr>
        <w:t>M:\SG_DOC\SG2\Circulars\152s.docx</w:t>
      </w:r>
    </w:fldSimple>
    <w:r w:rsidR="008E6004" w:rsidRPr="002451FF">
      <w:rPr>
        <w:lang w:val="en-US"/>
      </w:rPr>
      <w:tab/>
    </w:r>
    <w:r>
      <w:fldChar w:fldCharType="begin"/>
    </w:r>
    <w:r w:rsidR="008E6004">
      <w:instrText xml:space="preserve"> savedate \@ dd.MM.yy </w:instrText>
    </w:r>
    <w:r>
      <w:fldChar w:fldCharType="separate"/>
    </w:r>
    <w:r w:rsidR="00B11AFA">
      <w:rPr>
        <w:noProof/>
      </w:rPr>
      <w:t>08.12.10</w:t>
    </w:r>
    <w:r>
      <w:fldChar w:fldCharType="end"/>
    </w:r>
    <w:r w:rsidR="008E6004" w:rsidRPr="002451FF">
      <w:rPr>
        <w:lang w:val="en-US"/>
      </w:rPr>
      <w:tab/>
    </w:r>
    <w:r>
      <w:fldChar w:fldCharType="begin"/>
    </w:r>
    <w:r w:rsidR="008E6004">
      <w:instrText xml:space="preserve"> printdate \@ dd.MM.yy </w:instrText>
    </w:r>
    <w:r>
      <w:fldChar w:fldCharType="separate"/>
    </w:r>
    <w:r w:rsidR="002451FF">
      <w:rPr>
        <w:noProof/>
      </w:rPr>
      <w:t>07.12.10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82A" w:rsidRPr="002451FF" w:rsidRDefault="005267E4" w:rsidP="0033182A">
    <w:pPr>
      <w:pStyle w:val="Footer"/>
      <w:rPr>
        <w:lang w:val="en-US"/>
      </w:rPr>
    </w:pPr>
    <w:fldSimple w:instr=" FILENAME \p \* MERGEFORMAT ">
      <w:r w:rsidR="002451FF" w:rsidRPr="002451FF">
        <w:rPr>
          <w:lang w:val="en-US"/>
        </w:rPr>
        <w:t>M:\SG_DOC\SG2\Circulars\152s.docx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004" w:rsidRDefault="008E6004">
      <w:r>
        <w:t>____________________</w:t>
      </w:r>
    </w:p>
  </w:footnote>
  <w:footnote w:type="continuationSeparator" w:id="0">
    <w:p w:rsidR="008E6004" w:rsidRDefault="008E60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004" w:rsidRPr="00545529" w:rsidRDefault="008E6004">
    <w:pPr>
      <w:pStyle w:val="Header"/>
      <w:rPr>
        <w:lang w:val="fr-CH"/>
      </w:rPr>
    </w:pPr>
    <w:r>
      <w:rPr>
        <w:lang w:val="fr-CH"/>
      </w:rPr>
      <w:t xml:space="preserve">- </w:t>
    </w:r>
    <w:r w:rsidR="005267E4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5267E4">
      <w:rPr>
        <w:rStyle w:val="PageNumber"/>
      </w:rPr>
      <w:fldChar w:fldCharType="separate"/>
    </w:r>
    <w:r w:rsidR="00B11AFA">
      <w:rPr>
        <w:rStyle w:val="PageNumber"/>
        <w:noProof/>
      </w:rPr>
      <w:t>4</w:t>
    </w:r>
    <w:r w:rsidR="005267E4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linkStyles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E4BE7"/>
    <w:rsid w:val="00024B72"/>
    <w:rsid w:val="00041508"/>
    <w:rsid w:val="0005494A"/>
    <w:rsid w:val="000927B7"/>
    <w:rsid w:val="00162E1F"/>
    <w:rsid w:val="001D503E"/>
    <w:rsid w:val="00211BD3"/>
    <w:rsid w:val="002451FF"/>
    <w:rsid w:val="00295450"/>
    <w:rsid w:val="00297E50"/>
    <w:rsid w:val="002B5642"/>
    <w:rsid w:val="002E4BE7"/>
    <w:rsid w:val="0033182A"/>
    <w:rsid w:val="00397D41"/>
    <w:rsid w:val="00433FB8"/>
    <w:rsid w:val="00482E14"/>
    <w:rsid w:val="004A42AB"/>
    <w:rsid w:val="005267E4"/>
    <w:rsid w:val="00545529"/>
    <w:rsid w:val="00675CD1"/>
    <w:rsid w:val="006C5E6D"/>
    <w:rsid w:val="00710807"/>
    <w:rsid w:val="0077484A"/>
    <w:rsid w:val="007B6875"/>
    <w:rsid w:val="008E6004"/>
    <w:rsid w:val="009127BE"/>
    <w:rsid w:val="0093599E"/>
    <w:rsid w:val="00A842CB"/>
    <w:rsid w:val="00A96FFE"/>
    <w:rsid w:val="00AB2772"/>
    <w:rsid w:val="00B11AFA"/>
    <w:rsid w:val="00BA778E"/>
    <w:rsid w:val="00C13694"/>
    <w:rsid w:val="00CF1831"/>
    <w:rsid w:val="00D26844"/>
    <w:rsid w:val="00D522CD"/>
    <w:rsid w:val="00D621CA"/>
    <w:rsid w:val="00EF3749"/>
    <w:rsid w:val="00F8081C"/>
    <w:rsid w:val="00F876ED"/>
    <w:rsid w:val="00FB297D"/>
    <w:rsid w:val="00FC6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56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2B564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B5642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B5642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B564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B5642"/>
    <w:pPr>
      <w:outlineLvl w:val="4"/>
    </w:pPr>
  </w:style>
  <w:style w:type="paragraph" w:styleId="Heading6">
    <w:name w:val="heading 6"/>
    <w:basedOn w:val="Heading4"/>
    <w:next w:val="Normal"/>
    <w:qFormat/>
    <w:rsid w:val="002B564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B5642"/>
    <w:pPr>
      <w:outlineLvl w:val="6"/>
    </w:pPr>
  </w:style>
  <w:style w:type="paragraph" w:styleId="Heading8">
    <w:name w:val="heading 8"/>
    <w:basedOn w:val="Heading6"/>
    <w:next w:val="Normal"/>
    <w:qFormat/>
    <w:rsid w:val="002B5642"/>
    <w:pPr>
      <w:outlineLvl w:val="7"/>
    </w:pPr>
  </w:style>
  <w:style w:type="paragraph" w:styleId="Heading9">
    <w:name w:val="heading 9"/>
    <w:basedOn w:val="Heading6"/>
    <w:next w:val="Normal"/>
    <w:qFormat/>
    <w:rsid w:val="002B564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2B564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2B564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B5642"/>
  </w:style>
  <w:style w:type="paragraph" w:customStyle="1" w:styleId="AppendixNotitle">
    <w:name w:val="Appendix_No &amp; title"/>
    <w:basedOn w:val="AnnexNotitle"/>
    <w:next w:val="Normalaftertitle"/>
    <w:rsid w:val="002B5642"/>
  </w:style>
  <w:style w:type="character" w:customStyle="1" w:styleId="Artdef">
    <w:name w:val="Art_def"/>
    <w:basedOn w:val="DefaultParagraphFont"/>
    <w:rsid w:val="002B564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B564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B564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2B5642"/>
  </w:style>
  <w:style w:type="paragraph" w:customStyle="1" w:styleId="Arttitle">
    <w:name w:val="Art_title"/>
    <w:basedOn w:val="Normal"/>
    <w:next w:val="Normalaftertitle"/>
    <w:rsid w:val="002B5642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2B564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2B564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B564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B5642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2B5642"/>
    <w:rPr>
      <w:vertAlign w:val="superscript"/>
    </w:rPr>
  </w:style>
  <w:style w:type="paragraph" w:customStyle="1" w:styleId="enumlev1">
    <w:name w:val="enumlev1"/>
    <w:basedOn w:val="Normal"/>
    <w:rsid w:val="002B5642"/>
    <w:pPr>
      <w:spacing w:before="80"/>
      <w:ind w:left="794" w:hanging="794"/>
    </w:pPr>
  </w:style>
  <w:style w:type="paragraph" w:customStyle="1" w:styleId="enumlev2">
    <w:name w:val="enumlev2"/>
    <w:basedOn w:val="enumlev1"/>
    <w:rsid w:val="002B5642"/>
    <w:pPr>
      <w:ind w:left="1191" w:hanging="397"/>
    </w:pPr>
  </w:style>
  <w:style w:type="paragraph" w:customStyle="1" w:styleId="enumlev3">
    <w:name w:val="enumlev3"/>
    <w:basedOn w:val="enumlev2"/>
    <w:rsid w:val="002B5642"/>
    <w:pPr>
      <w:ind w:left="1588"/>
    </w:pPr>
  </w:style>
  <w:style w:type="paragraph" w:customStyle="1" w:styleId="Equation">
    <w:name w:val="Equation"/>
    <w:basedOn w:val="Normal"/>
    <w:rsid w:val="002B564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2B564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FigureNotitle"/>
    <w:rsid w:val="002B5642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2B564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"/>
    <w:rsid w:val="002B564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2B5642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2B564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B564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2B564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2B5642"/>
    <w:rPr>
      <w:position w:val="6"/>
      <w:sz w:val="18"/>
    </w:rPr>
  </w:style>
  <w:style w:type="paragraph" w:customStyle="1" w:styleId="Note">
    <w:name w:val="Note"/>
    <w:basedOn w:val="Normal"/>
    <w:rsid w:val="002B5642"/>
    <w:pPr>
      <w:spacing w:before="80"/>
    </w:pPr>
  </w:style>
  <w:style w:type="paragraph" w:styleId="FootnoteText">
    <w:name w:val="footnote text"/>
    <w:basedOn w:val="Note"/>
    <w:rsid w:val="002B5642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sid w:val="002B5642"/>
    <w:rPr>
      <w:b w:val="0"/>
    </w:rPr>
  </w:style>
  <w:style w:type="paragraph" w:styleId="Header">
    <w:name w:val="header"/>
    <w:basedOn w:val="Normal"/>
    <w:rsid w:val="002B564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B5642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B5642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2B5642"/>
  </w:style>
  <w:style w:type="paragraph" w:styleId="Index2">
    <w:name w:val="index 2"/>
    <w:basedOn w:val="Normal"/>
    <w:next w:val="Normal"/>
    <w:rsid w:val="002B5642"/>
    <w:pPr>
      <w:ind w:left="283"/>
    </w:pPr>
  </w:style>
  <w:style w:type="paragraph" w:styleId="Index3">
    <w:name w:val="index 3"/>
    <w:basedOn w:val="Normal"/>
    <w:next w:val="Normal"/>
    <w:rsid w:val="002B5642"/>
    <w:pPr>
      <w:ind w:left="566"/>
    </w:pPr>
  </w:style>
  <w:style w:type="paragraph" w:customStyle="1" w:styleId="Normalaftertitle">
    <w:name w:val="Normal_after_title"/>
    <w:basedOn w:val="Normal"/>
    <w:next w:val="Normal"/>
    <w:rsid w:val="002B5642"/>
    <w:pPr>
      <w:spacing w:before="360"/>
    </w:pPr>
  </w:style>
  <w:style w:type="character" w:styleId="PageNumber">
    <w:name w:val="page number"/>
    <w:basedOn w:val="DefaultParagraphFont"/>
    <w:rsid w:val="002B5642"/>
  </w:style>
  <w:style w:type="paragraph" w:customStyle="1" w:styleId="PartNo">
    <w:name w:val="Part_No"/>
    <w:basedOn w:val="Normal"/>
    <w:next w:val="Partref"/>
    <w:rsid w:val="002B564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B564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B564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2B564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2B5642"/>
  </w:style>
  <w:style w:type="paragraph" w:customStyle="1" w:styleId="RecNo">
    <w:name w:val="Rec_No"/>
    <w:basedOn w:val="Normal"/>
    <w:next w:val="Rectitle"/>
    <w:rsid w:val="002B564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2B5642"/>
  </w:style>
  <w:style w:type="paragraph" w:customStyle="1" w:styleId="RecNoBR">
    <w:name w:val="Rec_No_BR"/>
    <w:basedOn w:val="Normal"/>
    <w:next w:val="Rectitle"/>
    <w:rsid w:val="002B564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2B5642"/>
  </w:style>
  <w:style w:type="paragraph" w:customStyle="1" w:styleId="Recref">
    <w:name w:val="Rec_ref"/>
    <w:basedOn w:val="Normal"/>
    <w:next w:val="Recdate"/>
    <w:rsid w:val="002B564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2B5642"/>
  </w:style>
  <w:style w:type="paragraph" w:customStyle="1" w:styleId="Rectitle">
    <w:name w:val="Rec_title"/>
    <w:basedOn w:val="Normal"/>
    <w:next w:val="Normalaftertitle"/>
    <w:rsid w:val="002B564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2B5642"/>
  </w:style>
  <w:style w:type="character" w:customStyle="1" w:styleId="Recdef">
    <w:name w:val="Rec_def"/>
    <w:basedOn w:val="DefaultParagraphFont"/>
    <w:rsid w:val="002B5642"/>
    <w:rPr>
      <w:b/>
    </w:rPr>
  </w:style>
  <w:style w:type="paragraph" w:customStyle="1" w:styleId="Reftext">
    <w:name w:val="Ref_text"/>
    <w:basedOn w:val="Normal"/>
    <w:rsid w:val="002B5642"/>
    <w:pPr>
      <w:ind w:left="794" w:hanging="794"/>
    </w:pPr>
  </w:style>
  <w:style w:type="paragraph" w:customStyle="1" w:styleId="Reftitle">
    <w:name w:val="Ref_title"/>
    <w:basedOn w:val="Normal"/>
    <w:next w:val="Reftext"/>
    <w:rsid w:val="002B564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2B5642"/>
  </w:style>
  <w:style w:type="paragraph" w:customStyle="1" w:styleId="RepNo">
    <w:name w:val="Rep_No"/>
    <w:basedOn w:val="RecNo"/>
    <w:next w:val="Reptitle"/>
    <w:rsid w:val="002B5642"/>
  </w:style>
  <w:style w:type="paragraph" w:customStyle="1" w:styleId="RepNoBR">
    <w:name w:val="Rep_No_BR"/>
    <w:basedOn w:val="RecNoBR"/>
    <w:next w:val="Reptitle"/>
    <w:rsid w:val="002B5642"/>
  </w:style>
  <w:style w:type="paragraph" w:customStyle="1" w:styleId="Repref">
    <w:name w:val="Rep_ref"/>
    <w:basedOn w:val="Recref"/>
    <w:next w:val="Repdate"/>
    <w:rsid w:val="002B5642"/>
  </w:style>
  <w:style w:type="paragraph" w:customStyle="1" w:styleId="Reptitle">
    <w:name w:val="Rep_title"/>
    <w:basedOn w:val="Rectitle"/>
    <w:next w:val="Repref"/>
    <w:rsid w:val="002B5642"/>
  </w:style>
  <w:style w:type="paragraph" w:customStyle="1" w:styleId="Resdate">
    <w:name w:val="Res_date"/>
    <w:basedOn w:val="Recdate"/>
    <w:next w:val="Normalaftertitle"/>
    <w:rsid w:val="002B5642"/>
  </w:style>
  <w:style w:type="character" w:customStyle="1" w:styleId="Resdef">
    <w:name w:val="Res_def"/>
    <w:basedOn w:val="DefaultParagraphFont"/>
    <w:rsid w:val="002B564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2B5642"/>
  </w:style>
  <w:style w:type="paragraph" w:customStyle="1" w:styleId="ResNoBR">
    <w:name w:val="Res_No_BR"/>
    <w:basedOn w:val="RecNoBR"/>
    <w:next w:val="Restitle"/>
    <w:rsid w:val="002B5642"/>
  </w:style>
  <w:style w:type="paragraph" w:customStyle="1" w:styleId="Resref">
    <w:name w:val="Res_ref"/>
    <w:basedOn w:val="Recref"/>
    <w:next w:val="Resdate"/>
    <w:rsid w:val="002B5642"/>
  </w:style>
  <w:style w:type="paragraph" w:customStyle="1" w:styleId="Restitle">
    <w:name w:val="Res_title"/>
    <w:basedOn w:val="Rectitle"/>
    <w:next w:val="Resref"/>
    <w:rsid w:val="002B5642"/>
  </w:style>
  <w:style w:type="paragraph" w:customStyle="1" w:styleId="Section1">
    <w:name w:val="Section_1"/>
    <w:basedOn w:val="Normal"/>
    <w:next w:val="Normal"/>
    <w:rsid w:val="002B564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B564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2B564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B564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B564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B564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B5642"/>
    <w:rPr>
      <w:b/>
      <w:color w:val="auto"/>
    </w:rPr>
  </w:style>
  <w:style w:type="paragraph" w:customStyle="1" w:styleId="Tablehead">
    <w:name w:val="Table_head"/>
    <w:basedOn w:val="Normal"/>
    <w:next w:val="Tabletext"/>
    <w:rsid w:val="002B564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2B564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2B564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2B564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B5642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2B564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"/>
    <w:rsid w:val="002B564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2B564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B5642"/>
  </w:style>
  <w:style w:type="paragraph" w:customStyle="1" w:styleId="Title3">
    <w:name w:val="Title 3"/>
    <w:basedOn w:val="Title2"/>
    <w:next w:val="Title4"/>
    <w:rsid w:val="002B5642"/>
    <w:rPr>
      <w:caps w:val="0"/>
    </w:rPr>
  </w:style>
  <w:style w:type="paragraph" w:customStyle="1" w:styleId="Title4">
    <w:name w:val="Title 4"/>
    <w:basedOn w:val="Title3"/>
    <w:next w:val="Heading1"/>
    <w:rsid w:val="002B5642"/>
    <w:rPr>
      <w:b/>
    </w:rPr>
  </w:style>
  <w:style w:type="paragraph" w:customStyle="1" w:styleId="toc0">
    <w:name w:val="toc 0"/>
    <w:basedOn w:val="Normal"/>
    <w:next w:val="TOC1"/>
    <w:rsid w:val="002B564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2B564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2B5642"/>
    <w:pPr>
      <w:spacing w:before="80"/>
      <w:ind w:left="1531" w:hanging="851"/>
    </w:pPr>
  </w:style>
  <w:style w:type="paragraph" w:styleId="TOC3">
    <w:name w:val="toc 3"/>
    <w:basedOn w:val="TOC2"/>
    <w:rsid w:val="002B5642"/>
  </w:style>
  <w:style w:type="paragraph" w:styleId="TOC4">
    <w:name w:val="toc 4"/>
    <w:basedOn w:val="TOC3"/>
    <w:rsid w:val="002B5642"/>
  </w:style>
  <w:style w:type="paragraph" w:styleId="TOC5">
    <w:name w:val="toc 5"/>
    <w:basedOn w:val="TOC4"/>
    <w:rsid w:val="002B5642"/>
  </w:style>
  <w:style w:type="paragraph" w:styleId="TOC6">
    <w:name w:val="toc 6"/>
    <w:basedOn w:val="TOC4"/>
    <w:rsid w:val="002B5642"/>
  </w:style>
  <w:style w:type="paragraph" w:styleId="TOC7">
    <w:name w:val="toc 7"/>
    <w:basedOn w:val="TOC4"/>
    <w:rsid w:val="002B5642"/>
  </w:style>
  <w:style w:type="paragraph" w:styleId="TOC8">
    <w:name w:val="toc 8"/>
    <w:basedOn w:val="TOC4"/>
    <w:rsid w:val="002B5642"/>
  </w:style>
  <w:style w:type="paragraph" w:customStyle="1" w:styleId="FiguretitleBR">
    <w:name w:val="Figure_title_BR"/>
    <w:basedOn w:val="TabletitleBR"/>
    <w:next w:val="Figurewithouttitle"/>
    <w:rsid w:val="002B564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B5642"/>
    <w:pPr>
      <w:keepNext/>
      <w:keepLines/>
      <w:spacing w:before="480" w:after="120"/>
      <w:jc w:val="center"/>
    </w:pPr>
    <w:rPr>
      <w:caps/>
    </w:rPr>
  </w:style>
  <w:style w:type="character" w:styleId="Hyperlink">
    <w:name w:val="Hyperlink"/>
    <w:basedOn w:val="DefaultParagraphFont"/>
    <w:rsid w:val="002B5642"/>
    <w:rPr>
      <w:color w:val="0000FF"/>
      <w:u w:val="single"/>
    </w:rPr>
  </w:style>
  <w:style w:type="paragraph" w:customStyle="1" w:styleId="headingb0">
    <w:name w:val="heading_b"/>
    <w:basedOn w:val="Heading3"/>
    <w:next w:val="Normal"/>
    <w:rsid w:val="00297E50"/>
    <w:pPr>
      <w:tabs>
        <w:tab w:val="left" w:pos="2127"/>
        <w:tab w:val="left" w:pos="2410"/>
        <w:tab w:val="left" w:pos="2921"/>
        <w:tab w:val="left" w:pos="3261"/>
      </w:tabs>
      <w:outlineLvl w:val="9"/>
    </w:pPr>
    <w:rPr>
      <w:bCs/>
      <w:lang w:val="en-GB"/>
    </w:rPr>
  </w:style>
  <w:style w:type="character" w:customStyle="1" w:styleId="FooterChar">
    <w:name w:val="Footer Char"/>
    <w:basedOn w:val="DefaultParagraphFont"/>
    <w:link w:val="Footer"/>
    <w:rsid w:val="0033182A"/>
    <w:rPr>
      <w:rFonts w:ascii="Times New Roman" w:hAnsi="Times New Roman"/>
      <w:caps/>
      <w:noProof/>
      <w:sz w:val="16"/>
      <w:lang w:val="es-ES_tradn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tsbsg2@itu.int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RAD\S\ITU-T\BUREAU\CIRC\100\152(299134)%20LIN%20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152(299134) LIN S.dot</Template>
  <TotalTime>240</TotalTime>
  <Pages>4</Pages>
  <Words>1160</Words>
  <Characters>6614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Oficina de Normalización</vt:lpstr>
      <vt:lpstr>3	Tareas</vt:lpstr>
    </vt:vector>
  </TitlesOfParts>
  <Company>ITU</Company>
  <LinksUpToDate>false</LinksUpToDate>
  <CharactersWithSpaces>7759</CharactersWithSpaces>
  <SharedDoc>false</SharedDoc>
  <HLinks>
    <vt:vector size="6" baseType="variant">
      <vt:variant>
        <vt:i4>6750221</vt:i4>
      </vt:variant>
      <vt:variant>
        <vt:i4>0</vt:i4>
      </vt:variant>
      <vt:variant>
        <vt:i4>0</vt:i4>
      </vt:variant>
      <vt:variant>
        <vt:i4>5</vt:i4>
      </vt:variant>
      <vt:variant>
        <vt:lpwstr>mailto:tsbsg2@itu.int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Oficina de Normalización</dc:title>
  <dc:subject/>
  <dc:creator>cuevas</dc:creator>
  <cp:keywords/>
  <dc:description/>
  <cp:lastModifiedBy>comas</cp:lastModifiedBy>
  <cp:revision>16</cp:revision>
  <cp:lastPrinted>2010-12-07T10:15:00Z</cp:lastPrinted>
  <dcterms:created xsi:type="dcterms:W3CDTF">2010-11-30T10:31:00Z</dcterms:created>
  <dcterms:modified xsi:type="dcterms:W3CDTF">2010-12-08T10:06:00Z</dcterms:modified>
</cp:coreProperties>
</file>