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C54C9B">
        <w:t>20 de junio de 2011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64521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645210">
              <w:rPr>
                <w:b/>
              </w:rPr>
              <w:t>199</w:t>
            </w:r>
          </w:p>
          <w:p w:rsidR="00C34772" w:rsidRDefault="00645210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NGN-GSI/TK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5210">
              <w:t xml:space="preserve"> 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0025E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54C9B" w:rsidRPr="00835F4E">
                <w:rPr>
                  <w:rStyle w:val="Hyperlink"/>
                </w:rPr>
                <w:t>tsbngngsi@itu.int</w:t>
              </w:r>
            </w:hyperlink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30747C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</w:t>
            </w:r>
            <w:r w:rsidR="0030747C">
              <w:t>todas</w:t>
            </w:r>
            <w:r>
              <w:br/>
            </w:r>
            <w:r w:rsidR="0030747C">
              <w:t xml:space="preserve">las </w:t>
            </w:r>
            <w:r>
              <w:t>Comisi</w:t>
            </w:r>
            <w:r w:rsidR="0030747C">
              <w:t>ones</w:t>
            </w:r>
            <w:r>
              <w:t xml:space="preserve"> de Estudio </w:t>
            </w:r>
            <w:r w:rsidR="00C54C9B">
              <w:t>del UIT</w:t>
            </w:r>
            <w:r w:rsidR="00C54C9B">
              <w:noBreakHyphen/>
              <w:t>T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54C9B" w:rsidRDefault="00C54C9B" w:rsidP="00B55A3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Evento NGN</w:t>
            </w:r>
            <w:r>
              <w:rPr>
                <w:b/>
              </w:rPr>
              <w:noBreakHyphen/>
              <w:t>GSI</w:t>
            </w:r>
          </w:p>
          <w:p w:rsidR="00C34772" w:rsidRDefault="00C34772" w:rsidP="00C54C9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Ginebra, </w:t>
            </w:r>
            <w:r w:rsidR="00C54C9B">
              <w:rPr>
                <w:b/>
              </w:rPr>
              <w:t>10</w:t>
            </w:r>
            <w:r w:rsidR="00C54C9B">
              <w:rPr>
                <w:b/>
              </w:rPr>
              <w:noBreakHyphen/>
              <w:t>21 de octubre de 2011</w:t>
            </w:r>
          </w:p>
        </w:tc>
      </w:tr>
    </w:tbl>
    <w:p w:rsidR="00C54C9B" w:rsidRDefault="00C54C9B" w:rsidP="00C54C9B">
      <w:pPr>
        <w:spacing w:before="160"/>
        <w:ind w:left="-198"/>
        <w:rPr>
          <w:rFonts w:ascii="Century Gothic" w:hAnsi="Century Gothic"/>
          <w:sz w:val="16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645210" w:rsidRPr="006D3B54" w:rsidRDefault="00645210" w:rsidP="00645210">
      <w:pPr>
        <w:pStyle w:val="Index1"/>
      </w:pPr>
      <w:r w:rsidRPr="006D3B54">
        <w:t>Muy Señora mía/Muy Señor mío:</w:t>
      </w:r>
    </w:p>
    <w:p w:rsidR="00645210" w:rsidRPr="006D3B54" w:rsidRDefault="00645210" w:rsidP="007C209E">
      <w:pPr>
        <w:spacing w:before="160"/>
      </w:pPr>
      <w:r w:rsidRPr="006D3B54">
        <w:rPr>
          <w:bCs/>
        </w:rPr>
        <w:t>1</w:t>
      </w:r>
      <w:r w:rsidRPr="006D3B54">
        <w:tab/>
        <w:t>De conformidad con el calendario de reunion</w:t>
      </w:r>
      <w:r>
        <w:t>e</w:t>
      </w:r>
      <w:r w:rsidRPr="006D3B54">
        <w:t>s del Sector de Normalización de las Telecomunicaciones de la UIT para 2011 (véase el Anexo 2 a la Circular TSB 80 de 14 de diciembre de 2009), tengo el placer de informarle</w:t>
      </w:r>
      <w:r>
        <w:t xml:space="preserve"> de que el próximo evento</w:t>
      </w:r>
      <w:r w:rsidRPr="006D3B54">
        <w:t xml:space="preserve"> NGN-GSI</w:t>
      </w:r>
      <w:r>
        <w:t>, que comprende las reuniones paralelas de las Comisiones de Estudio 11 y 13, se celebrará del</w:t>
      </w:r>
      <w:r w:rsidRPr="006D3B54">
        <w:rPr>
          <w:szCs w:val="24"/>
        </w:rPr>
        <w:t xml:space="preserve"> 10 </w:t>
      </w:r>
      <w:r>
        <w:rPr>
          <w:szCs w:val="24"/>
        </w:rPr>
        <w:t>al</w:t>
      </w:r>
      <w:r w:rsidRPr="006D3B54">
        <w:rPr>
          <w:szCs w:val="24"/>
        </w:rPr>
        <w:t xml:space="preserve"> 21 </w:t>
      </w:r>
      <w:r w:rsidR="006238B9">
        <w:rPr>
          <w:szCs w:val="24"/>
        </w:rPr>
        <w:t>de octubre de </w:t>
      </w:r>
      <w:r>
        <w:rPr>
          <w:szCs w:val="24"/>
        </w:rPr>
        <w:t>2011 en la Sede de la UIT en Ginebra</w:t>
      </w:r>
      <w:r w:rsidRPr="006D3B54">
        <w:t>.</w:t>
      </w:r>
    </w:p>
    <w:p w:rsidR="00645210" w:rsidRPr="00DC5EDA" w:rsidRDefault="00645210" w:rsidP="00645210">
      <w:r w:rsidRPr="00DC5EDA">
        <w:t>2</w:t>
      </w:r>
      <w:r w:rsidRPr="00DC5EDA">
        <w:tab/>
        <w:t xml:space="preserve">Quiero asimismo poner en su conocimiento el plan de trabajo coordinado por los equipos directivos de esas Comisiones de Estudio para octubre de 2011. En el </w:t>
      </w:r>
      <w:r w:rsidRPr="00DC5EDA">
        <w:rPr>
          <w:b/>
        </w:rPr>
        <w:t>Anexo 1</w:t>
      </w:r>
      <w:r w:rsidRPr="00DC5EDA">
        <w:t xml:space="preserve"> de la presente circular encontrará los cuadros donde se indican las actividades </w:t>
      </w:r>
      <w:r>
        <w:t xml:space="preserve">que se realizarán en el marco </w:t>
      </w:r>
      <w:r w:rsidRPr="00DC5EDA">
        <w:t>de las Cuestiones de las CE 11</w:t>
      </w:r>
      <w:r>
        <w:t xml:space="preserve"> y</w:t>
      </w:r>
      <w:r w:rsidRPr="00DC5EDA">
        <w:t xml:space="preserve"> 13</w:t>
      </w:r>
      <w:r>
        <w:t>, y de la</w:t>
      </w:r>
      <w:r w:rsidRPr="00DC5EDA">
        <w:t xml:space="preserve"> JCA-NGN. Puede encontrar más detalles y los horarios de las reuniones de cada Comisión de Estudio para este period</w:t>
      </w:r>
      <w:r>
        <w:t>o en las Cartas Colectivas</w:t>
      </w:r>
      <w:r w:rsidRPr="00DC5EDA">
        <w:t xml:space="preserve"> 9/11 </w:t>
      </w:r>
      <w:r>
        <w:t>y</w:t>
      </w:r>
      <w:r w:rsidRPr="00DC5EDA">
        <w:t xml:space="preserve"> 9/13.</w:t>
      </w:r>
      <w:r w:rsidR="0059438C">
        <w:t xml:space="preserve"> </w:t>
      </w:r>
      <w:r w:rsidRPr="00DC5EDA">
        <w:t>En la página web del evento podrá consultars</w:t>
      </w:r>
      <w:bookmarkStart w:id="4" w:name="_GoBack"/>
      <w:bookmarkEnd w:id="4"/>
      <w:r w:rsidRPr="00DC5EDA">
        <w:t xml:space="preserve">e el horario y todo cambio eventual: </w:t>
      </w:r>
      <w:hyperlink r:id="rId10" w:history="1">
        <w:r w:rsidR="00C54C9B" w:rsidRPr="00051A53">
          <w:rPr>
            <w:rStyle w:val="Hyperlink"/>
          </w:rPr>
          <w:t>http://www.itu.int/ITU</w:t>
        </w:r>
        <w:r w:rsidR="00C54C9B" w:rsidRPr="00051A53">
          <w:rPr>
            <w:rStyle w:val="Hyperlink"/>
          </w:rPr>
          <w:noBreakHyphen/>
          <w:t>T/ngn/events</w:t>
        </w:r>
      </w:hyperlink>
      <w:r w:rsidRPr="00DC5EDA">
        <w:t xml:space="preserve">. </w:t>
      </w:r>
    </w:p>
    <w:p w:rsidR="00645210" w:rsidRPr="00DC5EDA" w:rsidRDefault="00645210" w:rsidP="00645210">
      <w:pPr>
        <w:tabs>
          <w:tab w:val="left" w:pos="1418"/>
          <w:tab w:val="left" w:pos="1702"/>
          <w:tab w:val="left" w:pos="2160"/>
        </w:tabs>
        <w:spacing w:before="160"/>
        <w:ind w:right="92"/>
      </w:pPr>
      <w:r w:rsidRPr="00DC5EDA">
        <w:t>3</w:t>
      </w:r>
      <w:r w:rsidRPr="00DC5EDA">
        <w:tab/>
        <w:t xml:space="preserve">Como recordarán los participantes de anteriores eventos NGN-GSI, la inscripción para el mismo ha de hacerse directamente en la Comisión de Estudio de </w:t>
      </w:r>
      <w:r>
        <w:t>su interés mediante los formularios en línea disponibles en las páginas web de las Comisiones de Estudio</w:t>
      </w:r>
      <w:r w:rsidRPr="00DC5EDA">
        <w:t>.</w:t>
      </w:r>
    </w:p>
    <w:p w:rsidR="00645210" w:rsidRPr="00DC5EDA" w:rsidRDefault="00645210" w:rsidP="00645210">
      <w:pPr>
        <w:tabs>
          <w:tab w:val="left" w:pos="1418"/>
          <w:tab w:val="left" w:pos="1702"/>
          <w:tab w:val="left" w:pos="2160"/>
        </w:tabs>
        <w:spacing w:before="160"/>
        <w:ind w:right="92"/>
      </w:pPr>
      <w:r w:rsidRPr="00DC5EDA">
        <w:br w:type="page"/>
      </w:r>
      <w:r w:rsidRPr="00DC5EDA">
        <w:lastRenderedPageBreak/>
        <w:t>4</w:t>
      </w:r>
      <w:r w:rsidRPr="00DC5EDA">
        <w:tab/>
        <w:t>Si los participantes tuvieran alguna duda con respecto a las actividades NGN</w:t>
      </w:r>
      <w:r w:rsidRPr="00DC5EDA">
        <w:noBreakHyphen/>
        <w:t xml:space="preserve">GSI generales, pueden ponerse en contacto con la Coordinadora de la TSB para NGN-GSI, Sra. Tatiana Kurakova (Tel.: +41 22 730 5126, Correo-e: </w:t>
      </w:r>
      <w:hyperlink r:id="rId11" w:history="1">
        <w:r w:rsidRPr="00DC5EDA">
          <w:rPr>
            <w:rStyle w:val="Hyperlink"/>
          </w:rPr>
          <w:t>tsbngngsi@itu.int</w:t>
        </w:r>
      </w:hyperlink>
      <w:r w:rsidRPr="00DC5EDA">
        <w:t>).</w:t>
      </w:r>
    </w:p>
    <w:p w:rsidR="00645210" w:rsidRPr="00DC5EDA" w:rsidRDefault="00645210" w:rsidP="00645210">
      <w:r w:rsidRPr="00DC5EDA">
        <w:t>Atentamente</w:t>
      </w:r>
      <w:r w:rsidR="00C54C9B">
        <w:t>,</w:t>
      </w:r>
    </w:p>
    <w:p w:rsidR="00645210" w:rsidRDefault="00645210" w:rsidP="004D7DD4">
      <w:pPr>
        <w:spacing w:before="1680"/>
        <w:ind w:right="91"/>
      </w:pPr>
      <w:r w:rsidRPr="00DC5EDA">
        <w:t>Malcolm Johnson</w:t>
      </w:r>
      <w:r w:rsidRPr="00DC5EDA">
        <w:br/>
        <w:t>Director de la Oficina de Normalización</w:t>
      </w:r>
      <w:r w:rsidR="004D7DD4">
        <w:br/>
      </w:r>
      <w:r w:rsidRPr="00DC5EDA">
        <w:t>de las Telecomunicaciones</w:t>
      </w:r>
    </w:p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Default="00645210" w:rsidP="00645210"/>
    <w:p w:rsidR="00645210" w:rsidRPr="00DC5EDA" w:rsidRDefault="00645210" w:rsidP="00645210"/>
    <w:p w:rsidR="00645210" w:rsidRPr="00AE6EF3" w:rsidRDefault="00645210" w:rsidP="00645210">
      <w:pPr>
        <w:spacing w:before="720"/>
        <w:ind w:right="92"/>
        <w:rPr>
          <w:bCs/>
          <w:lang w:val="en-US"/>
        </w:rPr>
      </w:pPr>
      <w:proofErr w:type="spellStart"/>
      <w:r w:rsidRPr="00AE6EF3">
        <w:rPr>
          <w:b/>
          <w:lang w:val="en-US"/>
        </w:rPr>
        <w:t>Anex</w:t>
      </w:r>
      <w:r>
        <w:rPr>
          <w:b/>
          <w:lang w:val="en-US"/>
        </w:rPr>
        <w:t>o</w:t>
      </w:r>
      <w:proofErr w:type="spellEnd"/>
      <w:r w:rsidRPr="00AE6EF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787E6E">
        <w:rPr>
          <w:b/>
          <w:lang w:val="en-US"/>
        </w:rPr>
        <w:t>1</w:t>
      </w:r>
    </w:p>
    <w:p w:rsidR="00645210" w:rsidRDefault="00645210" w:rsidP="006452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645210" w:rsidSect="00645210">
          <w:headerReference w:type="default" r:id="rId12"/>
          <w:footerReference w:type="default" r:id="rId13"/>
          <w:footerReference w:type="first" r:id="rId14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5" w:name="Duties"/>
      <w:bookmarkEnd w:id="5"/>
    </w:p>
    <w:p w:rsidR="00DA58A2" w:rsidRPr="00DA58A2" w:rsidRDefault="00DA58A2" w:rsidP="00DA58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DA58A2">
        <w:rPr>
          <w:rFonts w:asciiTheme="majorBidi" w:hAnsiTheme="majorBidi" w:cstheme="majorBidi"/>
          <w:lang w:val="en-US"/>
        </w:rPr>
        <w:t>ANNEX 1</w:t>
      </w:r>
      <w:r w:rsidRPr="00DA58A2">
        <w:rPr>
          <w:rFonts w:asciiTheme="majorBidi" w:hAnsiTheme="majorBidi" w:cstheme="majorBidi"/>
          <w:lang w:val="en-US"/>
        </w:rPr>
        <w:br/>
        <w:t>(to TSB Circular 199)</w:t>
      </w:r>
    </w:p>
    <w:p w:rsidR="00DA58A2" w:rsidRPr="00DA58A2" w:rsidRDefault="00DA58A2" w:rsidP="00DA58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ajorBidi" w:hAnsiTheme="majorBidi" w:cstheme="majorBidi"/>
          <w:b/>
          <w:bCs/>
          <w:iCs/>
          <w:szCs w:val="24"/>
          <w:lang w:val="en-US"/>
        </w:rPr>
      </w:pPr>
      <w:r w:rsidRPr="00DA58A2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Timetable for the activities of Questions of SGs 11 and 13 </w:t>
      </w:r>
      <w:r w:rsidRPr="00DA58A2">
        <w:rPr>
          <w:rFonts w:asciiTheme="majorBidi" w:hAnsiTheme="majorBidi" w:cstheme="majorBidi"/>
          <w:b/>
          <w:bCs/>
          <w:i/>
          <w:iCs/>
          <w:szCs w:val="24"/>
          <w:lang w:val="en-US"/>
        </w:rPr>
        <w:br/>
        <w:t>(Geneva, Switzerland, 10-21 October 2011)</w:t>
      </w:r>
      <w:r w:rsidRPr="00DA58A2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val="en-US"/>
        </w:rPr>
        <w:t xml:space="preserve"> </w:t>
      </w:r>
      <w:r w:rsidRPr="00DA58A2">
        <w:rPr>
          <w:rFonts w:asciiTheme="majorBidi" w:hAnsiTheme="majorBidi" w:cstheme="majorBidi"/>
          <w:b/>
          <w:bCs/>
          <w:szCs w:val="24"/>
          <w:vertAlign w:val="superscript"/>
          <w:lang w:val="en-US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DA58A2" w:rsidRPr="00DA58A2" w:rsidTr="00A9402A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pStyle w:val="Heading3"/>
              <w:spacing w:before="20"/>
              <w:jc w:val="right"/>
              <w:rPr>
                <w:rFonts w:asciiTheme="majorBidi" w:hAnsiTheme="majorBidi" w:cstheme="majorBidi"/>
                <w:color w:val="FF0000"/>
                <w:sz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  <w:lang w:val="fr-CH"/>
              </w:rPr>
            </w:pPr>
            <w:r w:rsidRPr="00DA58A2">
              <w:rPr>
                <w:rFonts w:asciiTheme="majorBidi" w:hAnsiTheme="majorBidi" w:cstheme="majorBidi"/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sz w:val="18"/>
                <w:lang w:val="fr-CH"/>
              </w:rPr>
            </w:pPr>
            <w:r w:rsidRPr="00DA58A2">
              <w:rPr>
                <w:rFonts w:asciiTheme="majorBidi" w:hAnsiTheme="majorBidi" w:cstheme="majorBidi"/>
                <w:sz w:val="18"/>
                <w:lang w:val="fr-CH"/>
              </w:rPr>
              <w:t xml:space="preserve">10 </w:t>
            </w:r>
            <w:proofErr w:type="spellStart"/>
            <w:r w:rsidRPr="00DA58A2">
              <w:rPr>
                <w:rFonts w:asciiTheme="majorBidi" w:hAnsiTheme="majorBidi" w:cstheme="majorBidi"/>
                <w:sz w:val="18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7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11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12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  <w:szCs w:val="18"/>
              </w:rPr>
              <w:t>Thu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13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14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Sun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Mon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17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Tue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18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19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Thu</w:t>
            </w:r>
            <w:proofErr w:type="spellEnd"/>
            <w:r w:rsidRPr="00DA58A2">
              <w:rPr>
                <w:rFonts w:asciiTheme="majorBidi" w:hAnsiTheme="majorBidi" w:cstheme="majorBidi"/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20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18"/>
              </w:rPr>
              <w:t>Fri</w:t>
            </w:r>
            <w:proofErr w:type="spellEnd"/>
            <w:r w:rsidRPr="00DA58A2">
              <w:rPr>
                <w:rFonts w:asciiTheme="majorBidi" w:hAnsiTheme="majorBidi" w:cstheme="majorBidi"/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 xml:space="preserve">21 </w:t>
            </w:r>
            <w:proofErr w:type="spellStart"/>
            <w:r w:rsidRPr="00DA58A2">
              <w:rPr>
                <w:rFonts w:asciiTheme="majorBidi" w:hAnsiTheme="majorBidi" w:cstheme="majorBidi"/>
                <w:sz w:val="17"/>
                <w:lang w:eastAsia="ja-JP"/>
              </w:rPr>
              <w:t>Oct</w:t>
            </w:r>
            <w:proofErr w:type="spellEnd"/>
          </w:p>
        </w:tc>
      </w:tr>
      <w:tr w:rsidR="00DA58A2" w:rsidRPr="00DA58A2" w:rsidTr="00A9402A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A58A2">
              <w:rPr>
                <w:rFonts w:asciiTheme="majorBidi" w:hAnsiTheme="majorBidi" w:cstheme="majorBidi"/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A58A2">
              <w:rPr>
                <w:rFonts w:asciiTheme="majorBidi" w:hAnsiTheme="majorBidi" w:cstheme="majorBidi"/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8"/>
              </w:rPr>
            </w:pPr>
            <w:r w:rsidRPr="00DA58A2">
              <w:rPr>
                <w:rFonts w:asciiTheme="majorBidi" w:hAnsiTheme="majorBidi" w:cstheme="majorBidi"/>
                <w:sz w:val="18"/>
              </w:rPr>
              <w:t>PM</w:t>
            </w: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  <w:t>WP1/13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Q10/13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Q15/13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Q25/13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pt-BR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  <w:t>WP2/13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Q3/13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Q12/13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Q24/13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  <w:t>WP 3/13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 w:line="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Q5/13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Q9/13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Q22/13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pacing w:val="27"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pacing w:val="135"/>
                <w:sz w:val="20"/>
                <w:lang w:val="pt-BR"/>
              </w:rPr>
              <w:t>-</w:t>
            </w: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b/>
                <w:bCs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lang w:val="pt-BR"/>
              </w:rPr>
              <w:t>WP 4/13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Q4/13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Q16/13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DA58A2">
              <w:rPr>
                <w:rFonts w:asciiTheme="majorBidi" w:hAnsiTheme="majorBidi" w:cstheme="majorBidi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Q17/13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lang w:val="fr-CH"/>
              </w:rPr>
              <w:t>WP 5/13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Q7/13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Q19/13</w:t>
            </w:r>
            <w:r w:rsidRPr="00DA58A2">
              <w:rPr>
                <w:rFonts w:asciiTheme="majorBidi" w:hAnsiTheme="majorBidi" w:cstheme="majorBidi"/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</w:rPr>
            </w:pPr>
            <w:r w:rsidRPr="00DA58A2">
              <w:rPr>
                <w:rFonts w:asciiTheme="majorBidi" w:hAnsiTheme="majorBidi" w:cstheme="majorBidi"/>
                <w:sz w:val="14"/>
              </w:rPr>
              <w:t>Q20/13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1C63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</w:rPr>
            </w:pPr>
            <w:r w:rsidRPr="00DA58A2">
              <w:rPr>
                <w:rFonts w:asciiTheme="majorBidi" w:hAnsiTheme="majorBidi" w:cstheme="majorBidi"/>
                <w:sz w:val="14"/>
              </w:rPr>
              <w:t>Q21/13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  <w:r w:rsidRPr="00DA58A2">
              <w:rPr>
                <w:rFonts w:asciiTheme="majorBidi" w:hAnsiTheme="majorBidi" w:cstheme="majorBidi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1C6398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right"/>
              <w:rPr>
                <w:rFonts w:asciiTheme="majorBidi" w:hAnsiTheme="majorBidi" w:cstheme="majorBidi"/>
                <w:sz w:val="14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SG 11 PLEN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7)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</w:t>
            </w: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</w:r>
            <w:r w:rsidRPr="00DA58A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9B04B7">
            <w:pPr>
              <w:keepNext/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</w:t>
            </w:r>
            <w:r w:rsidR="009B04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</w:r>
            <w:r w:rsidRPr="00DA58A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11)</w:t>
            </w: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WPs1/11, 2/11, 3/11,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</w:r>
            <w:r w:rsidRPr="00DA58A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Q2/11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7C209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7C209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 w:rsidRPr="007C209E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Q3/11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--</w:t>
            </w:r>
          </w:p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7C209E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 w:rsidRPr="007C209E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Q4/11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Q5/11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Q6/11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Q7/11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Q8/11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Q9/11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Q10/11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pt-BR"/>
              </w:rPr>
            </w:pPr>
            <w:r w:rsidRPr="00DA58A2">
              <w:rPr>
                <w:rFonts w:asciiTheme="majorBidi" w:hAnsiTheme="majorBidi" w:cstheme="majorBidi"/>
                <w:sz w:val="14"/>
                <w:lang w:val="pt-BR"/>
              </w:rPr>
              <w:t>Q11/11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Q12/11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</w:rPr>
              <w:t>Q13/11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</w:t>
            </w:r>
            <w:r w:rsidRPr="00DA58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Q14/11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14"/>
                <w:lang w:val="fr-CH"/>
              </w:rPr>
            </w:pPr>
            <w:r w:rsidRPr="00DA58A2">
              <w:rPr>
                <w:rFonts w:asciiTheme="majorBidi" w:hAnsiTheme="majorBidi" w:cstheme="majorBidi"/>
                <w:sz w:val="14"/>
                <w:lang w:val="fr-CH"/>
              </w:rPr>
              <w:t>Q15/11</w:t>
            </w:r>
            <w:r w:rsidRPr="00DA58A2">
              <w:rPr>
                <w:rFonts w:asciiTheme="majorBidi" w:hAnsiTheme="majorBidi" w:cstheme="majorBidi"/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20"/>
              </w:rPr>
            </w:pPr>
            <w:r w:rsidRPr="00DA58A2">
              <w:rPr>
                <w:rFonts w:asciiTheme="majorBidi" w:hAnsiTheme="majorBidi" w:cstheme="majorBidi"/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DA58A2" w:rsidRPr="00DA58A2" w:rsidTr="00A9402A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right"/>
              <w:rPr>
                <w:rFonts w:asciiTheme="majorBidi" w:hAnsiTheme="majorBidi" w:cstheme="majorBidi"/>
                <w:sz w:val="20"/>
              </w:rPr>
            </w:pPr>
            <w:r w:rsidRPr="00DA58A2">
              <w:rPr>
                <w:rFonts w:asciiTheme="majorBidi" w:hAnsiTheme="majorBidi" w:cstheme="majorBidi"/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58A2" w:rsidRPr="00DA58A2" w:rsidRDefault="00DA58A2" w:rsidP="00DA58A2">
            <w:pPr>
              <w:spacing w:before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</w:tbl>
    <w:p w:rsidR="00DA58A2" w:rsidRPr="00DA58A2" w:rsidRDefault="00DA58A2" w:rsidP="00DA58A2">
      <w:pPr>
        <w:tabs>
          <w:tab w:val="left" w:pos="567"/>
        </w:tabs>
        <w:spacing w:before="0"/>
        <w:rPr>
          <w:rFonts w:asciiTheme="majorBidi" w:hAnsiTheme="majorBidi" w:cstheme="majorBidi"/>
          <w:sz w:val="20"/>
          <w:lang w:val="en-US"/>
        </w:rPr>
      </w:pPr>
    </w:p>
    <w:p w:rsidR="00DA58A2" w:rsidRPr="00DA58A2" w:rsidRDefault="00DA58A2" w:rsidP="00DA58A2">
      <w:pPr>
        <w:tabs>
          <w:tab w:val="left" w:pos="567"/>
        </w:tabs>
        <w:spacing w:before="0"/>
        <w:rPr>
          <w:rFonts w:asciiTheme="majorBidi" w:hAnsiTheme="majorBidi" w:cstheme="majorBidi"/>
          <w:sz w:val="20"/>
          <w:lang w:eastAsia="ja-JP"/>
        </w:rPr>
      </w:pPr>
      <w:proofErr w:type="spellStart"/>
      <w:r w:rsidRPr="00DA58A2">
        <w:rPr>
          <w:rFonts w:asciiTheme="majorBidi" w:hAnsiTheme="majorBidi" w:cstheme="majorBidi"/>
          <w:sz w:val="20"/>
          <w:lang w:eastAsia="ja-JP"/>
        </w:rPr>
        <w:t>Session</w:t>
      </w:r>
      <w:proofErr w:type="spellEnd"/>
      <w:r w:rsidRPr="00DA58A2">
        <w:rPr>
          <w:rFonts w:asciiTheme="majorBidi" w:hAnsiTheme="majorBidi" w:cstheme="majorBidi"/>
          <w:sz w:val="20"/>
          <w:lang w:eastAsia="ja-JP"/>
        </w:rPr>
        <w:t xml:space="preserve"> 1:  09h30 - 11h00;  </w:t>
      </w:r>
      <w:proofErr w:type="spellStart"/>
      <w:r w:rsidRPr="00DA58A2">
        <w:rPr>
          <w:rFonts w:asciiTheme="majorBidi" w:hAnsiTheme="majorBidi" w:cstheme="majorBidi"/>
          <w:sz w:val="20"/>
          <w:lang w:eastAsia="ja-JP"/>
        </w:rPr>
        <w:t>Session</w:t>
      </w:r>
      <w:proofErr w:type="spellEnd"/>
      <w:r w:rsidRPr="00DA58A2">
        <w:rPr>
          <w:rFonts w:asciiTheme="majorBidi" w:hAnsiTheme="majorBidi" w:cstheme="majorBidi"/>
          <w:sz w:val="20"/>
          <w:lang w:eastAsia="ja-JP"/>
        </w:rPr>
        <w:t xml:space="preserve"> 2:  11h30 - 13h00;  </w:t>
      </w:r>
      <w:proofErr w:type="spellStart"/>
      <w:r w:rsidRPr="00DA58A2">
        <w:rPr>
          <w:rFonts w:asciiTheme="majorBidi" w:hAnsiTheme="majorBidi" w:cstheme="majorBidi"/>
          <w:sz w:val="20"/>
          <w:lang w:eastAsia="ja-JP"/>
        </w:rPr>
        <w:t>Session</w:t>
      </w:r>
      <w:proofErr w:type="spellEnd"/>
      <w:r w:rsidRPr="00DA58A2">
        <w:rPr>
          <w:rFonts w:asciiTheme="majorBidi" w:hAnsiTheme="majorBidi" w:cstheme="majorBidi"/>
          <w:sz w:val="20"/>
          <w:lang w:eastAsia="ja-JP"/>
        </w:rPr>
        <w:t xml:space="preserve"> 3:  14h30 - 16h00;  </w:t>
      </w:r>
      <w:proofErr w:type="spellStart"/>
      <w:r w:rsidRPr="00DA58A2">
        <w:rPr>
          <w:rFonts w:asciiTheme="majorBidi" w:hAnsiTheme="majorBidi" w:cstheme="majorBidi"/>
          <w:sz w:val="20"/>
          <w:lang w:eastAsia="ja-JP"/>
        </w:rPr>
        <w:t>Session</w:t>
      </w:r>
      <w:proofErr w:type="spellEnd"/>
      <w:r w:rsidRPr="00DA58A2">
        <w:rPr>
          <w:rFonts w:asciiTheme="majorBidi" w:hAnsiTheme="majorBidi" w:cstheme="majorBidi"/>
          <w:sz w:val="20"/>
          <w:lang w:eastAsia="ja-JP"/>
        </w:rPr>
        <w:t xml:space="preserve"> 4:  16h30 - 18h00</w:t>
      </w:r>
    </w:p>
    <w:p w:rsidR="00DA58A2" w:rsidRPr="00DA58A2" w:rsidRDefault="00DA58A2" w:rsidP="00DA58A2">
      <w:pPr>
        <w:tabs>
          <w:tab w:val="left" w:pos="567"/>
        </w:tabs>
        <w:spacing w:before="0"/>
        <w:rPr>
          <w:rFonts w:asciiTheme="majorBidi" w:hAnsiTheme="majorBidi" w:cstheme="majorBidi"/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Study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Group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plenary</w:t>
            </w:r>
            <w:proofErr w:type="spellEnd"/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WPx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Working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Party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 x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Technical and Strategic Review session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Joint coordination activity on NGN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b/>
                <w:bCs/>
                <w:sz w:val="20"/>
                <w:lang w:eastAsia="ja-JP"/>
              </w:rPr>
              <w:t>--</w:t>
            </w: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Represents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 a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meeting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session</w:t>
            </w:r>
            <w:proofErr w:type="spellEnd"/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tabs>
                <w:tab w:val="left" w:pos="213"/>
              </w:tabs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Updates to this plan will be posted on the ITU-T SG 13 web page 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2: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Joint session of Q.5/13 and SG11 on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Y.iptv-ipmcast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Supplement (to be confirmed)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 xml:space="preserve">Note 3: 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Joint session of Q.3/13, Q.12/13 and Q.25/13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IoT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/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MoC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/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WoT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/Smart Grid aspects (including terminology)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4: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Joint session of Q.3/13, Q.24/13, Q.25/13 on Mobile IPTV 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Joint session of Q.3/13 and  Q.21/13 on SUN and Future Network requirements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6: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Joint session of Q.3/13, Q.4/13 on possible amendments to Y.2233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7: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/>
              </w:rPr>
              <w:t>SG11 Opening Plenary: starts at 09:30 am</w:t>
            </w:r>
            <w:r w:rsidRPr="00DA58A2">
              <w:rPr>
                <w:rFonts w:asciiTheme="majorBidi" w:eastAsia="SimSun" w:hAnsiTheme="majorBidi" w:cstheme="majorBidi"/>
                <w:sz w:val="20"/>
                <w:lang w:val="en-US" w:eastAsia="zh-CN"/>
              </w:rPr>
              <w:t xml:space="preserve">.  </w:t>
            </w:r>
            <w:r w:rsidRPr="00DA58A2">
              <w:rPr>
                <w:rFonts w:asciiTheme="majorBidi" w:hAnsiTheme="majorBidi" w:cstheme="majorBidi"/>
                <w:sz w:val="20"/>
                <w:lang w:val="en-US"/>
              </w:rPr>
              <w:t>If SG11 Opening plenary finishes earlier, Working Party</w:t>
            </w:r>
            <w:r w:rsidRPr="00DA58A2">
              <w:rPr>
                <w:rFonts w:asciiTheme="majorBidi" w:eastAsia="SimSun" w:hAnsiTheme="majorBidi" w:cstheme="majorBidi"/>
                <w:sz w:val="20"/>
                <w:lang w:val="en-US" w:eastAsia="zh-CN"/>
              </w:rPr>
              <w:t xml:space="preserve"> meetings</w:t>
            </w:r>
            <w:r w:rsidRPr="00DA58A2">
              <w:rPr>
                <w:rFonts w:asciiTheme="majorBidi" w:hAnsiTheme="majorBidi" w:cstheme="majorBidi"/>
                <w:sz w:val="20"/>
                <w:lang w:val="en-US"/>
              </w:rPr>
              <w:t xml:space="preserve"> will start as soon as SG11 Opening Plenary finishes. </w:t>
            </w:r>
            <w:r w:rsidRPr="00DA58A2">
              <w:rPr>
                <w:rFonts w:asciiTheme="majorBidi" w:hAnsiTheme="majorBidi" w:cstheme="majorBidi"/>
                <w:sz w:val="20"/>
              </w:rPr>
              <w:t xml:space="preserve">WP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</w:rPr>
              <w:t>meetings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</w:rPr>
              <w:t>will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</w:rPr>
              <w:t>be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</w:rPr>
              <w:t>held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DA58A2">
              <w:rPr>
                <w:rFonts w:asciiTheme="majorBidi" w:hAnsiTheme="majorBidi" w:cstheme="majorBidi"/>
                <w:sz w:val="20"/>
              </w:rPr>
              <w:t>sequentially</w:t>
            </w:r>
            <w:proofErr w:type="spellEnd"/>
            <w:r w:rsidRPr="00DA58A2">
              <w:rPr>
                <w:rFonts w:asciiTheme="majorBidi" w:hAnsiTheme="majorBidi" w:cstheme="majorBidi"/>
                <w:sz w:val="20"/>
              </w:rPr>
              <w:t>.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8: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zh-CN"/>
              </w:rPr>
              <w:t>Joint meeting between Q.2/11 and Q.3/11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9: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zh-CN"/>
              </w:rPr>
              <w:t>Q.3, Q.4 and Q.5/11 participants will attend Q.13/11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10: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eastAsia="SimSun" w:hAnsiTheme="majorBidi" w:cstheme="majorBidi"/>
                <w:sz w:val="20"/>
                <w:lang w:val="en-US" w:eastAsia="zh-CN"/>
              </w:rPr>
              <w:t>WP closing plenary meetings will be held sequentially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11: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lang w:val="en-US" w:eastAsia="ja-JP"/>
              </w:rPr>
              <w:t>SG11 closing plenary starts at 14:30</w:t>
            </w:r>
          </w:p>
        </w:tc>
      </w:tr>
      <w:tr w:rsidR="00DA58A2" w:rsidRPr="00DA58A2" w:rsidTr="00A9402A">
        <w:trPr>
          <w:cantSplit/>
        </w:trPr>
        <w:tc>
          <w:tcPr>
            <w:tcW w:w="360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A58A2" w:rsidRPr="00DA58A2" w:rsidRDefault="00DA58A2" w:rsidP="00DA58A2">
            <w:pPr>
              <w:spacing w:before="40"/>
              <w:rPr>
                <w:rFonts w:asciiTheme="majorBidi" w:hAnsiTheme="majorBidi" w:cstheme="majorBidi"/>
              </w:rPr>
            </w:pPr>
            <w:r w:rsidRPr="00DA58A2">
              <w:rPr>
                <w:rFonts w:asciiTheme="majorBidi" w:hAnsiTheme="majorBidi" w:cstheme="majorBidi"/>
                <w:sz w:val="20"/>
                <w:lang w:eastAsia="ja-JP"/>
              </w:rPr>
              <w:t>Note 12:</w:t>
            </w:r>
          </w:p>
        </w:tc>
        <w:tc>
          <w:tcPr>
            <w:tcW w:w="12757" w:type="dxa"/>
          </w:tcPr>
          <w:p w:rsidR="00DA58A2" w:rsidRPr="00DA58A2" w:rsidRDefault="00DA58A2" w:rsidP="00DA58A2">
            <w:pPr>
              <w:spacing w:before="4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DA58A2">
              <w:rPr>
                <w:rFonts w:asciiTheme="majorBidi" w:hAnsiTheme="majorBidi" w:cstheme="majorBidi"/>
                <w:sz w:val="20"/>
                <w:szCs w:val="24"/>
                <w:lang w:val="en-US" w:eastAsia="ja-JP"/>
              </w:rPr>
              <w:t>Q.1/11 discusses future work of SG11</w:t>
            </w:r>
          </w:p>
        </w:tc>
      </w:tr>
    </w:tbl>
    <w:p w:rsidR="00DA58A2" w:rsidRPr="00DA58A2" w:rsidRDefault="00DA58A2" w:rsidP="00DA58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  <w:lang w:val="en-US"/>
        </w:rPr>
      </w:pPr>
    </w:p>
    <w:p w:rsidR="00DA58A2" w:rsidRPr="005B7E9E" w:rsidRDefault="00DA58A2" w:rsidP="00DA58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p w:rsidR="00DA58A2" w:rsidRDefault="00DA58A2" w:rsidP="00DA58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overflowPunct/>
        <w:autoSpaceDE/>
        <w:autoSpaceDN/>
        <w:adjustRightInd/>
        <w:spacing w:before="0" w:line="240" w:lineRule="atLeast"/>
        <w:ind w:left="0"/>
        <w:jc w:val="center"/>
        <w:textAlignment w:val="auto"/>
        <w:rPr>
          <w:b/>
          <w:bCs/>
          <w:i/>
          <w:iCs/>
          <w:szCs w:val="24"/>
        </w:rPr>
      </w:pPr>
    </w:p>
    <w:p w:rsidR="00A9402A" w:rsidRPr="005B7E9E" w:rsidRDefault="00A9402A" w:rsidP="00DA58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overflowPunct/>
        <w:autoSpaceDE/>
        <w:autoSpaceDN/>
        <w:adjustRightInd/>
        <w:spacing w:before="0" w:line="240" w:lineRule="atLeast"/>
        <w:ind w:left="0"/>
        <w:jc w:val="center"/>
        <w:textAlignment w:val="auto"/>
        <w:rPr>
          <w:b/>
          <w:bCs/>
          <w:i/>
          <w:iCs/>
          <w:szCs w:val="24"/>
        </w:rPr>
      </w:pPr>
    </w:p>
    <w:sectPr w:rsidR="00A9402A" w:rsidRPr="005B7E9E" w:rsidSect="00645210">
      <w:headerReference w:type="default" r:id="rId15"/>
      <w:footerReference w:type="default" r:id="rId16"/>
      <w:footerReference w:type="first" r:id="rId17"/>
      <w:pgSz w:w="16840" w:h="11907" w:orient="landscape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9E" w:rsidRDefault="007C209E">
      <w:r>
        <w:separator/>
      </w:r>
    </w:p>
  </w:endnote>
  <w:endnote w:type="continuationSeparator" w:id="0">
    <w:p w:rsidR="007C209E" w:rsidRDefault="007C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98" w:rsidRDefault="001C6398" w:rsidP="001C6398">
    <w:pPr>
      <w:pStyle w:val="Footer"/>
    </w:pPr>
    <w:r>
      <w:t>ITU-T\BUREAU\CIRC\199S.DOC</w:t>
    </w:r>
  </w:p>
  <w:p w:rsidR="001C6398" w:rsidRDefault="001C63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7C209E" w:rsidRPr="0064521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209E" w:rsidRDefault="007C209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C209E" w:rsidRDefault="007C209E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C209E" w:rsidRDefault="007C209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209E" w:rsidRDefault="007C209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C209E">
      <w:trPr>
        <w:cantSplit/>
      </w:trPr>
      <w:tc>
        <w:tcPr>
          <w:tcW w:w="1062" w:type="pct"/>
        </w:tcPr>
        <w:p w:rsidR="007C209E" w:rsidRDefault="007C209E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7C209E" w:rsidRDefault="007C209E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C209E" w:rsidRDefault="007C209E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7C209E" w:rsidRDefault="007C209E">
          <w:pPr>
            <w:pStyle w:val="itu"/>
          </w:pPr>
          <w:r>
            <w:tab/>
            <w:t>www.itu.int</w:t>
          </w:r>
        </w:p>
      </w:tc>
    </w:tr>
    <w:tr w:rsidR="007C209E">
      <w:trPr>
        <w:cantSplit/>
      </w:trPr>
      <w:tc>
        <w:tcPr>
          <w:tcW w:w="1062" w:type="pct"/>
        </w:tcPr>
        <w:p w:rsidR="007C209E" w:rsidRDefault="007C209E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7C209E" w:rsidRDefault="007C209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C209E" w:rsidRDefault="007C209E">
          <w:pPr>
            <w:pStyle w:val="itu"/>
          </w:pPr>
        </w:p>
      </w:tc>
      <w:tc>
        <w:tcPr>
          <w:tcW w:w="1131" w:type="pct"/>
        </w:tcPr>
        <w:p w:rsidR="007C209E" w:rsidRDefault="007C209E">
          <w:pPr>
            <w:pStyle w:val="itu"/>
          </w:pPr>
        </w:p>
      </w:tc>
    </w:tr>
  </w:tbl>
  <w:p w:rsidR="007C209E" w:rsidRDefault="007C209E" w:rsidP="003D1D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9E" w:rsidRPr="008F036F" w:rsidRDefault="001C6398" w:rsidP="008F036F">
    <w:pPr>
      <w:pStyle w:val="Footer"/>
    </w:pPr>
    <w:r>
      <w:t>ITU-T\BUREAU\CIRC\199S.DOC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7C209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C209E" w:rsidRDefault="007C209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C209E" w:rsidRDefault="007C209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C209E" w:rsidRDefault="007C209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C209E" w:rsidRDefault="007C209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C209E">
      <w:tc>
        <w:tcPr>
          <w:tcW w:w="1985" w:type="dxa"/>
        </w:tcPr>
        <w:p w:rsidR="007C209E" w:rsidRDefault="007C20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C209E" w:rsidRDefault="007C209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C209E" w:rsidRDefault="007C20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C209E" w:rsidRDefault="007C209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C209E">
      <w:tc>
        <w:tcPr>
          <w:tcW w:w="1985" w:type="dxa"/>
        </w:tcPr>
        <w:p w:rsidR="007C209E" w:rsidRDefault="007C20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C209E" w:rsidRDefault="007C209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C209E" w:rsidRDefault="007C209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C209E" w:rsidRDefault="007C209E">
          <w:pPr>
            <w:pStyle w:val="FirstFooter"/>
            <w:rPr>
              <w:rFonts w:ascii="Futura Lt BT" w:hAnsi="Futura Lt BT"/>
            </w:rPr>
          </w:pPr>
        </w:p>
      </w:tc>
    </w:tr>
  </w:tbl>
  <w:p w:rsidR="007C209E" w:rsidRDefault="007C209E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9E" w:rsidRDefault="007C209E">
      <w:r>
        <w:t>____________________</w:t>
      </w:r>
    </w:p>
  </w:footnote>
  <w:footnote w:type="continuationSeparator" w:id="0">
    <w:p w:rsidR="007C209E" w:rsidRDefault="007C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9E" w:rsidRPr="000219DA" w:rsidRDefault="007C209E" w:rsidP="003D1D7D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C0025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0025E">
      <w:rPr>
        <w:rStyle w:val="PageNumber"/>
      </w:rPr>
      <w:fldChar w:fldCharType="separate"/>
    </w:r>
    <w:r w:rsidR="001C6398">
      <w:rPr>
        <w:rStyle w:val="PageNumber"/>
        <w:noProof/>
      </w:rPr>
      <w:t>2</w:t>
    </w:r>
    <w:r w:rsidR="00C0025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9E" w:rsidRPr="00303D62" w:rsidRDefault="007C209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C0025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C0025E" w:rsidRPr="00303D62">
      <w:rPr>
        <w:rStyle w:val="PageNumber"/>
        <w:sz w:val="18"/>
        <w:szCs w:val="18"/>
      </w:rPr>
      <w:fldChar w:fldCharType="separate"/>
    </w:r>
    <w:r w:rsidR="001C6398">
      <w:rPr>
        <w:rStyle w:val="PageNumber"/>
        <w:noProof/>
        <w:sz w:val="18"/>
        <w:szCs w:val="18"/>
      </w:rPr>
      <w:t>3</w:t>
    </w:r>
    <w:r w:rsidR="00C0025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7C209E" w:rsidRDefault="007C20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7"/>
  </w:num>
  <w:num w:numId="6">
    <w:abstractNumId w:val="16"/>
  </w:num>
  <w:num w:numId="7">
    <w:abstractNumId w:val="18"/>
  </w:num>
  <w:num w:numId="8">
    <w:abstractNumId w:val="21"/>
  </w:num>
  <w:num w:numId="9">
    <w:abstractNumId w:val="45"/>
  </w:num>
  <w:num w:numId="10">
    <w:abstractNumId w:val="42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7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6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40"/>
  </w:num>
  <w:num w:numId="38">
    <w:abstractNumId w:val="23"/>
  </w:num>
  <w:num w:numId="39">
    <w:abstractNumId w:val="39"/>
  </w:num>
  <w:num w:numId="40">
    <w:abstractNumId w:val="27"/>
  </w:num>
  <w:num w:numId="41">
    <w:abstractNumId w:val="44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C382F"/>
    <w:rsid w:val="001173CC"/>
    <w:rsid w:val="00146B7E"/>
    <w:rsid w:val="001A54CC"/>
    <w:rsid w:val="001C6398"/>
    <w:rsid w:val="00257FB4"/>
    <w:rsid w:val="00303D62"/>
    <w:rsid w:val="0030747C"/>
    <w:rsid w:val="00331AC5"/>
    <w:rsid w:val="00335367"/>
    <w:rsid w:val="00370C2D"/>
    <w:rsid w:val="003778A4"/>
    <w:rsid w:val="00394E75"/>
    <w:rsid w:val="003D1D7D"/>
    <w:rsid w:val="003D1E8D"/>
    <w:rsid w:val="003D673B"/>
    <w:rsid w:val="003F2855"/>
    <w:rsid w:val="00401C20"/>
    <w:rsid w:val="004C4144"/>
    <w:rsid w:val="004D65DE"/>
    <w:rsid w:val="004D7DD4"/>
    <w:rsid w:val="00537A4F"/>
    <w:rsid w:val="0059438C"/>
    <w:rsid w:val="006238B9"/>
    <w:rsid w:val="00645210"/>
    <w:rsid w:val="006969B4"/>
    <w:rsid w:val="00781E2A"/>
    <w:rsid w:val="007C209E"/>
    <w:rsid w:val="008258C2"/>
    <w:rsid w:val="008505BD"/>
    <w:rsid w:val="00850C78"/>
    <w:rsid w:val="008C17AD"/>
    <w:rsid w:val="008D02CD"/>
    <w:rsid w:val="008F036F"/>
    <w:rsid w:val="0095172A"/>
    <w:rsid w:val="009A0BA0"/>
    <w:rsid w:val="009B04B7"/>
    <w:rsid w:val="00A54E47"/>
    <w:rsid w:val="00A9402A"/>
    <w:rsid w:val="00AE7093"/>
    <w:rsid w:val="00B422BC"/>
    <w:rsid w:val="00B43F77"/>
    <w:rsid w:val="00B55A3E"/>
    <w:rsid w:val="00B95F0A"/>
    <w:rsid w:val="00B96180"/>
    <w:rsid w:val="00C0025E"/>
    <w:rsid w:val="00C17AC0"/>
    <w:rsid w:val="00C34772"/>
    <w:rsid w:val="00C5465A"/>
    <w:rsid w:val="00C54C9B"/>
    <w:rsid w:val="00D54642"/>
    <w:rsid w:val="00DA58A2"/>
    <w:rsid w:val="00DD77C9"/>
    <w:rsid w:val="00E839B0"/>
    <w:rsid w:val="00E92C09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394E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94E7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394E7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94E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94E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94E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94E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94E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94E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394E75"/>
    <w:rPr>
      <w:vertAlign w:val="superscript"/>
    </w:rPr>
  </w:style>
  <w:style w:type="paragraph" w:styleId="TOC8">
    <w:name w:val="toc 8"/>
    <w:basedOn w:val="TOC3"/>
    <w:rsid w:val="00394E75"/>
  </w:style>
  <w:style w:type="paragraph" w:styleId="TOC7">
    <w:name w:val="toc 7"/>
    <w:basedOn w:val="TOC3"/>
    <w:rsid w:val="00394E75"/>
  </w:style>
  <w:style w:type="paragraph" w:styleId="TOC6">
    <w:name w:val="toc 6"/>
    <w:basedOn w:val="TOC3"/>
    <w:rsid w:val="00394E75"/>
  </w:style>
  <w:style w:type="paragraph" w:styleId="TOC5">
    <w:name w:val="toc 5"/>
    <w:basedOn w:val="TOC3"/>
    <w:rsid w:val="00394E75"/>
  </w:style>
  <w:style w:type="paragraph" w:styleId="TOC4">
    <w:name w:val="toc 4"/>
    <w:basedOn w:val="TOC3"/>
    <w:rsid w:val="00394E75"/>
  </w:style>
  <w:style w:type="paragraph" w:styleId="TOC3">
    <w:name w:val="toc 3"/>
    <w:basedOn w:val="TOC2"/>
    <w:rsid w:val="00394E75"/>
    <w:pPr>
      <w:spacing w:before="80"/>
    </w:pPr>
  </w:style>
  <w:style w:type="paragraph" w:styleId="TOC2">
    <w:name w:val="toc 2"/>
    <w:basedOn w:val="TOC1"/>
    <w:rsid w:val="00394E75"/>
    <w:pPr>
      <w:spacing w:before="120"/>
    </w:pPr>
  </w:style>
  <w:style w:type="paragraph" w:styleId="TOC1">
    <w:name w:val="toc 1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94E75"/>
    <w:pPr>
      <w:ind w:left="1698"/>
    </w:pPr>
  </w:style>
  <w:style w:type="paragraph" w:styleId="Index6">
    <w:name w:val="index 6"/>
    <w:basedOn w:val="Normal"/>
    <w:next w:val="Normal"/>
    <w:semiHidden/>
    <w:rsid w:val="00394E75"/>
    <w:pPr>
      <w:ind w:left="1415"/>
    </w:pPr>
  </w:style>
  <w:style w:type="paragraph" w:styleId="Index5">
    <w:name w:val="index 5"/>
    <w:basedOn w:val="Normal"/>
    <w:next w:val="Normal"/>
    <w:semiHidden/>
    <w:rsid w:val="00394E75"/>
    <w:pPr>
      <w:ind w:left="1132"/>
    </w:pPr>
  </w:style>
  <w:style w:type="paragraph" w:styleId="Index4">
    <w:name w:val="index 4"/>
    <w:basedOn w:val="Normal"/>
    <w:next w:val="Normal"/>
    <w:semiHidden/>
    <w:rsid w:val="00394E75"/>
    <w:pPr>
      <w:ind w:left="849"/>
    </w:pPr>
  </w:style>
  <w:style w:type="paragraph" w:styleId="Index3">
    <w:name w:val="index 3"/>
    <w:basedOn w:val="Normal"/>
    <w:next w:val="Normal"/>
    <w:rsid w:val="00394E75"/>
    <w:pPr>
      <w:ind w:left="566"/>
    </w:pPr>
  </w:style>
  <w:style w:type="paragraph" w:styleId="Index2">
    <w:name w:val="index 2"/>
    <w:basedOn w:val="Normal"/>
    <w:next w:val="Normal"/>
    <w:rsid w:val="00394E75"/>
    <w:pPr>
      <w:ind w:left="283"/>
    </w:pPr>
  </w:style>
  <w:style w:type="paragraph" w:styleId="Index1">
    <w:name w:val="index 1"/>
    <w:basedOn w:val="Normal"/>
    <w:next w:val="Normal"/>
    <w:rsid w:val="00394E75"/>
  </w:style>
  <w:style w:type="character" w:styleId="LineNumber">
    <w:name w:val="line number"/>
    <w:basedOn w:val="DefaultParagraphFont"/>
    <w:rsid w:val="00394E75"/>
  </w:style>
  <w:style w:type="paragraph" w:styleId="IndexHeading">
    <w:name w:val="index heading"/>
    <w:basedOn w:val="Normal"/>
    <w:next w:val="Index1"/>
    <w:semiHidden/>
    <w:rsid w:val="00394E75"/>
  </w:style>
  <w:style w:type="paragraph" w:styleId="Footer">
    <w:name w:val="footer"/>
    <w:aliases w:val="pie de página,fo"/>
    <w:basedOn w:val="Normal"/>
    <w:link w:val="FooterChar"/>
    <w:uiPriority w:val="99"/>
    <w:rsid w:val="00394E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94E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394E7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94E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94E75"/>
    <w:pPr>
      <w:ind w:left="794"/>
    </w:pPr>
  </w:style>
  <w:style w:type="paragraph" w:customStyle="1" w:styleId="TableLegend">
    <w:name w:val="Table_Legend"/>
    <w:basedOn w:val="TableText"/>
    <w:rsid w:val="00394E75"/>
    <w:pPr>
      <w:spacing w:before="120"/>
    </w:pPr>
  </w:style>
  <w:style w:type="paragraph" w:customStyle="1" w:styleId="TableText">
    <w:name w:val="Table_Text"/>
    <w:basedOn w:val="Normal"/>
    <w:rsid w:val="00394E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94E7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94E7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94E75"/>
    <w:pPr>
      <w:spacing w:before="80"/>
      <w:ind w:left="794" w:hanging="794"/>
    </w:pPr>
  </w:style>
  <w:style w:type="paragraph" w:customStyle="1" w:styleId="enumlev2">
    <w:name w:val="enumlev2"/>
    <w:basedOn w:val="enumlev1"/>
    <w:rsid w:val="00394E75"/>
    <w:pPr>
      <w:ind w:left="1191" w:hanging="397"/>
    </w:pPr>
  </w:style>
  <w:style w:type="paragraph" w:customStyle="1" w:styleId="enumlev3">
    <w:name w:val="enumlev3"/>
    <w:basedOn w:val="enumlev2"/>
    <w:rsid w:val="00394E75"/>
    <w:pPr>
      <w:ind w:left="1588"/>
    </w:pPr>
  </w:style>
  <w:style w:type="paragraph" w:customStyle="1" w:styleId="TableHead">
    <w:name w:val="Table_Head"/>
    <w:basedOn w:val="TableText"/>
    <w:rsid w:val="00394E7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94E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94E75"/>
    <w:pPr>
      <w:spacing w:before="480"/>
    </w:pPr>
  </w:style>
  <w:style w:type="paragraph" w:customStyle="1" w:styleId="FigureTitle">
    <w:name w:val="Figure_Title"/>
    <w:basedOn w:val="TableTitle"/>
    <w:next w:val="Normal"/>
    <w:rsid w:val="00394E7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94E7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94E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94E7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94E75"/>
  </w:style>
  <w:style w:type="paragraph" w:customStyle="1" w:styleId="AppendixRef">
    <w:name w:val="Appendix_Ref"/>
    <w:basedOn w:val="AnnexRef"/>
    <w:next w:val="AppendixTitle"/>
    <w:rsid w:val="00394E75"/>
  </w:style>
  <w:style w:type="paragraph" w:customStyle="1" w:styleId="AppendixTitle">
    <w:name w:val="Appendix_Title"/>
    <w:basedOn w:val="AnnexTitle"/>
    <w:next w:val="Normal"/>
    <w:rsid w:val="00394E75"/>
  </w:style>
  <w:style w:type="paragraph" w:customStyle="1" w:styleId="RefTitle">
    <w:name w:val="Ref_Title"/>
    <w:basedOn w:val="Normal"/>
    <w:next w:val="RefText"/>
    <w:rsid w:val="00394E7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94E75"/>
    <w:pPr>
      <w:ind w:left="794" w:hanging="794"/>
    </w:pPr>
  </w:style>
  <w:style w:type="paragraph" w:customStyle="1" w:styleId="Equation">
    <w:name w:val="Equation"/>
    <w:basedOn w:val="Normal"/>
    <w:rsid w:val="00394E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94E7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94E75"/>
    <w:pPr>
      <w:spacing w:before="320"/>
    </w:pPr>
  </w:style>
  <w:style w:type="paragraph" w:customStyle="1" w:styleId="call">
    <w:name w:val="call"/>
    <w:basedOn w:val="Normal"/>
    <w:next w:val="Normal"/>
    <w:rsid w:val="00394E7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94E7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94E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94E7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94E7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394E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394E7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94E7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394E75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394E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394E75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394E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394E7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394E75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394E75"/>
  </w:style>
  <w:style w:type="paragraph" w:customStyle="1" w:styleId="listitem">
    <w:name w:val="listitem"/>
    <w:basedOn w:val="Normal"/>
    <w:rsid w:val="00394E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394E75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394E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94E75"/>
    <w:pPr>
      <w:tabs>
        <w:tab w:val="left" w:pos="397"/>
      </w:tabs>
    </w:pPr>
  </w:style>
  <w:style w:type="paragraph" w:customStyle="1" w:styleId="FirstFooter">
    <w:name w:val="FirstFooter"/>
    <w:basedOn w:val="Footer"/>
    <w:rsid w:val="00394E7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94E75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331A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1AC5"/>
    <w:rPr>
      <w:rFonts w:ascii="Times New Roman" w:hAnsi="Times New Roman"/>
      <w:sz w:val="16"/>
      <w:szCs w:val="16"/>
      <w:lang w:val="es-ES_tradnl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645210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645210"/>
    <w:rPr>
      <w:rFonts w:ascii="Arial" w:hAnsi="Arial"/>
      <w:sz w:val="22"/>
      <w:lang w:val="es-ES_tradnl" w:eastAsia="en-US"/>
    </w:rPr>
  </w:style>
  <w:style w:type="paragraph" w:styleId="BodyText0">
    <w:name w:val="Body Text"/>
    <w:basedOn w:val="Normal"/>
    <w:link w:val="BodyTextChar"/>
    <w:rsid w:val="00645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645210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645210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DocumentMap">
    <w:name w:val="Document Map"/>
    <w:basedOn w:val="Normal"/>
    <w:link w:val="DocumentMapChar"/>
    <w:rsid w:val="00645210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645210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645210"/>
    <w:rPr>
      <w:i/>
      <w:iCs/>
    </w:rPr>
  </w:style>
  <w:style w:type="table" w:styleId="TableGrid">
    <w:name w:val="Table Grid"/>
    <w:basedOn w:val="TableNormal"/>
    <w:rsid w:val="0064521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645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64521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645210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45210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64521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645210"/>
    <w:rPr>
      <w:rFonts w:ascii="Times New Roman" w:eastAsia="BatangChe" w:hAnsi="Times New Roman"/>
      <w:sz w:val="22"/>
      <w:lang w:eastAsia="ko-KR"/>
    </w:rPr>
  </w:style>
  <w:style w:type="paragraph" w:styleId="BalloonText">
    <w:name w:val="Balloon Text"/>
    <w:basedOn w:val="Normal"/>
    <w:link w:val="BalloonTextChar"/>
    <w:rsid w:val="00645210"/>
    <w:pPr>
      <w:overflowPunct/>
      <w:autoSpaceDE/>
      <w:autoSpaceDN/>
      <w:adjustRightInd/>
      <w:spacing w:before="0"/>
      <w:textAlignment w:val="auto"/>
    </w:pPr>
    <w:rPr>
      <w:rFonts w:ascii="Tahoma" w:eastAsia="Batang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45210"/>
    <w:rPr>
      <w:rFonts w:ascii="Tahoma" w:eastAsia="Batang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rsid w:val="00645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645210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645210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45210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645210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645210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645210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45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331A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1AC5"/>
    <w:rPr>
      <w:rFonts w:ascii="Times New Roman" w:hAnsi="Times New Roman"/>
      <w:sz w:val="16"/>
      <w:szCs w:val="16"/>
      <w:lang w:val="es-ES_tradnl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645210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645210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645210"/>
    <w:rPr>
      <w:rFonts w:ascii="Arial" w:hAnsi="Arial"/>
      <w:sz w:val="22"/>
      <w:lang w:val="es-ES_tradnl" w:eastAsia="en-US"/>
    </w:rPr>
  </w:style>
  <w:style w:type="paragraph" w:styleId="BodyText0">
    <w:name w:val="Body Text"/>
    <w:basedOn w:val="Normal"/>
    <w:link w:val="BodyTextChar"/>
    <w:rsid w:val="00645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645210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645210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DocumentMap">
    <w:name w:val="Document Map"/>
    <w:basedOn w:val="Normal"/>
    <w:link w:val="DocumentMapChar"/>
    <w:rsid w:val="00645210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645210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645210"/>
    <w:rPr>
      <w:i/>
      <w:iCs/>
    </w:rPr>
  </w:style>
  <w:style w:type="table" w:styleId="TableGrid">
    <w:name w:val="Table Grid"/>
    <w:basedOn w:val="TableNormal"/>
    <w:rsid w:val="0064521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645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64521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645210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45210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64521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645210"/>
    <w:rPr>
      <w:rFonts w:ascii="Times New Roman" w:eastAsia="BatangChe" w:hAnsi="Times New Roman"/>
      <w:sz w:val="22"/>
      <w:lang w:eastAsia="ko-KR"/>
    </w:rPr>
  </w:style>
  <w:style w:type="paragraph" w:styleId="BalloonText">
    <w:name w:val="Balloon Text"/>
    <w:basedOn w:val="Normal"/>
    <w:link w:val="BalloonTextChar"/>
    <w:rsid w:val="00645210"/>
    <w:pPr>
      <w:overflowPunct/>
      <w:autoSpaceDE/>
      <w:autoSpaceDN/>
      <w:adjustRightInd/>
      <w:spacing w:before="0"/>
      <w:textAlignment w:val="auto"/>
    </w:pPr>
    <w:rPr>
      <w:rFonts w:ascii="Tahoma" w:eastAsia="Batang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45210"/>
    <w:rPr>
      <w:rFonts w:ascii="Tahoma" w:eastAsia="Batang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rsid w:val="00645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645210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645210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45210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645210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645210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645210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45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ngngsi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T/ngn/ev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ngngsi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6622-0380-4C3D-B6B4-83DD677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7043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tello</dc:creator>
  <cp:keywords/>
  <dc:description>199S.docx  For: _x000d_Document date: _x000d_Saved by RC-106393 at 12:01:04 on 24.06.2011</dc:description>
  <cp:lastModifiedBy>bettini</cp:lastModifiedBy>
  <cp:revision>2</cp:revision>
  <cp:lastPrinted>2011-06-28T09:43:00Z</cp:lastPrinted>
  <dcterms:created xsi:type="dcterms:W3CDTF">2011-06-28T09:43:00Z</dcterms:created>
  <dcterms:modified xsi:type="dcterms:W3CDTF">2011-06-28T09:43:00Z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199S.docx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