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70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BE37FB" w:rsidTr="001527CD">
        <w:trPr>
          <w:cantSplit/>
        </w:trPr>
        <w:tc>
          <w:tcPr>
            <w:tcW w:w="6237" w:type="dxa"/>
            <w:vAlign w:val="center"/>
          </w:tcPr>
          <w:p w:rsidR="00BE37FB" w:rsidRPr="00B73F4D" w:rsidRDefault="00BE37FB" w:rsidP="001527CD">
            <w:pPr>
              <w:tabs>
                <w:tab w:val="right" w:pos="8732"/>
              </w:tabs>
              <w:spacing w:before="0"/>
              <w:rPr>
                <w:rFonts w:asci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BE37FB" w:rsidRPr="00F50108" w:rsidRDefault="007A0E5A" w:rsidP="001527C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logo_C_" style="width:131.1pt;height:55pt;visibility:visible">
                  <v:imagedata r:id="rId8" o:title=""/>
                </v:shape>
              </w:pict>
            </w:r>
          </w:p>
        </w:tc>
      </w:tr>
      <w:tr w:rsidR="00BE37FB" w:rsidRPr="00F50108" w:rsidTr="001527CD">
        <w:trPr>
          <w:cantSplit/>
        </w:trPr>
        <w:tc>
          <w:tcPr>
            <w:tcW w:w="6237" w:type="dxa"/>
            <w:vAlign w:val="center"/>
          </w:tcPr>
          <w:p w:rsidR="00BE37FB" w:rsidRPr="00F50108" w:rsidRDefault="00BE37FB" w:rsidP="001527C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E37FB" w:rsidRPr="00F50108" w:rsidRDefault="00BE37FB" w:rsidP="001527C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BE37FB" w:rsidRDefault="00BE37FB" w:rsidP="00C278C8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BE37FB" w:rsidRDefault="00BE37FB" w:rsidP="00C278C8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  <w:t>2011</w:t>
      </w:r>
      <w:r>
        <w:rPr>
          <w:rFonts w:hint="eastAsia"/>
          <w:lang w:eastAsia="zh-CN"/>
        </w:rPr>
        <w:t>年</w:t>
      </w:r>
      <w:r>
        <w:rPr>
          <w:lang w:eastAsia="zh-CN"/>
        </w:rPr>
        <w:t>8</w:t>
      </w:r>
      <w:r>
        <w:rPr>
          <w:rFonts w:hint="eastAsia"/>
          <w:lang w:eastAsia="zh-CN"/>
        </w:rPr>
        <w:t>月</w:t>
      </w:r>
      <w:r>
        <w:rPr>
          <w:lang w:eastAsia="zh-CN"/>
        </w:rPr>
        <w:t>10</w:t>
      </w:r>
      <w:r>
        <w:rPr>
          <w:rFonts w:hint="eastAsia"/>
          <w:lang w:eastAsia="zh-CN"/>
        </w:rPr>
        <w:t>日，日内瓦</w:t>
      </w:r>
    </w:p>
    <w:p w:rsidR="00BE37FB" w:rsidRDefault="00BE37FB" w:rsidP="00C278C8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4317"/>
        <w:gridCol w:w="4436"/>
      </w:tblGrid>
      <w:tr w:rsidR="00BE37FB">
        <w:trPr>
          <w:cantSplit/>
        </w:trPr>
        <w:tc>
          <w:tcPr>
            <w:tcW w:w="1112" w:type="dxa"/>
          </w:tcPr>
          <w:p w:rsidR="00BE37FB" w:rsidRDefault="00BE37FB" w:rsidP="00C278C8">
            <w:pPr>
              <w:tabs>
                <w:tab w:val="left" w:pos="4111"/>
              </w:tabs>
              <w:spacing w:before="10"/>
              <w:rPr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BE37FB" w:rsidRDefault="00BE37FB" w:rsidP="00C278C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</w:p>
        </w:tc>
        <w:tc>
          <w:tcPr>
            <w:tcW w:w="4317" w:type="dxa"/>
          </w:tcPr>
          <w:p w:rsidR="00BE37FB" w:rsidRDefault="00BE37FB" w:rsidP="00C278C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>
              <w:rPr>
                <w:b/>
                <w:lang w:eastAsia="zh-CN"/>
              </w:rPr>
              <w:t>218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BE37FB" w:rsidRDefault="00BE37FB" w:rsidP="00C278C8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COM9/SP</w:t>
            </w:r>
          </w:p>
          <w:p w:rsidR="00BE37FB" w:rsidRDefault="00BE37FB" w:rsidP="00C278C8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</w:tc>
        <w:tc>
          <w:tcPr>
            <w:tcW w:w="4436" w:type="dxa"/>
          </w:tcPr>
          <w:p w:rsidR="00BE37FB" w:rsidRDefault="00BE37FB" w:rsidP="00C278C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</w:t>
            </w:r>
          </w:p>
          <w:p w:rsidR="00BE37FB" w:rsidRDefault="00BE37FB" w:rsidP="00C278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BE37FB">
        <w:trPr>
          <w:cantSplit/>
        </w:trPr>
        <w:tc>
          <w:tcPr>
            <w:tcW w:w="1112" w:type="dxa"/>
          </w:tcPr>
          <w:p w:rsidR="00BE37FB" w:rsidRDefault="00BE37FB" w:rsidP="00C278C8">
            <w:pPr>
              <w:spacing w:before="10"/>
              <w:rPr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BE37FB" w:rsidRDefault="00BE37FB" w:rsidP="00C278C8">
            <w:pPr>
              <w:spacing w:before="10"/>
              <w:rPr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BE37FB" w:rsidRDefault="00BE37FB" w:rsidP="00C278C8">
            <w:pPr>
              <w:spacing w:before="1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电子邮件</w:t>
            </w:r>
            <w:r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317" w:type="dxa"/>
          </w:tcPr>
          <w:p w:rsidR="00BE37FB" w:rsidRDefault="00BE37FB" w:rsidP="00C278C8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+41 22 730 5858</w:t>
            </w:r>
          </w:p>
          <w:p w:rsidR="00BE37FB" w:rsidRDefault="00BE37FB" w:rsidP="00C278C8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BE37FB" w:rsidRDefault="007A0E5A" w:rsidP="00C278C8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9" w:history="1">
              <w:r w:rsidR="00BE37FB" w:rsidRPr="00A21075">
                <w:rPr>
                  <w:rStyle w:val="Hyperlink"/>
                  <w:lang w:eastAsia="zh-CN"/>
                </w:rPr>
                <w:t>tsbsg9@itu.int</w:t>
              </w:r>
            </w:hyperlink>
          </w:p>
        </w:tc>
        <w:tc>
          <w:tcPr>
            <w:tcW w:w="4436" w:type="dxa"/>
          </w:tcPr>
          <w:p w:rsidR="00BE37FB" w:rsidRDefault="00BE37FB" w:rsidP="00C278C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E37FB" w:rsidRDefault="00BE37FB" w:rsidP="00C278C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BE37FB" w:rsidRDefault="00BE37FB" w:rsidP="00C278C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BE37FB" w:rsidRPr="00342096" w:rsidRDefault="00BE37FB" w:rsidP="00C278C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BE37FB" w:rsidRDefault="00BE37FB" w:rsidP="00C278C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BE37FB" w:rsidRDefault="00BE37FB" w:rsidP="00C278C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BE37FB" w:rsidRDefault="00BE37FB" w:rsidP="00C278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BE37FB" w:rsidRDefault="00BE37FB" w:rsidP="00C278C8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7087"/>
      </w:tblGrid>
      <w:tr w:rsidR="00BE37FB" w:rsidTr="00742159">
        <w:trPr>
          <w:cantSplit/>
        </w:trPr>
        <w:tc>
          <w:tcPr>
            <w:tcW w:w="993" w:type="dxa"/>
          </w:tcPr>
          <w:p w:rsidR="00BE37FB" w:rsidRDefault="00BE37FB" w:rsidP="00C278C8">
            <w:pPr>
              <w:tabs>
                <w:tab w:val="left" w:pos="4111"/>
              </w:tabs>
              <w:ind w:left="-107"/>
              <w:jc w:val="both"/>
              <w:rPr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BE37FB" w:rsidRDefault="00BE37FB" w:rsidP="00C278C8">
            <w:pPr>
              <w:tabs>
                <w:tab w:val="left" w:pos="4111"/>
              </w:tabs>
              <w:ind w:left="-20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批准第</w:t>
            </w:r>
            <w:r>
              <w:rPr>
                <w:b/>
                <w:lang w:eastAsia="zh-CN"/>
              </w:rPr>
              <w:t>14/9</w:t>
            </w:r>
            <w:r>
              <w:rPr>
                <w:rFonts w:hint="eastAsia"/>
                <w:b/>
                <w:lang w:eastAsia="zh-CN"/>
              </w:rPr>
              <w:t>号新课题</w:t>
            </w:r>
          </w:p>
        </w:tc>
      </w:tr>
    </w:tbl>
    <w:p w:rsidR="00BE37FB" w:rsidRDefault="00BE37FB" w:rsidP="00C278C8">
      <w:pPr>
        <w:rPr>
          <w:lang w:eastAsia="zh-CN"/>
        </w:rPr>
      </w:pPr>
    </w:p>
    <w:p w:rsidR="00BE37FB" w:rsidRDefault="00BE37FB" w:rsidP="00C278C8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BE37FB" w:rsidRPr="00E25535" w:rsidRDefault="00BE37FB" w:rsidP="007A0E5A">
      <w:pPr>
        <w:tabs>
          <w:tab w:val="clear" w:pos="794"/>
          <w:tab w:val="clear" w:pos="1191"/>
          <w:tab w:val="clear" w:pos="1588"/>
          <w:tab w:val="clear" w:pos="1985"/>
          <w:tab w:val="left" w:pos="784"/>
        </w:tabs>
        <w:spacing w:before="240"/>
        <w:rPr>
          <w:szCs w:val="24"/>
          <w:lang w:eastAsia="zh-CN"/>
        </w:rPr>
      </w:pPr>
      <w:r>
        <w:rPr>
          <w:bCs/>
          <w:lang w:eastAsia="zh-CN"/>
        </w:rPr>
        <w:t>1</w:t>
      </w:r>
      <w:r>
        <w:rPr>
          <w:bCs/>
          <w:lang w:eastAsia="zh-CN"/>
        </w:rPr>
        <w:tab/>
      </w:r>
      <w:r>
        <w:rPr>
          <w:rFonts w:hint="eastAsia"/>
          <w:lang w:eastAsia="zh-CN"/>
        </w:rPr>
        <w:t>应有关</w:t>
      </w:r>
      <w:r w:rsidRPr="002477C1">
        <w:rPr>
          <w:rFonts w:ascii="STKaiti" w:eastAsia="STKaiti" w:hAnsi="STKaiti" w:hint="eastAsia"/>
          <w:lang w:eastAsia="zh-CN"/>
        </w:rPr>
        <w:t>电视及声音传输与综合宽带有线网络</w:t>
      </w:r>
      <w:r>
        <w:rPr>
          <w:rFonts w:hint="eastAsia"/>
          <w:lang w:eastAsia="zh-CN"/>
        </w:rPr>
        <w:t>的第</w:t>
      </w:r>
      <w:r>
        <w:rPr>
          <w:lang w:eastAsia="zh-CN"/>
        </w:rPr>
        <w:t>9</w:t>
      </w:r>
      <w:r>
        <w:rPr>
          <w:rFonts w:hint="eastAsia"/>
          <w:lang w:eastAsia="zh-CN"/>
        </w:rPr>
        <w:t>研究组主席的请求，</w:t>
      </w:r>
      <w:r w:rsidRPr="00563C17">
        <w:rPr>
          <w:rFonts w:ascii="SimSun" w:hAnsi="SimSun" w:hint="eastAsia"/>
          <w:lang w:val="fr-FR" w:eastAsia="zh-CN"/>
        </w:rPr>
        <w:t>我荣幸地通知您，根据世</w:t>
      </w:r>
      <w:r w:rsidRPr="00E25535">
        <w:rPr>
          <w:rFonts w:hint="eastAsia"/>
          <w:szCs w:val="24"/>
          <w:lang w:eastAsia="zh-CN"/>
        </w:rPr>
        <w:t>界电信标准化全会（</w:t>
      </w:r>
      <w:r w:rsidRPr="00E25535">
        <w:rPr>
          <w:szCs w:val="24"/>
          <w:lang w:eastAsia="zh-CN"/>
        </w:rPr>
        <w:t>200</w:t>
      </w:r>
      <w:r>
        <w:rPr>
          <w:szCs w:val="24"/>
          <w:lang w:eastAsia="zh-CN"/>
        </w:rPr>
        <w:t>8</w:t>
      </w:r>
      <w:r w:rsidRPr="00E25535">
        <w:rPr>
          <w:rFonts w:hint="eastAsia"/>
          <w:szCs w:val="24"/>
          <w:lang w:eastAsia="zh-CN"/>
        </w:rPr>
        <w:t>年，</w:t>
      </w:r>
      <w:r>
        <w:rPr>
          <w:rFonts w:hint="eastAsia"/>
          <w:szCs w:val="24"/>
          <w:lang w:eastAsia="zh-CN"/>
        </w:rPr>
        <w:t>约翰内斯堡</w:t>
      </w:r>
      <w:r w:rsidRPr="00811865">
        <w:rPr>
          <w:rFonts w:hint="eastAsia"/>
          <w:szCs w:val="24"/>
          <w:lang w:eastAsia="zh-CN"/>
        </w:rPr>
        <w:t>）</w:t>
      </w:r>
      <w:r w:rsidRPr="00E25535">
        <w:rPr>
          <w:rFonts w:hint="eastAsia"/>
          <w:szCs w:val="24"/>
          <w:lang w:eastAsia="zh-CN"/>
        </w:rPr>
        <w:t>第</w:t>
      </w:r>
      <w:r w:rsidRPr="00E25535">
        <w:rPr>
          <w:szCs w:val="24"/>
          <w:lang w:eastAsia="zh-CN"/>
        </w:rPr>
        <w:t>1</w:t>
      </w:r>
      <w:r w:rsidRPr="00E25535">
        <w:rPr>
          <w:rFonts w:hint="eastAsia"/>
          <w:szCs w:val="24"/>
          <w:lang w:eastAsia="zh-CN"/>
        </w:rPr>
        <w:t>号决议第</w:t>
      </w:r>
      <w:r w:rsidRPr="00E25535">
        <w:rPr>
          <w:szCs w:val="24"/>
          <w:lang w:eastAsia="zh-CN"/>
        </w:rPr>
        <w:t>7</w:t>
      </w:r>
      <w:r w:rsidRPr="00E25535">
        <w:rPr>
          <w:rFonts w:hint="eastAsia"/>
          <w:szCs w:val="24"/>
          <w:lang w:eastAsia="zh-CN"/>
        </w:rPr>
        <w:t>节第</w:t>
      </w:r>
      <w:r w:rsidRPr="00E25535">
        <w:rPr>
          <w:szCs w:val="24"/>
          <w:lang w:eastAsia="zh-CN"/>
        </w:rPr>
        <w:t>7.2.2</w:t>
      </w:r>
      <w:r w:rsidRPr="00E25535">
        <w:rPr>
          <w:rFonts w:hint="eastAsia"/>
          <w:szCs w:val="24"/>
          <w:lang w:eastAsia="zh-CN"/>
        </w:rPr>
        <w:t>段所述程序，出席</w:t>
      </w:r>
      <w:r>
        <w:rPr>
          <w:rFonts w:hint="eastAsia"/>
          <w:szCs w:val="24"/>
          <w:lang w:eastAsia="zh-CN"/>
        </w:rPr>
        <w:t>该</w:t>
      </w:r>
      <w:r w:rsidRPr="00E25535">
        <w:rPr>
          <w:rFonts w:hint="eastAsia"/>
          <w:szCs w:val="24"/>
          <w:lang w:eastAsia="zh-CN"/>
        </w:rPr>
        <w:t>研究组于</w:t>
      </w:r>
      <w:r>
        <w:rPr>
          <w:szCs w:val="24"/>
          <w:lang w:eastAsia="zh-CN"/>
        </w:rPr>
        <w:t>201</w:t>
      </w:r>
      <w:r w:rsidR="007A0E5A">
        <w:rPr>
          <w:szCs w:val="24"/>
          <w:lang w:eastAsia="zh-CN"/>
        </w:rPr>
        <w:t>0</w:t>
      </w:r>
      <w:bookmarkStart w:id="1" w:name="_GoBack"/>
      <w:bookmarkEnd w:id="1"/>
      <w:r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7</w:t>
      </w:r>
      <w:r>
        <w:rPr>
          <w:rFonts w:hint="eastAsia"/>
          <w:szCs w:val="24"/>
          <w:lang w:eastAsia="zh-CN"/>
        </w:rPr>
        <w:t>月</w:t>
      </w:r>
      <w:r>
        <w:rPr>
          <w:lang w:eastAsia="zh-CN"/>
        </w:rPr>
        <w:t>19</w:t>
      </w:r>
      <w:r>
        <w:rPr>
          <w:rFonts w:hint="eastAsia"/>
          <w:szCs w:val="24"/>
          <w:lang w:eastAsia="zh-CN"/>
        </w:rPr>
        <w:t>至</w:t>
      </w:r>
      <w:r>
        <w:rPr>
          <w:szCs w:val="24"/>
          <w:lang w:eastAsia="zh-CN"/>
        </w:rPr>
        <w:t>23</w:t>
      </w:r>
      <w:r>
        <w:rPr>
          <w:rFonts w:hint="eastAsia"/>
          <w:szCs w:val="24"/>
          <w:lang w:eastAsia="zh-CN"/>
        </w:rPr>
        <w:t>日</w:t>
      </w:r>
      <w:r w:rsidRPr="00E25535">
        <w:rPr>
          <w:rFonts w:hint="eastAsia"/>
          <w:szCs w:val="24"/>
          <w:lang w:eastAsia="zh-CN"/>
        </w:rPr>
        <w:t>在日内瓦召开的上次会议的成员国和</w:t>
      </w:r>
      <w:r>
        <w:rPr>
          <w:rFonts w:hint="eastAsia"/>
          <w:szCs w:val="24"/>
          <w:lang w:eastAsia="zh-CN"/>
        </w:rPr>
        <w:t>部门</w:t>
      </w:r>
      <w:r w:rsidRPr="00E25535">
        <w:rPr>
          <w:rFonts w:hint="eastAsia"/>
          <w:szCs w:val="24"/>
          <w:lang w:eastAsia="zh-CN"/>
        </w:rPr>
        <w:t>成员，一致同意批准</w:t>
      </w:r>
      <w:r>
        <w:rPr>
          <w:rFonts w:hint="eastAsia"/>
          <w:szCs w:val="24"/>
          <w:lang w:eastAsia="zh-CN"/>
        </w:rPr>
        <w:t>以下（新课题或</w:t>
      </w:r>
      <w:r w:rsidRPr="00E25535">
        <w:rPr>
          <w:rFonts w:hint="eastAsia"/>
          <w:szCs w:val="24"/>
          <w:lang w:eastAsia="zh-CN"/>
        </w:rPr>
        <w:t>修订</w:t>
      </w:r>
      <w:r>
        <w:rPr>
          <w:rFonts w:hint="eastAsia"/>
          <w:szCs w:val="24"/>
          <w:lang w:eastAsia="zh-CN"/>
        </w:rPr>
        <w:t>）</w:t>
      </w:r>
      <w:r w:rsidRPr="00E25535">
        <w:rPr>
          <w:rFonts w:hint="eastAsia"/>
          <w:szCs w:val="24"/>
          <w:lang w:eastAsia="zh-CN"/>
        </w:rPr>
        <w:t>课题</w:t>
      </w:r>
      <w:r>
        <w:rPr>
          <w:rFonts w:hint="eastAsia"/>
          <w:szCs w:val="24"/>
          <w:lang w:eastAsia="zh-CN"/>
        </w:rPr>
        <w:t>：</w:t>
      </w:r>
    </w:p>
    <w:p w:rsidR="00BE37FB" w:rsidRPr="00E25535" w:rsidRDefault="00BE37FB" w:rsidP="00C278C8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第</w:t>
      </w:r>
      <w:r>
        <w:rPr>
          <w:szCs w:val="24"/>
          <w:lang w:eastAsia="zh-CN"/>
        </w:rPr>
        <w:t>14/9</w:t>
      </w:r>
      <w:r>
        <w:rPr>
          <w:rFonts w:hint="eastAsia"/>
          <w:szCs w:val="24"/>
          <w:lang w:eastAsia="zh-CN"/>
        </w:rPr>
        <w:t>号课题</w:t>
      </w:r>
      <w:r>
        <w:rPr>
          <w:szCs w:val="24"/>
          <w:lang w:eastAsia="zh-CN"/>
        </w:rPr>
        <w:t xml:space="preserve"> </w:t>
      </w:r>
      <w:r w:rsidRPr="00586357">
        <w:rPr>
          <w:szCs w:val="24"/>
          <w:lang w:eastAsia="zh-CN"/>
        </w:rPr>
        <w:t>–</w:t>
      </w:r>
      <w:r>
        <w:rPr>
          <w:szCs w:val="24"/>
          <w:lang w:eastAsia="zh-CN"/>
        </w:rPr>
        <w:t xml:space="preserve"> </w:t>
      </w:r>
      <w:r w:rsidRPr="00035FA7">
        <w:rPr>
          <w:rFonts w:ascii="STKaiti" w:eastAsia="STKaiti" w:hAnsi="STKaiti" w:hint="eastAsia"/>
          <w:szCs w:val="24"/>
          <w:lang w:eastAsia="zh-CN"/>
        </w:rPr>
        <w:t>工作计划、协调和规划</w:t>
      </w:r>
      <w:r>
        <w:rPr>
          <w:rFonts w:hint="eastAsia"/>
          <w:szCs w:val="24"/>
          <w:lang w:eastAsia="zh-CN"/>
        </w:rPr>
        <w:t>（</w:t>
      </w:r>
      <w:r w:rsidRPr="00E25535">
        <w:rPr>
          <w:rFonts w:hint="eastAsia"/>
          <w:szCs w:val="24"/>
          <w:lang w:eastAsia="zh-CN"/>
        </w:rPr>
        <w:t>见附件</w:t>
      </w:r>
      <w:r w:rsidRPr="00E25535">
        <w:rPr>
          <w:szCs w:val="24"/>
          <w:lang w:eastAsia="zh-CN"/>
        </w:rPr>
        <w:t>1</w:t>
      </w:r>
      <w:r w:rsidRPr="00E25535">
        <w:rPr>
          <w:rFonts w:hint="eastAsia"/>
          <w:szCs w:val="24"/>
          <w:lang w:eastAsia="zh-CN"/>
        </w:rPr>
        <w:t>）</w:t>
      </w:r>
    </w:p>
    <w:p w:rsidR="00BE37FB" w:rsidRPr="00E25535" w:rsidRDefault="00BE37FB" w:rsidP="00C278C8">
      <w:pPr>
        <w:tabs>
          <w:tab w:val="clear" w:pos="794"/>
          <w:tab w:val="clear" w:pos="1191"/>
          <w:tab w:val="clear" w:pos="1588"/>
          <w:tab w:val="clear" w:pos="1985"/>
          <w:tab w:val="left" w:pos="784"/>
        </w:tabs>
        <w:spacing w:before="240"/>
        <w:rPr>
          <w:szCs w:val="24"/>
          <w:lang w:eastAsia="zh-CN"/>
        </w:rPr>
      </w:pPr>
      <w:proofErr w:type="gramStart"/>
      <w:r w:rsidRPr="00271B58">
        <w:rPr>
          <w:szCs w:val="24"/>
          <w:lang w:eastAsia="zh-CN"/>
        </w:rPr>
        <w:t>2</w:t>
      </w:r>
      <w:r w:rsidRPr="00271B58">
        <w:rPr>
          <w:szCs w:val="24"/>
          <w:lang w:eastAsia="zh-CN"/>
        </w:rPr>
        <w:tab/>
      </w:r>
      <w:r w:rsidRPr="00E25535">
        <w:rPr>
          <w:rFonts w:hint="eastAsia"/>
          <w:b/>
          <w:szCs w:val="24"/>
          <w:lang w:eastAsia="zh-CN"/>
        </w:rPr>
        <w:t>因此，第</w:t>
      </w:r>
      <w:r>
        <w:rPr>
          <w:b/>
          <w:szCs w:val="24"/>
          <w:lang w:eastAsia="zh-CN"/>
        </w:rPr>
        <w:t>14/9</w:t>
      </w:r>
      <w:r>
        <w:rPr>
          <w:rFonts w:hint="eastAsia"/>
          <w:b/>
          <w:szCs w:val="24"/>
          <w:lang w:eastAsia="zh-CN"/>
        </w:rPr>
        <w:t>号课</w:t>
      </w:r>
      <w:r w:rsidRPr="00E25535">
        <w:rPr>
          <w:rFonts w:hint="eastAsia"/>
          <w:b/>
          <w:szCs w:val="24"/>
          <w:lang w:eastAsia="zh-CN"/>
        </w:rPr>
        <w:t>题获得批准。</w:t>
      </w:r>
      <w:proofErr w:type="gramEnd"/>
    </w:p>
    <w:p w:rsidR="00BE37FB" w:rsidRDefault="00BE37FB" w:rsidP="00C278C8">
      <w:pPr>
        <w:spacing w:before="24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Pr="00E25535">
        <w:rPr>
          <w:rFonts w:hint="eastAsia"/>
          <w:lang w:eastAsia="zh-CN"/>
        </w:rPr>
        <w:t>将采用替换批准程序（</w:t>
      </w:r>
      <w:r w:rsidRPr="00E25535">
        <w:rPr>
          <w:lang w:eastAsia="zh-CN"/>
        </w:rPr>
        <w:t>AAP</w:t>
      </w:r>
      <w:r w:rsidRPr="00E25535">
        <w:rPr>
          <w:rFonts w:hint="eastAsia"/>
          <w:lang w:eastAsia="zh-CN"/>
        </w:rPr>
        <w:t>）批准根据研究成果形成的建议书。</w:t>
      </w:r>
    </w:p>
    <w:p w:rsidR="00BE37FB" w:rsidRPr="005766E2" w:rsidRDefault="00BE37FB" w:rsidP="001527CD">
      <w:pPr>
        <w:spacing w:before="24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此课题被分配给负责“</w:t>
      </w:r>
      <w:r w:rsidRPr="00035FA7">
        <w:rPr>
          <w:rFonts w:ascii="STKaiti" w:eastAsia="STKaiti" w:hAnsi="STKaiti" w:hint="eastAsia"/>
          <w:lang w:eastAsia="zh-CN"/>
        </w:rPr>
        <w:t>终端和应用</w:t>
      </w:r>
      <w:r>
        <w:rPr>
          <w:rFonts w:hint="eastAsia"/>
          <w:lang w:eastAsia="zh-CN"/>
        </w:rPr>
        <w:t>”的第</w:t>
      </w:r>
      <w:r>
        <w:rPr>
          <w:bCs/>
          <w:lang w:eastAsia="zh-CN"/>
        </w:rPr>
        <w:t>2/9</w:t>
      </w:r>
      <w:r>
        <w:rPr>
          <w:rFonts w:hint="eastAsia"/>
          <w:bCs/>
          <w:lang w:eastAsia="zh-CN"/>
        </w:rPr>
        <w:t>工作组</w:t>
      </w:r>
    </w:p>
    <w:p w:rsidR="00BE37FB" w:rsidRPr="004663B4" w:rsidRDefault="00BE37FB" w:rsidP="001527CD">
      <w:pPr>
        <w:spacing w:before="360"/>
        <w:rPr>
          <w:lang w:val="en-US" w:eastAsia="zh-CN"/>
        </w:rPr>
      </w:pPr>
      <w:r>
        <w:rPr>
          <w:rFonts w:hint="eastAsia"/>
          <w:lang w:eastAsia="zh-CN"/>
        </w:rPr>
        <w:t>顺致敬意！</w:t>
      </w:r>
    </w:p>
    <w:p w:rsidR="00BE37FB" w:rsidRDefault="00BE37FB" w:rsidP="00C278C8">
      <w:pPr>
        <w:rPr>
          <w:lang w:eastAsia="zh-CN"/>
        </w:rPr>
      </w:pPr>
    </w:p>
    <w:p w:rsidR="00BE37FB" w:rsidRDefault="00BE37FB" w:rsidP="00C278C8">
      <w:pPr>
        <w:rPr>
          <w:lang w:eastAsia="zh-CN"/>
        </w:rPr>
      </w:pPr>
    </w:p>
    <w:p w:rsidR="001527CD" w:rsidRDefault="001527CD" w:rsidP="00C278C8">
      <w:pPr>
        <w:rPr>
          <w:lang w:eastAsia="zh-CN"/>
        </w:rPr>
      </w:pPr>
    </w:p>
    <w:p w:rsidR="00BE37FB" w:rsidRDefault="00BE37FB" w:rsidP="00C278C8">
      <w:pPr>
        <w:tabs>
          <w:tab w:val="clear" w:pos="794"/>
          <w:tab w:val="left" w:pos="180"/>
        </w:tabs>
        <w:rPr>
          <w:lang w:val="en-US"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1527CD" w:rsidRPr="001527CD" w:rsidRDefault="001527CD" w:rsidP="00C278C8">
      <w:pPr>
        <w:tabs>
          <w:tab w:val="clear" w:pos="794"/>
          <w:tab w:val="left" w:pos="180"/>
        </w:tabs>
        <w:rPr>
          <w:lang w:val="en-US" w:eastAsia="zh-CN"/>
        </w:rPr>
      </w:pPr>
    </w:p>
    <w:p w:rsidR="00BE37FB" w:rsidRDefault="00BE37FB" w:rsidP="00C278C8">
      <w:pPr>
        <w:rPr>
          <w:b/>
          <w:bCs/>
          <w:lang w:eastAsia="zh-CN"/>
        </w:rPr>
      </w:pPr>
      <w:r w:rsidRPr="00271B58">
        <w:rPr>
          <w:rFonts w:hint="eastAsia"/>
          <w:b/>
          <w:bCs/>
          <w:lang w:eastAsia="zh-CN"/>
        </w:rPr>
        <w:t>附件：</w:t>
      </w:r>
      <w:r w:rsidRPr="00271B58">
        <w:rPr>
          <w:b/>
          <w:bCs/>
          <w:lang w:eastAsia="zh-CN"/>
        </w:rPr>
        <w:t>1</w:t>
      </w:r>
      <w:r w:rsidRPr="00271B58">
        <w:rPr>
          <w:rFonts w:hint="eastAsia"/>
          <w:b/>
          <w:bCs/>
          <w:lang w:eastAsia="zh-CN"/>
        </w:rPr>
        <w:t>件</w:t>
      </w:r>
    </w:p>
    <w:p w:rsidR="00BE37FB" w:rsidRPr="006716BB" w:rsidRDefault="00BE37FB" w:rsidP="00C278C8">
      <w:pPr>
        <w:pStyle w:val="AnnexNotitle"/>
        <w:rPr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lastRenderedPageBreak/>
        <w:t>附件</w:t>
      </w:r>
      <w:r>
        <w:rPr>
          <w:b w:val="0"/>
          <w:bCs/>
          <w:sz w:val="24"/>
          <w:szCs w:val="24"/>
          <w:lang w:eastAsia="zh-CN"/>
        </w:rPr>
        <w:t>1</w:t>
      </w:r>
      <w:r>
        <w:rPr>
          <w:b w:val="0"/>
          <w:bCs/>
          <w:sz w:val="24"/>
          <w:szCs w:val="24"/>
          <w:lang w:eastAsia="zh-CN"/>
        </w:rPr>
        <w:br/>
      </w:r>
      <w:r>
        <w:rPr>
          <w:rFonts w:hint="eastAsia"/>
          <w:b w:val="0"/>
          <w:bCs/>
          <w:sz w:val="24"/>
          <w:szCs w:val="24"/>
          <w:lang w:eastAsia="zh-CN"/>
        </w:rPr>
        <w:t>（电信标准化局第</w:t>
      </w:r>
      <w:r>
        <w:rPr>
          <w:b w:val="0"/>
          <w:bCs/>
          <w:sz w:val="24"/>
          <w:szCs w:val="24"/>
          <w:lang w:eastAsia="zh-CN"/>
        </w:rPr>
        <w:t>218</w:t>
      </w:r>
      <w:r>
        <w:rPr>
          <w:rFonts w:hint="eastAsia"/>
          <w:b w:val="0"/>
          <w:bCs/>
          <w:sz w:val="24"/>
          <w:szCs w:val="24"/>
          <w:lang w:eastAsia="zh-CN"/>
        </w:rPr>
        <w:t>号通函）</w:t>
      </w:r>
    </w:p>
    <w:p w:rsidR="00BE37FB" w:rsidRPr="00586357" w:rsidRDefault="00BE37FB" w:rsidP="00C278C8">
      <w:pPr>
        <w:pStyle w:val="AnnexNotitle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ITU-T</w:t>
      </w:r>
      <w:r>
        <w:rPr>
          <w:rFonts w:hint="eastAsia"/>
          <w:sz w:val="24"/>
          <w:szCs w:val="24"/>
          <w:lang w:eastAsia="zh-CN"/>
        </w:rPr>
        <w:t>第</w:t>
      </w:r>
      <w:r>
        <w:rPr>
          <w:sz w:val="24"/>
          <w:szCs w:val="24"/>
          <w:lang w:eastAsia="zh-CN"/>
        </w:rPr>
        <w:t>14/9</w:t>
      </w:r>
      <w:r>
        <w:rPr>
          <w:rFonts w:hint="eastAsia"/>
          <w:sz w:val="24"/>
          <w:szCs w:val="24"/>
          <w:lang w:eastAsia="zh-CN"/>
        </w:rPr>
        <w:t>号新课题案文</w:t>
      </w:r>
    </w:p>
    <w:p w:rsidR="00BE37FB" w:rsidRPr="00855477" w:rsidRDefault="00BE37FB" w:rsidP="00C278C8">
      <w:pPr>
        <w:jc w:val="center"/>
        <w:rPr>
          <w:b/>
          <w:bCs/>
          <w:i/>
          <w:iCs/>
          <w:lang w:eastAsia="zh-CN"/>
        </w:rPr>
      </w:pPr>
      <w:r w:rsidRPr="00855477">
        <w:rPr>
          <w:b/>
          <w:bCs/>
          <w:i/>
          <w:iCs/>
          <w:lang w:eastAsia="zh-CN"/>
        </w:rPr>
        <w:t>“</w:t>
      </w:r>
      <w:r w:rsidRPr="00035FA7">
        <w:rPr>
          <w:rFonts w:ascii="STKaiti" w:eastAsia="STKaiti" w:hAnsi="STKaiti" w:hint="eastAsia"/>
          <w:b/>
          <w:bCs/>
          <w:szCs w:val="24"/>
          <w:lang w:eastAsia="zh-CN"/>
        </w:rPr>
        <w:t>工作计划、协调和规划</w:t>
      </w:r>
      <w:r>
        <w:rPr>
          <w:b/>
          <w:bCs/>
          <w:i/>
          <w:iCs/>
          <w:lang w:eastAsia="zh-CN"/>
        </w:rPr>
        <w:t>”</w:t>
      </w:r>
    </w:p>
    <w:p w:rsidR="00BE37FB" w:rsidRDefault="00BE37FB" w:rsidP="00C278C8">
      <w:pPr>
        <w:rPr>
          <w:lang w:eastAsia="zh-CN"/>
        </w:rPr>
      </w:pPr>
    </w:p>
    <w:p w:rsidR="00BE37FB" w:rsidRPr="003F64A3" w:rsidRDefault="00BE37FB" w:rsidP="00C278C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目的</w:t>
      </w:r>
    </w:p>
    <w:p w:rsidR="00BE37FB" w:rsidRPr="00194DF2" w:rsidRDefault="00BE37FB" w:rsidP="00C278C8">
      <w:pPr>
        <w:pStyle w:val="enumlev1"/>
        <w:tabs>
          <w:tab w:val="clear" w:pos="794"/>
          <w:tab w:val="left" w:pos="0"/>
        </w:tabs>
        <w:ind w:left="0" w:firstLine="0"/>
        <w:rPr>
          <w:rFonts w:ascii="Arial" w:hAnsi="Arial" w:cs="Arial"/>
          <w:color w:val="888888"/>
          <w:sz w:val="18"/>
          <w:szCs w:val="18"/>
          <w:lang w:val="en-US" w:eastAsia="zh-CN"/>
        </w:rPr>
      </w:pPr>
      <w:r>
        <w:rPr>
          <w:lang w:eastAsia="zh-CN"/>
        </w:rPr>
        <w:tab/>
      </w:r>
      <w:r w:rsidRPr="001548AF">
        <w:rPr>
          <w:rFonts w:hint="eastAsia"/>
          <w:lang w:eastAsia="zh-CN"/>
        </w:rPr>
        <w:t>需要给予那些与</w:t>
      </w:r>
      <w:r>
        <w:rPr>
          <w:rFonts w:hint="eastAsia"/>
          <w:lang w:eastAsia="zh-CN"/>
        </w:rPr>
        <w:t>处于</w:t>
      </w:r>
      <w:r w:rsidRPr="001548AF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过程</w:t>
      </w:r>
      <w:r w:rsidRPr="001548AF">
        <w:rPr>
          <w:rFonts w:hint="eastAsia"/>
          <w:lang w:eastAsia="zh-CN"/>
        </w:rPr>
        <w:t>中课题没有直接关系的文稿和联络声明一个归宿。本课题还旨在为第</w:t>
      </w:r>
      <w:r w:rsidRPr="001548AF">
        <w:rPr>
          <w:lang w:eastAsia="zh-CN"/>
        </w:rPr>
        <w:t>9</w:t>
      </w:r>
      <w:r w:rsidRPr="001548AF">
        <w:rPr>
          <w:rFonts w:hint="eastAsia"/>
          <w:lang w:eastAsia="zh-CN"/>
        </w:rPr>
        <w:t>研究组负责</w:t>
      </w:r>
      <w:r>
        <w:rPr>
          <w:rFonts w:hint="eastAsia"/>
          <w:lang w:eastAsia="zh-CN"/>
        </w:rPr>
        <w:t>的</w:t>
      </w:r>
      <w:r w:rsidRPr="001548AF">
        <w:rPr>
          <w:rFonts w:hint="eastAsia"/>
          <w:lang w:eastAsia="zh-CN"/>
        </w:rPr>
        <w:t>多方面问题提供</w:t>
      </w:r>
      <w:r>
        <w:rPr>
          <w:rFonts w:hint="eastAsia"/>
          <w:lang w:eastAsia="zh-CN"/>
        </w:rPr>
        <w:t>整个</w:t>
      </w:r>
      <w:r w:rsidRPr="007E106F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范围内的</w:t>
      </w:r>
      <w:r w:rsidRPr="007E106F">
        <w:rPr>
          <w:rFonts w:hint="eastAsia"/>
          <w:lang w:eastAsia="zh-CN"/>
        </w:rPr>
        <w:t>协调</w:t>
      </w:r>
      <w:r>
        <w:rPr>
          <w:rFonts w:hint="eastAsia"/>
          <w:lang w:eastAsia="zh-CN"/>
        </w:rPr>
        <w:t>，并</w:t>
      </w:r>
      <w:r w:rsidRPr="007E106F">
        <w:rPr>
          <w:rFonts w:hint="eastAsia"/>
          <w:lang w:eastAsia="zh-CN"/>
        </w:rPr>
        <w:t>进</w:t>
      </w:r>
      <w:r>
        <w:rPr>
          <w:rFonts w:hint="eastAsia"/>
          <w:lang w:eastAsia="zh-CN"/>
        </w:rPr>
        <w:t>一步统一</w:t>
      </w:r>
      <w:r w:rsidRPr="007E106F">
        <w:rPr>
          <w:lang w:eastAsia="zh-CN"/>
        </w:rPr>
        <w:t>ITU-T</w:t>
      </w:r>
      <w:r w:rsidRPr="007E106F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、</w:t>
      </w:r>
      <w:r w:rsidRPr="007E106F">
        <w:rPr>
          <w:lang w:eastAsia="zh-CN"/>
        </w:rPr>
        <w:t>I</w:t>
      </w:r>
      <w:r>
        <w:rPr>
          <w:lang w:eastAsia="zh-CN"/>
        </w:rPr>
        <w:t>TU-R</w:t>
      </w:r>
      <w:r w:rsidRPr="007E106F">
        <w:rPr>
          <w:rFonts w:hint="eastAsia"/>
          <w:lang w:eastAsia="zh-CN"/>
        </w:rPr>
        <w:t>研究组以及与其它相关</w:t>
      </w:r>
      <w:r>
        <w:rPr>
          <w:rFonts w:hint="eastAsia"/>
          <w:lang w:eastAsia="zh-CN"/>
        </w:rPr>
        <w:t>部门间</w:t>
      </w:r>
      <w:r w:rsidRPr="007E106F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步调</w:t>
      </w:r>
      <w:r w:rsidRPr="007E106F">
        <w:rPr>
          <w:rFonts w:hint="eastAsia"/>
          <w:lang w:eastAsia="zh-CN"/>
        </w:rPr>
        <w:t>。</w:t>
      </w:r>
      <w:r w:rsidRPr="001548AF">
        <w:rPr>
          <w:rFonts w:hint="eastAsia"/>
          <w:lang w:eastAsia="zh-CN"/>
        </w:rPr>
        <w:t>此外，此课题还为第</w:t>
      </w:r>
      <w:r w:rsidRPr="001548AF">
        <w:rPr>
          <w:lang w:eastAsia="zh-CN"/>
        </w:rPr>
        <w:t>9</w:t>
      </w:r>
      <w:r w:rsidRPr="001548AF">
        <w:rPr>
          <w:rFonts w:hint="eastAsia"/>
          <w:lang w:eastAsia="zh-CN"/>
        </w:rPr>
        <w:t>研究组负责的术语、信息通信技术和气候变化、无障碍获取和合规性及互操作性测试等问题提供了一位牵头人。</w:t>
      </w:r>
    </w:p>
    <w:p w:rsidR="00BE37FB" w:rsidRPr="00194DF2" w:rsidRDefault="00BE37FB" w:rsidP="00C278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top"/>
        <w:rPr>
          <w:rFonts w:ascii="Arial" w:hAnsi="Arial" w:cs="Arial"/>
          <w:vanish/>
          <w:color w:val="888888"/>
          <w:sz w:val="18"/>
          <w:szCs w:val="18"/>
          <w:lang w:val="en-US" w:eastAsia="zh-CN"/>
        </w:rPr>
      </w:pPr>
      <w:r w:rsidRPr="00194DF2">
        <w:rPr>
          <w:rFonts w:ascii="Arial" w:hAnsi="Arial" w:cs="Arial"/>
          <w:vanish/>
          <w:color w:val="888888"/>
          <w:sz w:val="18"/>
          <w:lang w:val="en-US" w:eastAsia="zh-CN"/>
        </w:rPr>
        <w:t>Listen</w:t>
      </w:r>
    </w:p>
    <w:p w:rsidR="00BE37FB" w:rsidRDefault="00BE37FB" w:rsidP="00C278C8">
      <w:pPr>
        <w:rPr>
          <w:lang w:eastAsia="zh-CN"/>
        </w:rPr>
      </w:pPr>
    </w:p>
    <w:p w:rsidR="00BE37FB" w:rsidRPr="003F64A3" w:rsidRDefault="00BE37FB" w:rsidP="00C278C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课题</w:t>
      </w:r>
    </w:p>
    <w:p w:rsidR="00BE37FB" w:rsidRPr="00F2731F" w:rsidRDefault="00BE37FB" w:rsidP="00C278C8">
      <w:pPr>
        <w:pStyle w:val="enumlev1"/>
        <w:rPr>
          <w:lang w:eastAsia="zh-CN"/>
        </w:rPr>
      </w:pPr>
      <w:r w:rsidRPr="00F2731F">
        <w:rPr>
          <w:lang w:eastAsia="zh-CN"/>
        </w:rPr>
        <w:t>•</w:t>
      </w:r>
      <w:r w:rsidRPr="00F2731F">
        <w:rPr>
          <w:lang w:eastAsia="zh-CN"/>
        </w:rPr>
        <w:tab/>
      </w:r>
      <w:r>
        <w:rPr>
          <w:rFonts w:hint="eastAsia"/>
          <w:lang w:eastAsia="zh-CN"/>
        </w:rPr>
        <w:t>在审议研究组的新议题时，需要怎样处理与现有第</w:t>
      </w:r>
      <w:r>
        <w:rPr>
          <w:lang w:eastAsia="zh-CN"/>
        </w:rPr>
        <w:t>9</w:t>
      </w:r>
      <w:r>
        <w:rPr>
          <w:rFonts w:hint="eastAsia"/>
          <w:lang w:eastAsia="zh-CN"/>
        </w:rPr>
        <w:t>研究组课题无关的文稿？</w:t>
      </w:r>
    </w:p>
    <w:p w:rsidR="00BE37FB" w:rsidRPr="00F2731F" w:rsidRDefault="00BE37FB" w:rsidP="00C278C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研究组需要就哪些新的或更新的课题开展工作？</w:t>
      </w:r>
    </w:p>
    <w:p w:rsidR="00BE37FB" w:rsidRPr="00F2731F" w:rsidRDefault="00BE37FB" w:rsidP="00C278C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需要在研究组工作计划框架内审议讲习班、电信标准化局举措和其它研究组或标准制定组织行动的哪些成果？</w:t>
      </w:r>
    </w:p>
    <w:p w:rsidR="00BE37FB" w:rsidRPr="00F2731F" w:rsidRDefault="00BE37FB" w:rsidP="00C278C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可为宣传第</w:t>
      </w:r>
      <w:r>
        <w:rPr>
          <w:lang w:eastAsia="zh-CN"/>
        </w:rPr>
        <w:t>9</w:t>
      </w:r>
      <w:r>
        <w:rPr>
          <w:rFonts w:hint="eastAsia"/>
          <w:lang w:eastAsia="zh-CN"/>
        </w:rPr>
        <w:t>研究组的工作编写怎样的宣传材料（包括讲习班）？</w:t>
      </w:r>
    </w:p>
    <w:p w:rsidR="00BE37FB" w:rsidRPr="00F2731F" w:rsidRDefault="00BE37FB" w:rsidP="00C278C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可通过研究组网站提供哪些资料（参照落实工作、演示会等）？</w:t>
      </w:r>
    </w:p>
    <w:p w:rsidR="00BE37FB" w:rsidRPr="00F2731F" w:rsidRDefault="00BE37FB" w:rsidP="00C278C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需要向用户提供哪些新建议书落实指导？</w:t>
      </w:r>
    </w:p>
    <w:p w:rsidR="00BE37FB" w:rsidRPr="00F2731F" w:rsidRDefault="00BE37FB" w:rsidP="00C278C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应将哪些收集到的术语和定义提交第</w:t>
      </w:r>
      <w:r>
        <w:rPr>
          <w:lang w:eastAsia="zh-CN"/>
        </w:rPr>
        <w:t>9</w:t>
      </w:r>
      <w:r>
        <w:rPr>
          <w:rFonts w:hint="eastAsia"/>
          <w:lang w:eastAsia="zh-CN"/>
        </w:rPr>
        <w:t>研究组报告人以编入词汇？</w:t>
      </w:r>
    </w:p>
    <w:p w:rsidR="00BE37FB" w:rsidRPr="00F2731F" w:rsidRDefault="00BE37FB" w:rsidP="00C278C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需根据联合协调行动组的行动在第</w:t>
      </w:r>
      <w:r>
        <w:rPr>
          <w:lang w:eastAsia="zh-CN"/>
        </w:rPr>
        <w:t>9</w:t>
      </w:r>
      <w:r>
        <w:rPr>
          <w:rFonts w:hint="eastAsia"/>
          <w:lang w:eastAsia="zh-CN"/>
        </w:rPr>
        <w:t>研究组开展哪些协调活动？</w:t>
      </w:r>
    </w:p>
    <w:p w:rsidR="00BE37FB" w:rsidRDefault="00BE37FB" w:rsidP="00C278C8">
      <w:pPr>
        <w:rPr>
          <w:b/>
          <w:bCs/>
          <w:lang w:eastAsia="zh-CN"/>
        </w:rPr>
      </w:pPr>
    </w:p>
    <w:p w:rsidR="00BE37FB" w:rsidRDefault="00BE37FB" w:rsidP="00C278C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任务</w:t>
      </w:r>
    </w:p>
    <w:p w:rsidR="00BE37FB" w:rsidRDefault="00BE37FB" w:rsidP="00C278C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确定第</w:t>
      </w:r>
      <w:r>
        <w:rPr>
          <w:lang w:eastAsia="zh-CN"/>
        </w:rPr>
        <w:t>9</w:t>
      </w:r>
      <w:r>
        <w:rPr>
          <w:rFonts w:hint="eastAsia"/>
          <w:lang w:eastAsia="zh-CN"/>
        </w:rPr>
        <w:t>研究组工作计划能够最有效满足快速变化的电信市场的需求，提出新课题或对现有课题进行更新。</w:t>
      </w:r>
    </w:p>
    <w:p w:rsidR="00BE37FB" w:rsidRDefault="00BE37FB" w:rsidP="00C278C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与其它研究组或标准制定机构共同提名讲习班指导委员会代表。</w:t>
      </w:r>
    </w:p>
    <w:p w:rsidR="00BE37FB" w:rsidRDefault="00BE37FB" w:rsidP="00C278C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确保赋予第</w:t>
      </w:r>
      <w:r>
        <w:rPr>
          <w:lang w:eastAsia="zh-CN"/>
        </w:rPr>
        <w:t>9</w:t>
      </w:r>
      <w:r>
        <w:rPr>
          <w:rFonts w:hint="eastAsia"/>
          <w:lang w:eastAsia="zh-CN"/>
        </w:rPr>
        <w:t>研究组的各项标准化活动的协调和与其它标准机构的合作。</w:t>
      </w:r>
    </w:p>
    <w:p w:rsidR="00BE37FB" w:rsidRDefault="00BE37FB" w:rsidP="00C278C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根据</w:t>
      </w:r>
      <w:r>
        <w:rPr>
          <w:lang w:eastAsia="zh-CN"/>
        </w:rPr>
        <w:t>WTSA-08</w:t>
      </w:r>
      <w:r>
        <w:rPr>
          <w:rFonts w:hint="eastAsia"/>
          <w:lang w:eastAsia="zh-CN"/>
        </w:rPr>
        <w:t>第</w:t>
      </w:r>
      <w:r>
        <w:rPr>
          <w:lang w:eastAsia="zh-CN"/>
        </w:rPr>
        <w:t>76</w:t>
      </w:r>
      <w:r>
        <w:rPr>
          <w:rFonts w:hint="eastAsia"/>
          <w:lang w:eastAsia="zh-CN"/>
        </w:rPr>
        <w:t>号决议担任第</w:t>
      </w:r>
      <w:r>
        <w:rPr>
          <w:lang w:eastAsia="zh-CN"/>
        </w:rPr>
        <w:t>9</w:t>
      </w:r>
      <w:r>
        <w:rPr>
          <w:rFonts w:hint="eastAsia"/>
          <w:lang w:eastAsia="zh-CN"/>
        </w:rPr>
        <w:t>研究组负责合规性和互操作性测试的牵头人。</w:t>
      </w:r>
    </w:p>
    <w:p w:rsidR="00BE37FB" w:rsidRDefault="00BE37FB" w:rsidP="00C278C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担任第</w:t>
      </w:r>
      <w:r>
        <w:rPr>
          <w:lang w:eastAsia="zh-CN"/>
        </w:rPr>
        <w:t>9</w:t>
      </w:r>
      <w:r>
        <w:rPr>
          <w:rFonts w:hint="eastAsia"/>
          <w:lang w:eastAsia="zh-CN"/>
        </w:rPr>
        <w:t>研究组负责术语和定义的牵头人。</w:t>
      </w:r>
    </w:p>
    <w:p w:rsidR="00BE37FB" w:rsidRDefault="00BE37FB" w:rsidP="00C278C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确保由适当的第</w:t>
      </w:r>
      <w:r>
        <w:rPr>
          <w:lang w:eastAsia="zh-CN"/>
        </w:rPr>
        <w:t>9</w:t>
      </w:r>
      <w:r>
        <w:rPr>
          <w:rFonts w:hint="eastAsia"/>
          <w:lang w:eastAsia="zh-CN"/>
        </w:rPr>
        <w:t>研究组建议书研究解决无障碍获取问题。</w:t>
      </w:r>
    </w:p>
    <w:p w:rsidR="00BE37FB" w:rsidRDefault="00BE37FB" w:rsidP="00C278C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保留其它第</w:t>
      </w:r>
      <w:r>
        <w:rPr>
          <w:lang w:eastAsia="zh-CN"/>
        </w:rPr>
        <w:t>9</w:t>
      </w:r>
      <w:r>
        <w:rPr>
          <w:rFonts w:hint="eastAsia"/>
          <w:lang w:eastAsia="zh-CN"/>
        </w:rPr>
        <w:t>研究组课题职责范围以外的建议书。不编写有关这一课题的新建议书。</w:t>
      </w:r>
    </w:p>
    <w:p w:rsidR="00BE37FB" w:rsidRDefault="00BE37FB" w:rsidP="00C278C8">
      <w:r>
        <w:rPr>
          <w:lang w:eastAsia="zh-CN"/>
        </w:rPr>
        <w:tab/>
      </w:r>
      <w:r>
        <w:rPr>
          <w:rFonts w:hint="eastAsia"/>
          <w:lang w:eastAsia="zh-CN"/>
        </w:rPr>
        <w:t>有关此课题工作的最新情况，见第</w:t>
      </w:r>
      <w:r>
        <w:rPr>
          <w:lang w:eastAsia="zh-CN"/>
        </w:rPr>
        <w:t>9</w:t>
      </w:r>
      <w:r>
        <w:rPr>
          <w:rFonts w:hint="eastAsia"/>
          <w:lang w:eastAsia="zh-CN"/>
        </w:rPr>
        <w:t>研究组工作计划（</w:t>
      </w:r>
      <w:hyperlink r:id="rId10" w:history="1">
        <w:r w:rsidRPr="003914CD">
          <w:rPr>
            <w:rStyle w:val="Hyperlink"/>
          </w:rPr>
          <w:t>http://www.itu.int/ITU-T/workprog/wp_search.aspx?isn_sp=545&amp;isn_sg=549</w:t>
        </w:r>
      </w:hyperlink>
      <w:r>
        <w:rPr>
          <w:rFonts w:hint="eastAsia"/>
          <w:lang w:eastAsia="zh-CN"/>
        </w:rPr>
        <w:t>）</w:t>
      </w:r>
    </w:p>
    <w:p w:rsidR="00BE37FB" w:rsidRDefault="001527CD" w:rsidP="00C278C8">
      <w:pPr>
        <w:rPr>
          <w:b/>
          <w:bCs/>
        </w:rPr>
      </w:pPr>
      <w:r>
        <w:rPr>
          <w:b/>
          <w:bCs/>
        </w:rPr>
        <w:br w:type="page"/>
      </w:r>
    </w:p>
    <w:p w:rsidR="00BE37FB" w:rsidRDefault="00BE37FB" w:rsidP="00C278C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关系</w:t>
      </w:r>
    </w:p>
    <w:p w:rsidR="00BE37FB" w:rsidRDefault="00BE37FB" w:rsidP="00C278C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建议书：所有与第</w:t>
      </w:r>
      <w:r>
        <w:rPr>
          <w:lang w:eastAsia="zh-CN"/>
        </w:rPr>
        <w:t>9</w:t>
      </w:r>
      <w:r>
        <w:rPr>
          <w:rFonts w:hint="eastAsia"/>
          <w:lang w:eastAsia="zh-CN"/>
        </w:rPr>
        <w:t>研究组活动相关的建议书。</w:t>
      </w:r>
    </w:p>
    <w:p w:rsidR="00BE37FB" w:rsidRPr="003C7AAE" w:rsidRDefault="00BE37FB" w:rsidP="00C278C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课题：所有与第</w:t>
      </w:r>
      <w:r>
        <w:rPr>
          <w:lang w:eastAsia="zh-CN"/>
        </w:rPr>
        <w:t>9</w:t>
      </w:r>
      <w:r>
        <w:rPr>
          <w:rFonts w:hint="eastAsia"/>
          <w:lang w:eastAsia="zh-CN"/>
        </w:rPr>
        <w:t>研究组活动相关的课题。</w:t>
      </w:r>
    </w:p>
    <w:p w:rsidR="00BE37FB" w:rsidRDefault="00BE37FB" w:rsidP="00C278C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研究组：所有参与第</w:t>
      </w:r>
      <w:r>
        <w:rPr>
          <w:lang w:eastAsia="zh-CN"/>
        </w:rPr>
        <w:t>9</w:t>
      </w:r>
      <w:r>
        <w:rPr>
          <w:rFonts w:hint="eastAsia"/>
          <w:lang w:eastAsia="zh-CN"/>
        </w:rPr>
        <w:t>研究组相关活动的</w:t>
      </w:r>
      <w:r>
        <w:rPr>
          <w:lang w:eastAsia="zh-CN"/>
        </w:rPr>
        <w:t>ITU-T</w:t>
      </w:r>
      <w:r>
        <w:rPr>
          <w:rFonts w:hint="eastAsia"/>
          <w:lang w:eastAsia="zh-CN"/>
        </w:rPr>
        <w:t>、</w:t>
      </w:r>
      <w:r>
        <w:rPr>
          <w:lang w:eastAsia="zh-CN"/>
        </w:rPr>
        <w:t>ITU-R</w:t>
      </w:r>
      <w:r>
        <w:rPr>
          <w:rFonts w:hint="eastAsia"/>
          <w:lang w:eastAsia="zh-CN"/>
        </w:rPr>
        <w:t>和</w:t>
      </w:r>
      <w:r>
        <w:rPr>
          <w:lang w:eastAsia="zh-CN"/>
        </w:rPr>
        <w:t>ITU-D</w:t>
      </w:r>
      <w:r>
        <w:rPr>
          <w:rFonts w:hint="eastAsia"/>
          <w:lang w:eastAsia="zh-CN"/>
        </w:rPr>
        <w:t>研究组。</w:t>
      </w:r>
    </w:p>
    <w:p w:rsidR="00BE37FB" w:rsidRDefault="00BE37FB" w:rsidP="00C278C8">
      <w:pPr>
        <w:pStyle w:val="enumlev1"/>
        <w:rPr>
          <w:lang w:val="en-US"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标准制定机构：</w:t>
      </w:r>
      <w:r w:rsidRPr="005B5DAD">
        <w:rPr>
          <w:rFonts w:hAnsi="SimSun" w:hint="eastAsia"/>
          <w:color w:val="000000"/>
          <w:szCs w:val="24"/>
          <w:lang w:eastAsia="zh-CN"/>
        </w:rPr>
        <w:t>国际标准化组织</w:t>
      </w:r>
      <w:r>
        <w:rPr>
          <w:rFonts w:hAnsi="SimSun" w:hint="eastAsia"/>
          <w:color w:val="000000"/>
          <w:szCs w:val="24"/>
          <w:lang w:eastAsia="zh-CN"/>
        </w:rPr>
        <w:t>（</w:t>
      </w:r>
      <w:r w:rsidRPr="005B5DAD">
        <w:rPr>
          <w:lang w:eastAsia="zh-CN"/>
        </w:rPr>
        <w:t>ISO</w:t>
      </w:r>
      <w:r>
        <w:rPr>
          <w:rFonts w:hint="eastAsia"/>
          <w:lang w:eastAsia="zh-CN"/>
        </w:rPr>
        <w:t>）、</w:t>
      </w:r>
      <w:r w:rsidRPr="005B5DAD">
        <w:rPr>
          <w:rFonts w:hAnsi="SimSun" w:hint="eastAsia"/>
          <w:color w:val="000000"/>
          <w:szCs w:val="24"/>
          <w:lang w:eastAsia="zh-CN"/>
        </w:rPr>
        <w:t>国际电工委员会</w:t>
      </w:r>
      <w:r>
        <w:rPr>
          <w:rFonts w:hAnsi="SimSun" w:hint="eastAsia"/>
          <w:color w:val="000000"/>
          <w:szCs w:val="24"/>
          <w:lang w:eastAsia="zh-CN"/>
        </w:rPr>
        <w:t>（</w:t>
      </w:r>
      <w:r w:rsidRPr="005B5DAD">
        <w:rPr>
          <w:lang w:eastAsia="zh-CN"/>
        </w:rPr>
        <w:t>IEC</w:t>
      </w:r>
      <w:r>
        <w:rPr>
          <w:rFonts w:hint="eastAsia"/>
          <w:lang w:eastAsia="zh-CN"/>
        </w:rPr>
        <w:t>）、国际标准化组织</w:t>
      </w:r>
      <w:r>
        <w:rPr>
          <w:lang w:eastAsia="zh-CN"/>
        </w:rPr>
        <w:t>/</w:t>
      </w:r>
      <w:r>
        <w:rPr>
          <w:rFonts w:hint="eastAsia"/>
          <w:lang w:eastAsia="zh-CN"/>
        </w:rPr>
        <w:t>国际电工委员会</w:t>
      </w:r>
      <w:r w:rsidRPr="003A05C6">
        <w:rPr>
          <w:rFonts w:hint="eastAsia"/>
          <w:lang w:eastAsia="zh-CN"/>
        </w:rPr>
        <w:t>联合技术委员会</w:t>
      </w:r>
      <w:r w:rsidRPr="003A05C6">
        <w:rPr>
          <w:lang w:eastAsia="zh-CN"/>
        </w:rPr>
        <w:t>1</w:t>
      </w:r>
      <w:r>
        <w:rPr>
          <w:rFonts w:hint="eastAsia"/>
          <w:lang w:eastAsia="zh-CN"/>
        </w:rPr>
        <w:t>（</w:t>
      </w:r>
      <w:r>
        <w:rPr>
          <w:lang w:eastAsia="zh-CN"/>
        </w:rPr>
        <w:t>ISO/IEC JTC 1</w:t>
      </w:r>
      <w:r>
        <w:rPr>
          <w:rFonts w:hint="eastAsia"/>
          <w:lang w:eastAsia="zh-CN"/>
        </w:rPr>
        <w:t>）、无线电工业和商业协会（</w:t>
      </w:r>
      <w:r>
        <w:rPr>
          <w:lang w:eastAsia="zh-CN"/>
        </w:rPr>
        <w:t>ARIB</w:t>
      </w:r>
      <w:r>
        <w:rPr>
          <w:rFonts w:hint="eastAsia"/>
          <w:lang w:eastAsia="zh-CN"/>
        </w:rPr>
        <w:t>）、美国信息标准（</w:t>
      </w:r>
      <w:r>
        <w:rPr>
          <w:lang w:eastAsia="zh-CN"/>
        </w:rPr>
        <w:t>ATIS</w:t>
      </w:r>
      <w:r>
        <w:rPr>
          <w:rFonts w:hint="eastAsia"/>
          <w:lang w:eastAsia="zh-CN"/>
        </w:rPr>
        <w:t>）、</w:t>
      </w:r>
      <w:r w:rsidRPr="005B5DAD">
        <w:rPr>
          <w:rFonts w:hAnsi="SimSun" w:hint="eastAsia"/>
          <w:color w:val="000000"/>
          <w:szCs w:val="24"/>
          <w:lang w:eastAsia="zh-CN"/>
        </w:rPr>
        <w:t>欧洲电信标准学会</w:t>
      </w:r>
      <w:r>
        <w:rPr>
          <w:rFonts w:hAnsi="SimSun" w:hint="eastAsia"/>
          <w:color w:val="000000"/>
          <w:szCs w:val="24"/>
          <w:lang w:eastAsia="zh-CN"/>
        </w:rPr>
        <w:t>（</w:t>
      </w:r>
      <w:r w:rsidRPr="005B5DAD">
        <w:rPr>
          <w:lang w:val="es-ES_tradnl" w:eastAsia="zh-CN"/>
        </w:rPr>
        <w:t>ETSI</w:t>
      </w:r>
      <w:r>
        <w:rPr>
          <w:rFonts w:hint="eastAsia"/>
          <w:lang w:val="es-ES_tradnl" w:eastAsia="zh-CN"/>
        </w:rPr>
        <w:t>）、</w:t>
      </w:r>
      <w:r w:rsidRPr="005B5DAD">
        <w:rPr>
          <w:rFonts w:hAnsi="SimSun" w:hint="eastAsia"/>
          <w:lang w:val="en-US" w:eastAsia="zh-CN"/>
        </w:rPr>
        <w:t>电气和电子工程师学会</w:t>
      </w:r>
      <w:r>
        <w:rPr>
          <w:rFonts w:hAnsi="SimSun" w:hint="eastAsia"/>
          <w:lang w:val="en-US" w:eastAsia="zh-CN"/>
        </w:rPr>
        <w:t>（</w:t>
      </w:r>
      <w:r w:rsidRPr="005B5DAD">
        <w:rPr>
          <w:lang w:val="en-US" w:eastAsia="zh-CN"/>
        </w:rPr>
        <w:t>IEEE</w:t>
      </w:r>
      <w:r>
        <w:rPr>
          <w:rFonts w:hint="eastAsia"/>
          <w:lang w:val="en-US" w:eastAsia="zh-CN"/>
        </w:rPr>
        <w:t>）、开放移动联盟（</w:t>
      </w:r>
      <w:r>
        <w:rPr>
          <w:lang w:val="en-US" w:eastAsia="zh-CN"/>
        </w:rPr>
        <w:t>OMA</w:t>
      </w:r>
      <w:r>
        <w:rPr>
          <w:rFonts w:hint="eastAsia"/>
          <w:lang w:val="en-US" w:eastAsia="zh-CN"/>
        </w:rPr>
        <w:t>）、西门子通信测试设备公司（</w:t>
      </w:r>
      <w:r>
        <w:rPr>
          <w:lang w:val="en-US" w:eastAsia="zh-CN"/>
        </w:rPr>
        <w:t>SCTE</w:t>
      </w:r>
      <w:r>
        <w:rPr>
          <w:rFonts w:hint="eastAsia"/>
          <w:lang w:val="en-US" w:eastAsia="zh-CN"/>
        </w:rPr>
        <w:t>）、电影电视工程师协会（</w:t>
      </w:r>
      <w:r>
        <w:rPr>
          <w:lang w:val="en-US" w:eastAsia="zh-CN"/>
        </w:rPr>
        <w:t>SMPTE</w:t>
      </w:r>
      <w:r>
        <w:rPr>
          <w:rFonts w:hint="eastAsia"/>
          <w:lang w:val="en-US" w:eastAsia="zh-CN"/>
        </w:rPr>
        <w:t>）。</w:t>
      </w:r>
    </w:p>
    <w:p w:rsidR="00BE37FB" w:rsidRDefault="00BE37FB" w:rsidP="00C278C8">
      <w:pPr>
        <w:pStyle w:val="enumlev1"/>
        <w:rPr>
          <w:lang w:val="en-US" w:eastAsia="zh-CN"/>
        </w:rPr>
      </w:pPr>
    </w:p>
    <w:p w:rsidR="00BE37FB" w:rsidRDefault="00BE37FB" w:rsidP="00C278C8">
      <w:pPr>
        <w:pStyle w:val="enumlev1"/>
        <w:rPr>
          <w:lang w:val="en-US" w:eastAsia="zh-CN"/>
        </w:rPr>
      </w:pPr>
    </w:p>
    <w:p w:rsidR="00BE37FB" w:rsidRDefault="00BE37FB" w:rsidP="00C278C8">
      <w:pPr>
        <w:jc w:val="center"/>
      </w:pPr>
      <w:r>
        <w:t>______________</w:t>
      </w:r>
    </w:p>
    <w:p w:rsidR="00BE37FB" w:rsidRPr="00271B58" w:rsidRDefault="00BE37FB" w:rsidP="00C278C8">
      <w:pPr>
        <w:pStyle w:val="enumlev1"/>
        <w:rPr>
          <w:b/>
          <w:bCs/>
          <w:lang w:eastAsia="zh-CN"/>
        </w:rPr>
      </w:pPr>
    </w:p>
    <w:sectPr w:rsidR="00BE37FB" w:rsidRPr="00271B58" w:rsidSect="002A323A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FB" w:rsidRDefault="00BE37FB">
      <w:r>
        <w:separator/>
      </w:r>
    </w:p>
  </w:endnote>
  <w:endnote w:type="continuationSeparator" w:id="0">
    <w:p w:rsidR="00BE37FB" w:rsidRDefault="00BE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5B" w:rsidRPr="00225D1E" w:rsidRDefault="00AD1C5B" w:rsidP="00AD1C5B">
    <w:pPr>
      <w:pStyle w:val="Footer"/>
      <w:rPr>
        <w:sz w:val="16"/>
        <w:szCs w:val="16"/>
        <w:lang w:val="fr-CH"/>
      </w:rPr>
    </w:pPr>
    <w:r w:rsidRPr="00225D1E">
      <w:rPr>
        <w:sz w:val="16"/>
        <w:szCs w:val="16"/>
        <w:lang w:val="fr-CH"/>
      </w:rPr>
      <w:t>ITU-T\BUREAU\CIRC\200\218</w:t>
    </w:r>
    <w:r>
      <w:rPr>
        <w:sz w:val="16"/>
        <w:szCs w:val="16"/>
        <w:lang w:val="fr-CH"/>
      </w:rPr>
      <w:t>C</w:t>
    </w:r>
    <w:r w:rsidRPr="00225D1E">
      <w:rPr>
        <w:sz w:val="16"/>
        <w:szCs w:val="16"/>
        <w:lang w:val="fr-CH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FB" w:rsidRDefault="00BE37FB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BE37FB" w:rsidRDefault="00BE37FB" w:rsidP="00043C2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BE37FB" w:rsidRDefault="00BE37FB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country-region">
      <w:smartTag w:uri="urn:schemas-microsoft-com:office:smarttags" w:element="place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FB" w:rsidRDefault="00BE37FB">
      <w:r>
        <w:separator/>
      </w:r>
    </w:p>
  </w:footnote>
  <w:footnote w:type="continuationSeparator" w:id="0">
    <w:p w:rsidR="00BE37FB" w:rsidRDefault="00BE3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FB" w:rsidRPr="0005363C" w:rsidRDefault="00BE37FB">
    <w:pPr>
      <w:pStyle w:val="Header"/>
      <w:rPr>
        <w:sz w:val="18"/>
        <w:szCs w:val="18"/>
      </w:rPr>
    </w:pPr>
    <w:r w:rsidRPr="0005363C">
      <w:rPr>
        <w:sz w:val="18"/>
        <w:szCs w:val="18"/>
      </w:rPr>
      <w:t xml:space="preserve">- </w:t>
    </w:r>
    <w:r w:rsidRPr="0005363C">
      <w:rPr>
        <w:sz w:val="18"/>
        <w:szCs w:val="18"/>
      </w:rPr>
      <w:fldChar w:fldCharType="begin"/>
    </w:r>
    <w:r w:rsidRPr="0005363C">
      <w:rPr>
        <w:sz w:val="18"/>
        <w:szCs w:val="18"/>
      </w:rPr>
      <w:instrText>PAGE</w:instrText>
    </w:r>
    <w:r w:rsidRPr="0005363C">
      <w:rPr>
        <w:sz w:val="18"/>
        <w:szCs w:val="18"/>
      </w:rPr>
      <w:fldChar w:fldCharType="separate"/>
    </w:r>
    <w:r w:rsidR="007A0E5A">
      <w:rPr>
        <w:noProof/>
        <w:sz w:val="18"/>
        <w:szCs w:val="18"/>
      </w:rPr>
      <w:t>3</w:t>
    </w:r>
    <w:r w:rsidRPr="0005363C">
      <w:rPr>
        <w:sz w:val="18"/>
        <w:szCs w:val="18"/>
      </w:rPr>
      <w:fldChar w:fldCharType="end"/>
    </w:r>
    <w:r w:rsidRPr="0005363C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388C"/>
    <w:multiLevelType w:val="singleLevel"/>
    <w:tmpl w:val="01902C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4BF840CB"/>
    <w:multiLevelType w:val="hybridMultilevel"/>
    <w:tmpl w:val="A218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B002E"/>
    <w:multiLevelType w:val="hybridMultilevel"/>
    <w:tmpl w:val="8456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C3707"/>
    <w:multiLevelType w:val="hybridMultilevel"/>
    <w:tmpl w:val="2990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0CE"/>
    <w:rsid w:val="00035FA7"/>
    <w:rsid w:val="00043C2F"/>
    <w:rsid w:val="000520CE"/>
    <w:rsid w:val="0005363C"/>
    <w:rsid w:val="00065D52"/>
    <w:rsid w:val="000747E1"/>
    <w:rsid w:val="00090E72"/>
    <w:rsid w:val="001527CD"/>
    <w:rsid w:val="001548AF"/>
    <w:rsid w:val="00194DF2"/>
    <w:rsid w:val="00196057"/>
    <w:rsid w:val="001D4B2B"/>
    <w:rsid w:val="00234A9B"/>
    <w:rsid w:val="002477C1"/>
    <w:rsid w:val="00271B58"/>
    <w:rsid w:val="002A323A"/>
    <w:rsid w:val="002E05E3"/>
    <w:rsid w:val="00342096"/>
    <w:rsid w:val="003639AB"/>
    <w:rsid w:val="003720EF"/>
    <w:rsid w:val="00377E1C"/>
    <w:rsid w:val="003914CD"/>
    <w:rsid w:val="003A05C6"/>
    <w:rsid w:val="003B1829"/>
    <w:rsid w:val="003C7AAE"/>
    <w:rsid w:val="003F64A3"/>
    <w:rsid w:val="0040509B"/>
    <w:rsid w:val="00443FA9"/>
    <w:rsid w:val="00451D51"/>
    <w:rsid w:val="004663B4"/>
    <w:rsid w:val="004B2114"/>
    <w:rsid w:val="00563C17"/>
    <w:rsid w:val="005766E2"/>
    <w:rsid w:val="00586357"/>
    <w:rsid w:val="005B5DAD"/>
    <w:rsid w:val="005D1C14"/>
    <w:rsid w:val="00600C34"/>
    <w:rsid w:val="0061083C"/>
    <w:rsid w:val="00627AE8"/>
    <w:rsid w:val="0063445E"/>
    <w:rsid w:val="00643BDA"/>
    <w:rsid w:val="0066644A"/>
    <w:rsid w:val="006716BB"/>
    <w:rsid w:val="006D22B1"/>
    <w:rsid w:val="00742159"/>
    <w:rsid w:val="007A0E5A"/>
    <w:rsid w:val="007A30ED"/>
    <w:rsid w:val="007E0812"/>
    <w:rsid w:val="007E106F"/>
    <w:rsid w:val="00811865"/>
    <w:rsid w:val="00855477"/>
    <w:rsid w:val="008F7F42"/>
    <w:rsid w:val="009128F1"/>
    <w:rsid w:val="00952D72"/>
    <w:rsid w:val="00956D38"/>
    <w:rsid w:val="00981CE5"/>
    <w:rsid w:val="00A10EF6"/>
    <w:rsid w:val="00A12E42"/>
    <w:rsid w:val="00A16AB0"/>
    <w:rsid w:val="00A21075"/>
    <w:rsid w:val="00A24469"/>
    <w:rsid w:val="00A83DB0"/>
    <w:rsid w:val="00AD1C5B"/>
    <w:rsid w:val="00B1015C"/>
    <w:rsid w:val="00B2477F"/>
    <w:rsid w:val="00B508B9"/>
    <w:rsid w:val="00B54FD5"/>
    <w:rsid w:val="00B73F4D"/>
    <w:rsid w:val="00BB5392"/>
    <w:rsid w:val="00BC3AE3"/>
    <w:rsid w:val="00BE339D"/>
    <w:rsid w:val="00BE37FB"/>
    <w:rsid w:val="00C278C8"/>
    <w:rsid w:val="00C7008A"/>
    <w:rsid w:val="00C712E7"/>
    <w:rsid w:val="00CD5D3A"/>
    <w:rsid w:val="00CE17A9"/>
    <w:rsid w:val="00D34F86"/>
    <w:rsid w:val="00DA16F8"/>
    <w:rsid w:val="00E25535"/>
    <w:rsid w:val="00E3279B"/>
    <w:rsid w:val="00E35907"/>
    <w:rsid w:val="00E83E1C"/>
    <w:rsid w:val="00F2731F"/>
    <w:rsid w:val="00F361FF"/>
    <w:rsid w:val="00F50108"/>
    <w:rsid w:val="00FE4077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85122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rsid w:val="00485122"/>
    <w:rPr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85122"/>
    <w:rPr>
      <w:sz w:val="24"/>
      <w:szCs w:val="20"/>
      <w:lang w:val="en-GB" w:eastAsia="en-US"/>
    </w:rPr>
  </w:style>
  <w:style w:type="paragraph" w:customStyle="1" w:styleId="FigureLegend">
    <w:name w:val="Figure_Legend"/>
    <w:basedOn w:val="Normal"/>
    <w:uiPriority w:val="99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uiPriority w:val="99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85122"/>
    <w:rPr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63445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uiPriority w:val="99"/>
    <w:rsid w:val="000520CE"/>
    <w:pPr>
      <w:keepNext/>
      <w:keepLines/>
      <w:jc w:val="center"/>
    </w:pPr>
  </w:style>
  <w:style w:type="paragraph" w:customStyle="1" w:styleId="CharChar">
    <w:name w:val="Char Char"/>
    <w:basedOn w:val="Normal"/>
    <w:uiPriority w:val="99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  <w:style w:type="paragraph" w:customStyle="1" w:styleId="CharCharCharCharCharChar">
    <w:name w:val="Char Char Char Char Char Char"/>
    <w:basedOn w:val="Normal"/>
    <w:uiPriority w:val="99"/>
    <w:rsid w:val="00271B5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Notitle">
    <w:name w:val="Annex_No &amp; title"/>
    <w:basedOn w:val="Normal"/>
    <w:next w:val="Normal"/>
    <w:uiPriority w:val="99"/>
    <w:rsid w:val="00586357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99"/>
    <w:qFormat/>
    <w:rsid w:val="00586357"/>
    <w:pPr>
      <w:ind w:left="720"/>
      <w:contextualSpacing/>
    </w:pPr>
  </w:style>
  <w:style w:type="paragraph" w:customStyle="1" w:styleId="enumlev1">
    <w:name w:val="enumlev1"/>
    <w:basedOn w:val="Normal"/>
    <w:uiPriority w:val="99"/>
    <w:rsid w:val="00F2731F"/>
    <w:pPr>
      <w:spacing w:before="80"/>
      <w:ind w:left="794" w:hanging="794"/>
    </w:pPr>
  </w:style>
  <w:style w:type="character" w:customStyle="1" w:styleId="hps">
    <w:name w:val="hps"/>
    <w:basedOn w:val="DefaultParagraphFont"/>
    <w:uiPriority w:val="99"/>
    <w:rsid w:val="00194DF2"/>
    <w:rPr>
      <w:rFonts w:cs="Times New Roman"/>
    </w:rPr>
  </w:style>
  <w:style w:type="character" w:customStyle="1" w:styleId="jfk-button-label1">
    <w:name w:val="jfk-button-label1"/>
    <w:basedOn w:val="DefaultParagraphFont"/>
    <w:uiPriority w:val="99"/>
    <w:rsid w:val="00194D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A1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122"/>
    <w:rPr>
      <w:sz w:val="0"/>
      <w:szCs w:val="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0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6500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6506">
                              <w:marLeft w:val="0"/>
                              <w:marRight w:val="0"/>
                              <w:marTop w:val="21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0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0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20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20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20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20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20651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workprog/wp_search.aspx?isn_sp=545&amp;isn_sg=54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ji\Application%20Data\Microsoft\Templates\POOL%20C%20-%20ITU\PC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</Template>
  <TotalTime>5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POOL</dc:creator>
  <cp:keywords/>
  <dc:description/>
  <cp:lastModifiedBy>Comas Barnes, Maite</cp:lastModifiedBy>
  <cp:revision>6</cp:revision>
  <cp:lastPrinted>2011-08-22T09:24:00Z</cp:lastPrinted>
  <dcterms:created xsi:type="dcterms:W3CDTF">2011-08-22T09:21:00Z</dcterms:created>
  <dcterms:modified xsi:type="dcterms:W3CDTF">2011-08-23T14:26:00Z</dcterms:modified>
</cp:coreProperties>
</file>