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708F9E3D" wp14:editId="50B6802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6F3874">
            <w:pPr>
              <w:tabs>
                <w:tab w:val="left" w:pos="4111"/>
              </w:tabs>
              <w:spacing w:before="20" w:after="60" w:line="300" w:lineRule="exact"/>
              <w:ind w:left="57"/>
              <w:rPr>
                <w:rtl/>
                <w:lang w:bidi="ar-EG"/>
              </w:rPr>
            </w:pPr>
            <w:r w:rsidRPr="00DC5505">
              <w:rPr>
                <w:rFonts w:hint="cs"/>
                <w:rtl/>
              </w:rPr>
              <w:t>جنيف،</w:t>
            </w:r>
            <w:r w:rsidR="006F3874">
              <w:rPr>
                <w:rFonts w:hint="cs"/>
                <w:rtl/>
              </w:rPr>
              <w:t xml:space="preserve"> </w:t>
            </w:r>
            <w:r w:rsidR="006F3874">
              <w:rPr>
                <w:bCs/>
              </w:rPr>
              <w:t>9</w:t>
            </w:r>
            <w:r w:rsidR="006F3874" w:rsidRPr="006F3874">
              <w:rPr>
                <w:rFonts w:hint="cs"/>
                <w:b/>
                <w:rtl/>
                <w:lang w:bidi="ar-EG"/>
              </w:rPr>
              <w:t xml:space="preserve"> سبتمبر </w:t>
            </w:r>
            <w:r w:rsidR="006F3874">
              <w:rPr>
                <w:bCs/>
              </w:rPr>
              <w:t>2011</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144940">
            <w:pPr>
              <w:tabs>
                <w:tab w:val="left" w:pos="4111"/>
              </w:tabs>
              <w:spacing w:before="20" w:line="300" w:lineRule="exact"/>
              <w:ind w:left="57"/>
              <w:rPr>
                <w:b/>
              </w:rPr>
            </w:pPr>
            <w:r>
              <w:rPr>
                <w:b/>
              </w:rPr>
              <w:t>TSB</w:t>
            </w:r>
            <w:r w:rsidR="004F3D50">
              <w:rPr>
                <w:b/>
              </w:rPr>
              <w:t> </w:t>
            </w:r>
            <w:r>
              <w:rPr>
                <w:b/>
              </w:rPr>
              <w:t>Circular</w:t>
            </w:r>
            <w:r w:rsidR="00144940">
              <w:rPr>
                <w:b/>
              </w:rPr>
              <w:t> </w:t>
            </w:r>
            <w:r w:rsidR="002F3182">
              <w:rPr>
                <w:b/>
              </w:rPr>
              <w:t>228</w:t>
            </w:r>
          </w:p>
          <w:p w:rsidR="00DC5505" w:rsidRPr="00DC5505" w:rsidRDefault="00DC5505" w:rsidP="002F3182">
            <w:pPr>
              <w:tabs>
                <w:tab w:val="left" w:pos="4111"/>
              </w:tabs>
              <w:spacing w:before="0" w:after="60" w:line="300" w:lineRule="exact"/>
              <w:ind w:left="57"/>
              <w:rPr>
                <w:bCs/>
              </w:rPr>
            </w:pPr>
            <w:r w:rsidRPr="00DC5505">
              <w:rPr>
                <w:bCs/>
              </w:rPr>
              <w:t>COM</w:t>
            </w:r>
            <w:r w:rsidR="006F3874">
              <w:rPr>
                <w:bCs/>
              </w:rPr>
              <w:t> </w:t>
            </w:r>
            <w:r w:rsidR="002F3182">
              <w:rPr>
                <w:bCs/>
              </w:rPr>
              <w:t>17</w:t>
            </w:r>
            <w:r w:rsidRPr="00DC5505">
              <w:rPr>
                <w:bCs/>
              </w:rPr>
              <w:t>/</w:t>
            </w:r>
            <w:r w:rsidR="002F3182">
              <w:rPr>
                <w:bCs/>
              </w:rPr>
              <w:t>MEU</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2F3182">
            <w:pPr>
              <w:tabs>
                <w:tab w:val="left" w:pos="4111"/>
              </w:tabs>
              <w:spacing w:before="60" w:after="60" w:line="300" w:lineRule="exact"/>
              <w:ind w:left="57"/>
              <w:jc w:val="left"/>
            </w:pPr>
            <w:r>
              <w:t xml:space="preserve">+41 22 730 </w:t>
            </w:r>
            <w:r w:rsidR="002F3182">
              <w:t>5866</w:t>
            </w:r>
            <w:r w:rsidR="007437F9">
              <w:rPr>
                <w:rtl/>
                <w:lang w:bidi="ar-EG"/>
              </w:rPr>
              <w:br/>
            </w:r>
            <w:r w:rsidR="00DC5505" w:rsidRPr="00DC5505">
              <w:t>+41 22 730 5853</w:t>
            </w:r>
            <w:r w:rsidR="007437F9">
              <w:rPr>
                <w:rtl/>
              </w:rPr>
              <w:br/>
            </w:r>
            <w:hyperlink r:id="rId10" w:history="1">
              <w:r w:rsidR="002F3182" w:rsidRPr="00867653">
                <w:rPr>
                  <w:rStyle w:val="Hyperlink"/>
                </w:rPr>
                <w:t>tsbsg17@itu.int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9B5009">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6F3874">
              <w:rPr>
                <w:bCs/>
              </w:rPr>
              <w:t>17</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0C2FB2" w:rsidP="0009758D">
            <w:pPr>
              <w:tabs>
                <w:tab w:val="left" w:pos="284"/>
                <w:tab w:val="left" w:pos="4111"/>
              </w:tabs>
              <w:spacing w:after="120"/>
              <w:ind w:left="57"/>
              <w:rPr>
                <w:b/>
                <w:bCs/>
                <w:rtl/>
                <w:lang w:bidi="ar-SY"/>
              </w:rPr>
            </w:pPr>
            <w:r>
              <w:rPr>
                <w:rFonts w:hint="cs"/>
                <w:b/>
                <w:bCs/>
                <w:rtl/>
              </w:rPr>
              <w:t>اجتماع لجنة الدراسات</w:t>
            </w:r>
            <w:r>
              <w:rPr>
                <w:rFonts w:hint="cs"/>
                <w:b/>
                <w:bCs/>
                <w:rtl/>
                <w:lang w:bidi="ar-EG"/>
              </w:rPr>
              <w:t xml:space="preserve"> </w:t>
            </w:r>
            <w:r w:rsidR="002F3182">
              <w:rPr>
                <w:b/>
                <w:bCs/>
                <w:lang w:bidi="ar-EG"/>
              </w:rPr>
              <w:t>17</w:t>
            </w:r>
            <w:r>
              <w:rPr>
                <w:rFonts w:hint="cs"/>
                <w:b/>
                <w:bCs/>
                <w:rtl/>
                <w:lang w:bidi="ar-EG"/>
              </w:rPr>
              <w:t xml:space="preserve"> بهدف الموافقة على </w:t>
            </w:r>
            <w:r w:rsidRPr="006D49AD">
              <w:rPr>
                <w:rFonts w:hint="cs"/>
                <w:b/>
                <w:bCs/>
                <w:rtl/>
                <w:lang w:bidi="ar-EG"/>
              </w:rPr>
              <w:t>مشاريع</w:t>
            </w:r>
            <w:r w:rsidR="0009758D">
              <w:rPr>
                <w:rFonts w:hint="cs"/>
                <w:b/>
                <w:bCs/>
                <w:rtl/>
                <w:lang w:bidi="ar-EG"/>
              </w:rPr>
              <w:t xml:space="preserve"> التوصيات الجديدة</w:t>
            </w:r>
            <w:r w:rsidR="002F3182">
              <w:rPr>
                <w:rFonts w:hint="cs"/>
                <w:b/>
                <w:bCs/>
                <w:rtl/>
                <w:lang w:bidi="ar-EG"/>
              </w:rPr>
              <w:t xml:space="preserve"> </w:t>
            </w:r>
            <w:r w:rsidR="002F3182">
              <w:rPr>
                <w:b/>
                <w:bCs/>
                <w:lang w:bidi="ar-EG"/>
              </w:rPr>
              <w:t>ITU</w:t>
            </w:r>
            <w:r w:rsidR="002F3182">
              <w:rPr>
                <w:b/>
                <w:bCs/>
                <w:lang w:bidi="ar-EG"/>
              </w:rPr>
              <w:noBreakHyphen/>
              <w:t>T X.1037</w:t>
            </w:r>
            <w:r w:rsidR="002F3182">
              <w:rPr>
                <w:rFonts w:hint="cs"/>
                <w:b/>
                <w:bCs/>
                <w:rtl/>
                <w:lang w:bidi="ar-SY"/>
              </w:rPr>
              <w:t xml:space="preserve"> و</w:t>
            </w:r>
            <w:r w:rsidR="002F3182">
              <w:rPr>
                <w:b/>
                <w:bCs/>
                <w:lang w:bidi="ar-SY"/>
              </w:rPr>
              <w:t>ITU</w:t>
            </w:r>
            <w:r w:rsidR="002F3182">
              <w:rPr>
                <w:b/>
                <w:bCs/>
                <w:lang w:bidi="ar-SY"/>
              </w:rPr>
              <w:noBreakHyphen/>
              <w:t>T X.1500</w:t>
            </w:r>
            <w:r w:rsidR="009E79AD">
              <w:rPr>
                <w:b/>
                <w:bCs/>
                <w:lang w:bidi="ar-SY"/>
              </w:rPr>
              <w:t>.1</w:t>
            </w:r>
            <w:r w:rsidR="002F3182">
              <w:rPr>
                <w:rFonts w:hint="cs"/>
                <w:b/>
                <w:bCs/>
                <w:rtl/>
                <w:lang w:bidi="ar-SY"/>
              </w:rPr>
              <w:t xml:space="preserve"> و</w:t>
            </w:r>
            <w:r w:rsidR="002F3182">
              <w:rPr>
                <w:b/>
                <w:bCs/>
                <w:lang w:bidi="ar-SY"/>
              </w:rPr>
              <w:t>ITU</w:t>
            </w:r>
            <w:r w:rsidR="002F3182">
              <w:rPr>
                <w:b/>
                <w:bCs/>
                <w:lang w:bidi="ar-SY"/>
              </w:rPr>
              <w:noBreakHyphen/>
              <w:t>T X.1524</w:t>
            </w:r>
            <w:r w:rsidR="002F3182">
              <w:rPr>
                <w:rFonts w:hint="cs"/>
                <w:b/>
                <w:bCs/>
                <w:rtl/>
                <w:lang w:bidi="ar-SY"/>
              </w:rPr>
              <w:t xml:space="preserve"> و</w:t>
            </w:r>
            <w:r w:rsidR="002F3182">
              <w:rPr>
                <w:b/>
                <w:bCs/>
                <w:lang w:bidi="ar-SY"/>
              </w:rPr>
              <w:t>ITU</w:t>
            </w:r>
            <w:r w:rsidR="002F3182">
              <w:rPr>
                <w:b/>
                <w:bCs/>
                <w:lang w:bidi="ar-SY"/>
              </w:rPr>
              <w:noBreakHyphen/>
              <w:t>T X.1541</w:t>
            </w:r>
            <w:r w:rsidRPr="006D49AD">
              <w:rPr>
                <w:rFonts w:hint="cs"/>
                <w:b/>
                <w:bCs/>
                <w:rtl/>
                <w:lang w:bidi="ar-EG"/>
              </w:rPr>
              <w:t xml:space="preserve"> </w:t>
            </w:r>
            <w:r w:rsidR="0009758D">
              <w:rPr>
                <w:rFonts w:hint="cs"/>
                <w:b/>
                <w:bCs/>
                <w:rtl/>
                <w:lang w:bidi="ar-EG"/>
              </w:rPr>
              <w:t>لقطاع تقييس الاتصالات</w:t>
            </w:r>
            <w:r w:rsidR="002F3182">
              <w:rPr>
                <w:rFonts w:hint="cs"/>
                <w:b/>
                <w:bCs/>
                <w:rtl/>
                <w:lang w:bidi="ar-EG"/>
              </w:rPr>
              <w:t xml:space="preserve"> </w:t>
            </w:r>
            <w:r>
              <w:rPr>
                <w:rFonts w:hint="cs"/>
                <w:b/>
                <w:bCs/>
                <w:rtl/>
                <w:lang w:bidi="ar-EG"/>
              </w:rPr>
              <w:t xml:space="preserve">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لتقييس الاتصالات (جوهانسبرغ، </w:t>
            </w:r>
            <w:r>
              <w:rPr>
                <w:b/>
                <w:bCs/>
                <w:lang w:bidi="ar-EG"/>
              </w:rPr>
              <w:t>2008</w:t>
            </w:r>
            <w:r>
              <w:rPr>
                <w:rFonts w:hint="cs"/>
                <w:b/>
                <w:bCs/>
                <w:rtl/>
                <w:lang w:bidi="ar-EG"/>
              </w:rPr>
              <w:t>)</w:t>
            </w:r>
            <w:r w:rsidR="00471EC0">
              <w:rPr>
                <w:b/>
                <w:bCs/>
                <w:rtl/>
                <w:lang w:bidi="ar-EG"/>
              </w:rPr>
              <w:tab/>
            </w:r>
            <w:r w:rsidR="00471EC0">
              <w:rPr>
                <w:b/>
                <w:bCs/>
                <w:rtl/>
                <w:lang w:bidi="ar-EG"/>
              </w:rPr>
              <w:br/>
            </w:r>
            <w:r>
              <w:rPr>
                <w:rFonts w:hint="cs"/>
                <w:b/>
                <w:bCs/>
                <w:rtl/>
                <w:lang w:bidi="ar-EG"/>
              </w:rPr>
              <w:t xml:space="preserve">جنيف، </w:t>
            </w:r>
            <w:r w:rsidR="002F3182">
              <w:rPr>
                <w:b/>
                <w:bCs/>
                <w:lang w:bidi="ar-EG"/>
              </w:rPr>
              <w:t>2</w:t>
            </w:r>
            <w:r w:rsidR="002F3182">
              <w:rPr>
                <w:rFonts w:hint="cs"/>
                <w:b/>
                <w:bCs/>
                <w:rtl/>
                <w:lang w:bidi="ar-SY"/>
              </w:rPr>
              <w:t xml:space="preserve"> مارس </w:t>
            </w:r>
            <w:r w:rsidR="002F3182">
              <w:rPr>
                <w:b/>
                <w:bCs/>
                <w:lang w:bidi="ar-SY"/>
              </w:rPr>
              <w:t>2012</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Default="00DC5505" w:rsidP="002A77D6">
      <w:pPr>
        <w:rPr>
          <w:rtl/>
          <w:lang w:bidi="ar-EG"/>
        </w:rPr>
      </w:pPr>
      <w:r w:rsidRPr="005F33FD">
        <w:t>1</w:t>
      </w:r>
      <w:r w:rsidRPr="005F33FD">
        <w:tab/>
      </w:r>
      <w:r>
        <w:rPr>
          <w:rFonts w:hint="cs"/>
          <w:rtl/>
        </w:rPr>
        <w:t xml:space="preserve">بناءً على طلب رئيس لجنة الدراسات </w:t>
      </w:r>
      <w:r w:rsidR="002A77D6">
        <w:t>17</w:t>
      </w:r>
      <w:r>
        <w:rPr>
          <w:rFonts w:hint="cs"/>
          <w:rtl/>
          <w:lang w:bidi="ar-EG"/>
        </w:rPr>
        <w:t xml:space="preserve">، المعنية </w:t>
      </w:r>
      <w:r w:rsidR="002A77D6" w:rsidRPr="0009758D">
        <w:rPr>
          <w:rFonts w:hint="cs"/>
          <w:i/>
          <w:iCs/>
          <w:rtl/>
        </w:rPr>
        <w:t>بالأمن</w:t>
      </w:r>
      <w:r>
        <w:rPr>
          <w:rFonts w:hint="cs"/>
          <w:rtl/>
          <w:lang w:bidi="ar-EG"/>
        </w:rPr>
        <w:t xml:space="preserve">، أتشرف بأن أُعلِمَكُم أن لجنة الدراسات هذه، التي ستجتمع من </w:t>
      </w:r>
      <w:r w:rsidR="002A77D6">
        <w:rPr>
          <w:lang w:bidi="ar-EG"/>
        </w:rPr>
        <w:t>20</w:t>
      </w:r>
      <w:r w:rsidR="002A77D6">
        <w:rPr>
          <w:rFonts w:hint="cs"/>
          <w:rtl/>
          <w:lang w:bidi="ar-SY"/>
        </w:rPr>
        <w:t xml:space="preserve"> فبراير</w:t>
      </w:r>
      <w:r>
        <w:rPr>
          <w:rFonts w:hint="cs"/>
          <w:rtl/>
          <w:lang w:bidi="ar-EG"/>
        </w:rPr>
        <w:t xml:space="preserve"> إلى</w:t>
      </w:r>
      <w:r w:rsidR="0009758D">
        <w:rPr>
          <w:rFonts w:hint="cs"/>
          <w:rtl/>
          <w:lang w:bidi="ar-EG"/>
        </w:rPr>
        <w:t xml:space="preserve"> </w:t>
      </w:r>
      <w:r w:rsidR="002A77D6">
        <w:rPr>
          <w:lang w:bidi="ar-EG"/>
        </w:rPr>
        <w:t>2</w:t>
      </w:r>
      <w:r w:rsidR="002A77D6">
        <w:rPr>
          <w:rFonts w:hint="cs"/>
          <w:rtl/>
          <w:lang w:bidi="ar-SY"/>
        </w:rPr>
        <w:t xml:space="preserve"> مارس </w:t>
      </w:r>
      <w:r w:rsidR="002A77D6">
        <w:rPr>
          <w:lang w:bidi="ar-SY"/>
        </w:rPr>
        <w:t>2012</w:t>
      </w:r>
      <w:r>
        <w:rPr>
          <w:rFonts w:hint="cs"/>
          <w:rtl/>
          <w:lang w:bidi="ar-EG"/>
        </w:rPr>
        <w:t>، تنوي تطبيق الإجراءات الموصوفة في القسم</w:t>
      </w:r>
      <w:r w:rsidR="00474AAB">
        <w:rPr>
          <w:rFonts w:hint="eastAsia"/>
          <w:rtl/>
          <w:lang w:bidi="ar-EG"/>
        </w:rPr>
        <w:t> </w:t>
      </w:r>
      <w:r>
        <w:rPr>
          <w:lang w:bidi="ar-EG"/>
        </w:rPr>
        <w:t>9</w:t>
      </w:r>
      <w:r>
        <w:rPr>
          <w:rFonts w:hint="cs"/>
          <w:rtl/>
          <w:lang w:bidi="ar-EG"/>
        </w:rPr>
        <w:t xml:space="preserve"> من القرار</w:t>
      </w:r>
      <w:r w:rsidR="00C5355E">
        <w:rPr>
          <w:rFonts w:hint="eastAsia"/>
          <w:rtl/>
          <w:lang w:bidi="ar-EG"/>
        </w:rPr>
        <w:t> </w:t>
      </w:r>
      <w:r>
        <w:rPr>
          <w:lang w:bidi="ar-EG"/>
        </w:rPr>
        <w:t>1</w:t>
      </w:r>
      <w:r>
        <w:rPr>
          <w:rFonts w:hint="cs"/>
          <w:rtl/>
          <w:lang w:bidi="ar-EG"/>
        </w:rPr>
        <w:t xml:space="preserve"> الصادر عن الجمعية العالمية لتقييس الاتصالات (جوهانسبرغ،</w:t>
      </w:r>
      <w:r w:rsidR="00523B5B">
        <w:rPr>
          <w:rFonts w:hint="eastAsia"/>
          <w:rtl/>
          <w:lang w:bidi="ar-EG"/>
        </w:rPr>
        <w:t> </w:t>
      </w:r>
      <w:r>
        <w:rPr>
          <w:lang w:bidi="ar-EG"/>
        </w:rPr>
        <w:t>2008</w:t>
      </w:r>
      <w:r>
        <w:rPr>
          <w:rFonts w:hint="cs"/>
          <w:rtl/>
          <w:lang w:bidi="ar-EG"/>
        </w:rPr>
        <w:t>) وذلك من أجل الموافقة على</w:t>
      </w:r>
      <w:r w:rsidR="0009758D">
        <w:rPr>
          <w:rFonts w:hint="cs"/>
          <w:rtl/>
          <w:lang w:bidi="ar-EG"/>
        </w:rPr>
        <w:t xml:space="preserve"> مشاريع</w:t>
      </w:r>
      <w:r>
        <w:rPr>
          <w:rFonts w:hint="cs"/>
          <w:rtl/>
          <w:lang w:bidi="ar-EG"/>
        </w:rPr>
        <w:t xml:space="preserve"> التوصيات الجديدة المذكورة أعلاه.</w:t>
      </w:r>
    </w:p>
    <w:p w:rsidR="00DC5505" w:rsidRDefault="00DC5505" w:rsidP="00EB10F2">
      <w:pPr>
        <w:rPr>
          <w:rtl/>
          <w:lang w:bidi="ar-EG"/>
        </w:rPr>
      </w:pPr>
      <w:proofErr w:type="gramStart"/>
      <w:r>
        <w:rPr>
          <w:lang w:bidi="ar-EG"/>
        </w:rPr>
        <w:t>2</w:t>
      </w:r>
      <w:r>
        <w:rPr>
          <w:rFonts w:hint="cs"/>
          <w:rtl/>
          <w:lang w:bidi="ar-EG"/>
        </w:rPr>
        <w:tab/>
        <w:t xml:space="preserve">ويشتمل </w:t>
      </w:r>
      <w:r>
        <w:rPr>
          <w:rFonts w:hint="cs"/>
          <w:b/>
          <w:bCs/>
          <w:rtl/>
          <w:lang w:bidi="ar-EG"/>
        </w:rPr>
        <w:t>الملحق</w:t>
      </w:r>
      <w:r w:rsidR="00274B47">
        <w:rPr>
          <w:rFonts w:hint="eastAsia"/>
          <w:b/>
          <w:bCs/>
          <w:rtl/>
          <w:lang w:bidi="ar-EG"/>
        </w:rPr>
        <w:t> </w:t>
      </w:r>
      <w:r>
        <w:rPr>
          <w:b/>
          <w:bCs/>
          <w:lang w:bidi="ar-EG"/>
        </w:rPr>
        <w:t>1</w:t>
      </w:r>
      <w:r>
        <w:rPr>
          <w:rFonts w:hint="cs"/>
          <w:rtl/>
          <w:lang w:bidi="ar-EG"/>
        </w:rPr>
        <w:t xml:space="preserve"> بهذه الرسالة على</w:t>
      </w:r>
      <w:r w:rsidR="0009758D">
        <w:rPr>
          <w:rFonts w:hint="cs"/>
          <w:rtl/>
          <w:lang w:bidi="ar-EG"/>
        </w:rPr>
        <w:t xml:space="preserve"> عناوين وملخصات</w:t>
      </w:r>
      <w:r>
        <w:rPr>
          <w:rFonts w:hint="cs"/>
          <w:rtl/>
          <w:lang w:bidi="ar-EG"/>
        </w:rPr>
        <w:t xml:space="preserve"> مشاريع</w:t>
      </w:r>
      <w:r w:rsidR="00EB10F2">
        <w:rPr>
          <w:rFonts w:hint="cs"/>
          <w:rtl/>
          <w:lang w:bidi="ar-EG"/>
        </w:rPr>
        <w:t xml:space="preserve"> </w:t>
      </w:r>
      <w:r>
        <w:rPr>
          <w:rFonts w:hint="cs"/>
          <w:rtl/>
          <w:lang w:bidi="ar-EG"/>
        </w:rPr>
        <w:t>التوصيات الجديدة لقطاع تقييس الاتصالات المقترح الموافقة عليها، الوثائق التي ترد</w:t>
      </w:r>
      <w:r w:rsidR="005C447D">
        <w:rPr>
          <w:rFonts w:hint="eastAsia"/>
          <w:rtl/>
          <w:lang w:bidi="ar-EG"/>
        </w:rPr>
        <w:t> </w:t>
      </w:r>
      <w:r>
        <w:rPr>
          <w:rFonts w:hint="cs"/>
          <w:rtl/>
          <w:lang w:bidi="ar-EG"/>
        </w:rPr>
        <w:t>فيها.</w:t>
      </w:r>
      <w:proofErr w:type="gramEnd"/>
    </w:p>
    <w:p w:rsidR="00DC5505" w:rsidRDefault="00DC5505" w:rsidP="0009758D">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00980D9A" w:rsidRPr="00C67A47">
        <w:rPr>
          <w:rFonts w:hint="cs"/>
          <w:spacing w:val="-4"/>
          <w:rtl/>
          <w:lang w:bidi="ar-EG"/>
        </w:rPr>
        <w:t xml:space="preserve">أو </w:t>
      </w:r>
      <w:r w:rsidR="00C67A47">
        <w:rPr>
          <w:rFonts w:hint="cs"/>
          <w:spacing w:val="-4"/>
          <w:rtl/>
          <w:lang w:bidi="ar-EG"/>
        </w:rPr>
        <w:t>هيئة</w:t>
      </w:r>
      <w:r w:rsidR="00980D9A" w:rsidRPr="00C67A47">
        <w:rPr>
          <w:rFonts w:hint="cs"/>
          <w:spacing w:val="-4"/>
          <w:rtl/>
          <w:lang w:bidi="ar-EG"/>
        </w:rPr>
        <w:t xml:space="preserve"> أكاديمية</w:t>
      </w:r>
      <w:r w:rsidR="00247D9B" w:rsidRPr="00460C4B">
        <w:rPr>
          <w:rFonts w:hint="cs"/>
          <w:spacing w:val="-4"/>
          <w:rtl/>
          <w:lang w:bidi="ar-EG"/>
        </w:rPr>
        <w:t>،</w:t>
      </w:r>
      <w:r w:rsidR="00980D9A" w:rsidRPr="00460C4B">
        <w:rPr>
          <w:rFonts w:hint="cs"/>
          <w:spacing w:val="-4"/>
          <w:rtl/>
          <w:lang w:bidi="ar-EG"/>
        </w:rPr>
        <w:t xml:space="preserve"> </w:t>
      </w:r>
      <w:r w:rsidR="00C67A47">
        <w:rPr>
          <w:rFonts w:hint="cs"/>
          <w:spacing w:val="-4"/>
          <w:rtl/>
          <w:lang w:bidi="ar-EG"/>
        </w:rPr>
        <w:t>ت</w:t>
      </w:r>
      <w:r w:rsidRPr="00460C4B">
        <w:rPr>
          <w:rFonts w:hint="cs"/>
          <w:spacing w:val="-4"/>
          <w:rtl/>
          <w:lang w:bidi="ar-EG"/>
        </w:rPr>
        <w:t>علم بوجود براءة اختراع في حيازته</w:t>
      </w:r>
      <w:r w:rsidR="00C67A47">
        <w:rPr>
          <w:rFonts w:hint="cs"/>
          <w:spacing w:val="-4"/>
          <w:rtl/>
          <w:lang w:bidi="ar-EG"/>
        </w:rPr>
        <w:t>ا</w:t>
      </w:r>
      <w:r w:rsidRPr="00460C4B">
        <w:rPr>
          <w:rFonts w:hint="cs"/>
          <w:spacing w:val="-4"/>
          <w:rtl/>
          <w:lang w:bidi="ar-EG"/>
        </w:rPr>
        <w:t xml:space="preserve"> أو في حيازة الغير من شأنها أن تشمل كلياً أو جزئياً عناصر من </w:t>
      </w:r>
      <w:r w:rsidR="0009758D">
        <w:rPr>
          <w:rFonts w:hint="cs"/>
          <w:spacing w:val="-4"/>
          <w:rtl/>
          <w:lang w:bidi="ar-EG"/>
        </w:rPr>
        <w:t>مشاريع التوصيات</w:t>
      </w:r>
      <w:r w:rsidRPr="00460C4B">
        <w:rPr>
          <w:rFonts w:hint="cs"/>
          <w:spacing w:val="-4"/>
          <w:rtl/>
          <w:lang w:bidi="ar-EG"/>
        </w:rPr>
        <w:t xml:space="preserve"> المقترح الموافقة عليها</w:t>
      </w:r>
      <w:r w:rsidR="00C67A47">
        <w:rPr>
          <w:rFonts w:hint="cs"/>
          <w:spacing w:val="-4"/>
          <w:rtl/>
          <w:lang w:bidi="ar-EG"/>
        </w:rPr>
        <w:t>،</w:t>
      </w:r>
      <w:r w:rsidRPr="00460C4B">
        <w:rPr>
          <w:rFonts w:hint="cs"/>
          <w:spacing w:val="-4"/>
          <w:rtl/>
          <w:lang w:bidi="ar-EG"/>
        </w:rPr>
        <w:t xml:space="preserve"> أن</w:t>
      </w:r>
      <w:r w:rsidR="00C67A47">
        <w:rPr>
          <w:rFonts w:hint="eastAsia"/>
          <w:spacing w:val="-4"/>
          <w:rtl/>
          <w:lang w:bidi="ar-EG"/>
        </w:rPr>
        <w:t> </w:t>
      </w:r>
      <w:r w:rsidR="00C67A47">
        <w:rPr>
          <w:rFonts w:hint="cs"/>
          <w:spacing w:val="-4"/>
          <w:rtl/>
          <w:lang w:bidi="ar-EG"/>
        </w:rPr>
        <w:t>ت</w:t>
      </w:r>
      <w:r w:rsidRPr="00460C4B">
        <w:rPr>
          <w:rFonts w:hint="cs"/>
          <w:spacing w:val="-4"/>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00B269E5">
        <w:rPr>
          <w:rFonts w:hint="eastAsia"/>
          <w:spacing w:val="-4"/>
          <w:rtl/>
          <w:lang w:bidi="ar-EG"/>
        </w:rPr>
        <w:t> </w:t>
      </w:r>
      <w:r w:rsidRPr="00460C4B">
        <w:rPr>
          <w:spacing w:val="-4"/>
          <w:lang w:bidi="ar-EG"/>
        </w:rPr>
        <w:t>(ITU-T/ITU-R/ISO/IEC)</w:t>
      </w:r>
      <w:r w:rsidRPr="00460C4B">
        <w:rPr>
          <w:rFonts w:hint="cs"/>
          <w:spacing w:val="-4"/>
          <w:rtl/>
          <w:lang w:bidi="ar-EG"/>
        </w:rPr>
        <w:t>.</w:t>
      </w:r>
    </w:p>
    <w:p w:rsidR="00DC5505" w:rsidRPr="00EB10F2" w:rsidRDefault="00DC5505" w:rsidP="00EB10F2">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1" w:history="1">
        <w:r w:rsidRPr="006F493F">
          <w:rPr>
            <w:rStyle w:val="Hyperlink"/>
            <w:spacing w:val="-6"/>
            <w:lang w:bidi="ar-EG"/>
          </w:rPr>
          <w:t>www.itu.i</w:t>
        </w:r>
        <w:bookmarkStart w:id="0" w:name="_GoBack"/>
        <w:bookmarkEnd w:id="0"/>
        <w:r w:rsidRPr="006F493F">
          <w:rPr>
            <w:rStyle w:val="Hyperlink"/>
            <w:spacing w:val="-6"/>
            <w:lang w:bidi="ar-EG"/>
          </w:rPr>
          <w:t>nt/ITU-T/ipr/</w:t>
        </w:r>
      </w:hyperlink>
      <w:r w:rsidR="00980D9A">
        <w:rPr>
          <w:spacing w:val="-6"/>
          <w:lang w:bidi="ar-EG"/>
        </w:rPr>
        <w:t>)</w:t>
      </w:r>
      <w:r w:rsidRPr="006F493F">
        <w:rPr>
          <w:rFonts w:hint="cs"/>
          <w:spacing w:val="-6"/>
          <w:rtl/>
          <w:lang w:bidi="ar-EG"/>
        </w:rPr>
        <w:t>.</w:t>
      </w:r>
    </w:p>
    <w:p w:rsidR="00DC5505" w:rsidRDefault="00DC5505" w:rsidP="004C633A">
      <w:pPr>
        <w:keepNext/>
        <w:keepLines/>
        <w:rPr>
          <w:rtl/>
          <w:lang w:bidi="ar-EG"/>
        </w:rPr>
      </w:pPr>
      <w:r>
        <w:rPr>
          <w:lang w:bidi="ar-EG"/>
        </w:rPr>
        <w:lastRenderedPageBreak/>
        <w:t>4</w:t>
      </w:r>
      <w:r>
        <w:rPr>
          <w:rFonts w:hint="cs"/>
          <w:rtl/>
          <w:lang w:bidi="ar-EG"/>
        </w:rPr>
        <w:tab/>
        <w:t>وتبعاً لأحكام القسم</w:t>
      </w:r>
      <w:r w:rsidR="00274B47">
        <w:rPr>
          <w:rFonts w:hint="eastAsia"/>
          <w:rtl/>
          <w:lang w:bidi="ar-EG"/>
        </w:rPr>
        <w:t> </w:t>
      </w:r>
      <w:r>
        <w:rPr>
          <w:lang w:bidi="ar-EG"/>
        </w:rPr>
        <w:t>9</w:t>
      </w:r>
      <w:r>
        <w:rPr>
          <w:rFonts w:hint="cs"/>
          <w:rtl/>
          <w:lang w:bidi="ar-EG"/>
        </w:rPr>
        <w:t xml:space="preserve"> من القرار</w:t>
      </w:r>
      <w:r w:rsidR="00274B47">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sidRPr="00D02A9F">
        <w:rPr>
          <w:rFonts w:hint="cs"/>
          <w:b/>
          <w:bCs/>
          <w:rtl/>
          <w:lang w:bidi="ar-EG"/>
        </w:rPr>
        <w:t xml:space="preserve">في </w:t>
      </w:r>
      <w:r w:rsidR="00D304E4" w:rsidRPr="00D02A9F">
        <w:rPr>
          <w:b/>
          <w:bCs/>
        </w:rPr>
        <w:t>8</w:t>
      </w:r>
      <w:r w:rsidR="00D304E4" w:rsidRPr="00D02A9F">
        <w:rPr>
          <w:rFonts w:hint="cs"/>
          <w:b/>
          <w:bCs/>
          <w:rtl/>
          <w:lang w:bidi="ar-SY"/>
        </w:rPr>
        <w:t xml:space="preserve"> فبراير </w:t>
      </w:r>
      <w:r w:rsidR="00D304E4" w:rsidRPr="00D02A9F">
        <w:rPr>
          <w:b/>
          <w:bCs/>
          <w:lang w:bidi="ar-SY"/>
        </w:rPr>
        <w:t>2012</w:t>
      </w:r>
      <w:r w:rsidR="00D304E4">
        <w:rPr>
          <w:rFonts w:hint="cs"/>
          <w:rtl/>
          <w:lang w:bidi="ar-SY"/>
        </w:rPr>
        <w:t xml:space="preserve"> </w:t>
      </w:r>
      <w:r>
        <w:rPr>
          <w:rFonts w:hint="cs"/>
          <w:rtl/>
          <w:lang w:bidi="ar-EG"/>
        </w:rPr>
        <w:t>ما إذا كانت إدارتكم تفوِّض السلطة إلى لجنة الدراسات</w:t>
      </w:r>
      <w:r w:rsidR="004C633A">
        <w:rPr>
          <w:rFonts w:hint="eastAsia"/>
          <w:rtl/>
          <w:lang w:bidi="ar-EG"/>
        </w:rPr>
        <w:t> </w:t>
      </w:r>
      <w:r w:rsidR="00D304E4">
        <w:rPr>
          <w:lang w:bidi="ar-EG"/>
        </w:rPr>
        <w:t>17</w:t>
      </w:r>
      <w:r w:rsidR="00D304E4">
        <w:rPr>
          <w:rFonts w:hint="cs"/>
          <w:rtl/>
          <w:lang w:bidi="ar-EG"/>
        </w:rPr>
        <w:t xml:space="preserve"> </w:t>
      </w:r>
      <w:r>
        <w:rPr>
          <w:rFonts w:hint="cs"/>
          <w:rtl/>
          <w:lang w:bidi="ar-EG"/>
        </w:rPr>
        <w:t xml:space="preserve">للنظر في </w:t>
      </w:r>
      <w:r w:rsidR="00D304E4">
        <w:rPr>
          <w:rFonts w:hint="cs"/>
          <w:rtl/>
          <w:lang w:bidi="ar-EG"/>
        </w:rPr>
        <w:t xml:space="preserve">مشاريع </w:t>
      </w:r>
      <w:r>
        <w:rPr>
          <w:rFonts w:hint="cs"/>
          <w:rtl/>
          <w:lang w:bidi="ar-EG"/>
        </w:rPr>
        <w:t>هذه التوصيات الجديدة بغرض الموافقة عليها في اجتماع لجنة الدراسات.</w:t>
      </w:r>
    </w:p>
    <w:p w:rsidR="00DC5505" w:rsidRDefault="00DC5505" w:rsidP="00965D0E">
      <w:pPr>
        <w:rPr>
          <w:rtl/>
          <w:lang w:bidi="ar-EG"/>
        </w:rPr>
      </w:pPr>
      <w:r>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مشاريع</w:t>
      </w:r>
      <w:r w:rsidR="00965D0E">
        <w:rPr>
          <w:rFonts w:hint="cs"/>
          <w:rtl/>
          <w:lang w:bidi="ar-EG"/>
        </w:rPr>
        <w:t xml:space="preserve"> </w:t>
      </w:r>
      <w:r>
        <w:rPr>
          <w:rFonts w:hint="cs"/>
          <w:rtl/>
          <w:lang w:bidi="ar-EG"/>
        </w:rPr>
        <w:t>التوصيات الجديدة والموافقة عليها.</w:t>
      </w:r>
    </w:p>
    <w:p w:rsidR="00DC5505" w:rsidRPr="00965D0E" w:rsidRDefault="00DC5505" w:rsidP="00965D0E">
      <w:pPr>
        <w:rPr>
          <w:spacing w:val="-2"/>
          <w:rtl/>
          <w:lang w:bidi="ar-EG"/>
        </w:rPr>
      </w:pPr>
      <w:proofErr w:type="gramStart"/>
      <w:r w:rsidRPr="00965D0E">
        <w:rPr>
          <w:spacing w:val="-2"/>
          <w:lang w:bidi="ar-EG"/>
        </w:rPr>
        <w:t>5</w:t>
      </w:r>
      <w:r w:rsidRPr="00965D0E">
        <w:rPr>
          <w:rFonts w:hint="cs"/>
          <w:spacing w:val="-2"/>
          <w:rtl/>
          <w:lang w:bidi="ar-EG"/>
        </w:rPr>
        <w:tab/>
        <w:t>فإذا كان</w:t>
      </w:r>
      <w:r w:rsidR="001B5908" w:rsidRPr="00965D0E">
        <w:rPr>
          <w:rFonts w:hint="eastAsia"/>
          <w:spacing w:val="-2"/>
          <w:rtl/>
          <w:lang w:bidi="ar-EG"/>
        </w:rPr>
        <w:t> </w:t>
      </w:r>
      <w:r w:rsidRPr="00965D0E">
        <w:rPr>
          <w:spacing w:val="-2"/>
          <w:lang w:bidi="ar-EG"/>
        </w:rPr>
        <w:t>70</w:t>
      </w:r>
      <w:r w:rsidRPr="00965D0E">
        <w:rPr>
          <w:rFonts w:hint="cs"/>
          <w:spacing w:val="-2"/>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 عندئذ سوف تُكرَّس جلسة عامة</w:t>
      </w:r>
      <w:r w:rsidR="00965D0E" w:rsidRPr="00965D0E">
        <w:rPr>
          <w:rFonts w:hint="cs"/>
          <w:spacing w:val="-2"/>
          <w:rtl/>
          <w:lang w:bidi="ar-EG"/>
        </w:rPr>
        <w:t xml:space="preserve"> </w:t>
      </w:r>
      <w:r w:rsidRPr="00965D0E">
        <w:rPr>
          <w:rFonts w:hint="cs"/>
          <w:b/>
          <w:bCs/>
          <w:spacing w:val="-2"/>
          <w:rtl/>
          <w:lang w:bidi="ar-EG"/>
        </w:rPr>
        <w:t xml:space="preserve">في </w:t>
      </w:r>
      <w:r w:rsidR="00965D0E" w:rsidRPr="00965D0E">
        <w:rPr>
          <w:b/>
          <w:bCs/>
          <w:spacing w:val="-2"/>
          <w:lang w:bidi="ar-EG"/>
        </w:rPr>
        <w:t>2</w:t>
      </w:r>
      <w:r w:rsidR="00965D0E" w:rsidRPr="00965D0E">
        <w:rPr>
          <w:rFonts w:hint="cs"/>
          <w:b/>
          <w:bCs/>
          <w:spacing w:val="-2"/>
          <w:rtl/>
          <w:lang w:bidi="ar-SY"/>
        </w:rPr>
        <w:t xml:space="preserve"> مارس </w:t>
      </w:r>
      <w:r w:rsidR="00965D0E" w:rsidRPr="00965D0E">
        <w:rPr>
          <w:b/>
          <w:bCs/>
          <w:spacing w:val="-2"/>
          <w:lang w:bidi="ar-SY"/>
        </w:rPr>
        <w:t>2012</w:t>
      </w:r>
      <w:r w:rsidR="00965D0E" w:rsidRPr="00965D0E">
        <w:rPr>
          <w:rFonts w:hint="cs"/>
          <w:b/>
          <w:bCs/>
          <w:spacing w:val="-2"/>
          <w:rtl/>
          <w:lang w:bidi="ar-EG"/>
        </w:rPr>
        <w:t xml:space="preserve"> </w:t>
      </w:r>
      <w:r w:rsidRPr="00965D0E">
        <w:rPr>
          <w:rFonts w:hint="cs"/>
          <w:spacing w:val="-2"/>
          <w:rtl/>
          <w:lang w:bidi="ar-EG"/>
        </w:rPr>
        <w:t>لتطبيق إجراءات الموافقة.</w:t>
      </w:r>
      <w:proofErr w:type="gramEnd"/>
    </w:p>
    <w:p w:rsidR="00DC5505" w:rsidRPr="00F11BC4" w:rsidRDefault="00DC5505" w:rsidP="00274B47">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sidR="00274B47">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sidR="00274B47">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DC5505" w:rsidRDefault="00DC5505" w:rsidP="003823DF">
      <w:pPr>
        <w:rPr>
          <w:rtl/>
          <w:lang w:bidi="ar-SY"/>
        </w:rPr>
      </w:pPr>
      <w:proofErr w:type="gramStart"/>
      <w:r>
        <w:rPr>
          <w:lang w:bidi="ar-EG"/>
        </w:rPr>
        <w:t>6</w:t>
      </w:r>
      <w:r>
        <w:rPr>
          <w:rFonts w:hint="cs"/>
          <w:rtl/>
          <w:lang w:bidi="ar-EG"/>
        </w:rPr>
        <w:tab/>
        <w:t>ويمكن الاطلاع على جدول الأعمال وجميع المعلومات ذات الصلة فيما يتعلق باجتماع لجنة الدراسات</w:t>
      </w:r>
      <w:r w:rsidR="0057459E">
        <w:rPr>
          <w:rFonts w:hint="eastAsia"/>
          <w:rtl/>
          <w:lang w:bidi="ar-EG"/>
        </w:rPr>
        <w:t> </w:t>
      </w:r>
      <w:r w:rsidR="00552171">
        <w:rPr>
          <w:lang w:bidi="ar-EG"/>
        </w:rPr>
        <w:t>17</w:t>
      </w:r>
      <w:r>
        <w:rPr>
          <w:lang w:bidi="ar-EG"/>
        </w:rPr>
        <w:br/>
      </w:r>
      <w:r>
        <w:rPr>
          <w:rFonts w:hint="cs"/>
          <w:rtl/>
          <w:lang w:bidi="ar-EG"/>
        </w:rPr>
        <w:t>في الرسالة الجماعية</w:t>
      </w:r>
      <w:r w:rsidR="003823DF">
        <w:rPr>
          <w:rFonts w:hint="eastAsia"/>
          <w:rtl/>
          <w:lang w:bidi="ar-EG"/>
        </w:rPr>
        <w:t> </w:t>
      </w:r>
      <w:r w:rsidR="00552171">
        <w:rPr>
          <w:lang w:bidi="ar-EG"/>
        </w:rPr>
        <w:t>7/17</w:t>
      </w:r>
      <w:r w:rsidR="00552171">
        <w:rPr>
          <w:rFonts w:hint="cs"/>
          <w:rtl/>
          <w:lang w:bidi="ar-SY"/>
        </w:rPr>
        <w:t>.</w:t>
      </w:r>
      <w:proofErr w:type="gramEnd"/>
    </w:p>
    <w:p w:rsidR="00DC5505" w:rsidRPr="004579B5" w:rsidRDefault="00DC5505" w:rsidP="00552171">
      <w:pPr>
        <w:rPr>
          <w:rtl/>
          <w:lang w:bidi="ar-EG"/>
        </w:rPr>
      </w:pPr>
      <w:proofErr w:type="gramStart"/>
      <w:r>
        <w:rPr>
          <w:lang w:bidi="ar-EG"/>
        </w:rPr>
        <w:t>7</w:t>
      </w:r>
      <w:r>
        <w:rPr>
          <w:rFonts w:hint="cs"/>
          <w:rtl/>
          <w:lang w:bidi="ar-EG"/>
        </w:rPr>
        <w:tab/>
        <w:t>وفي أعقاب الاجتماع سوف يعلن مدير مكتب تقييس الاتصالات، في رسالة معممة، عن القرار المُتَخّذ بشأن هذه التوصيات.</w:t>
      </w:r>
      <w:proofErr w:type="gramEnd"/>
      <w:r>
        <w:rPr>
          <w:rFonts w:hint="cs"/>
          <w:rtl/>
          <w:lang w:bidi="ar-EG"/>
        </w:rPr>
        <w:t xml:space="preserve"> ولسوف تُنشر هذه المعلومات أيضاً في النشرة التشغيلية 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C5355E">
      <w:pPr>
        <w:tabs>
          <w:tab w:val="left" w:pos="1173"/>
        </w:tabs>
        <w:spacing w:before="1320"/>
        <w:ind w:left="1174" w:hanging="1174"/>
        <w:jc w:val="left"/>
        <w:rPr>
          <w:rtl/>
          <w:lang w:bidi="ar-SY"/>
        </w:rPr>
      </w:pPr>
      <w:r>
        <w:rPr>
          <w:rFonts w:hint="cs"/>
          <w:b/>
          <w:bCs/>
          <w:rtl/>
          <w:lang w:bidi="ar-EG"/>
        </w:rPr>
        <w:t>الملحقات:</w:t>
      </w:r>
      <w:r w:rsidR="008C4385">
        <w:rPr>
          <w:rFonts w:hint="cs"/>
          <w:rtl/>
          <w:lang w:bidi="ar-EG"/>
        </w:rPr>
        <w:t xml:space="preserve"> </w:t>
      </w:r>
      <w:r w:rsidR="003E32C9">
        <w:rPr>
          <w:lang w:bidi="ar-EG"/>
        </w:rPr>
        <w:t>1</w:t>
      </w:r>
    </w:p>
    <w:p w:rsidR="003E32C9" w:rsidRDefault="003E32C9">
      <w:pPr>
        <w:bidi w:val="0"/>
        <w:spacing w:before="0" w:line="240" w:lineRule="auto"/>
        <w:jc w:val="left"/>
        <w:rPr>
          <w:rtl/>
          <w:lang w:bidi="ar-SY"/>
        </w:rPr>
      </w:pPr>
      <w:r>
        <w:rPr>
          <w:rtl/>
          <w:lang w:bidi="ar-SY"/>
        </w:rPr>
        <w:br w:type="page"/>
      </w:r>
    </w:p>
    <w:p w:rsidR="003E32C9" w:rsidRPr="00187F7C" w:rsidRDefault="003E32C9" w:rsidP="00694D5B">
      <w:pPr>
        <w:jc w:val="center"/>
        <w:rPr>
          <w:rStyle w:val="AnnexNotitleChar"/>
          <w:rtl/>
        </w:rPr>
      </w:pPr>
      <w:r w:rsidRPr="00187F7C">
        <w:rPr>
          <w:rStyle w:val="AnnexNotitleChar"/>
          <w:rFonts w:hint="cs"/>
          <w:rtl/>
        </w:rPr>
        <w:lastRenderedPageBreak/>
        <w:t xml:space="preserve">الملحـق </w:t>
      </w:r>
      <w:r w:rsidRPr="00187F7C">
        <w:rPr>
          <w:rStyle w:val="AnnexNotitleChar"/>
        </w:rPr>
        <w:t>1</w:t>
      </w:r>
    </w:p>
    <w:p w:rsidR="003E32C9" w:rsidRDefault="003E32C9" w:rsidP="00694D5B">
      <w:pPr>
        <w:spacing w:before="0"/>
        <w:jc w:val="center"/>
        <w:rPr>
          <w:rtl/>
          <w:lang w:bidi="ar-SY"/>
        </w:rPr>
      </w:pPr>
      <w:r>
        <w:rPr>
          <w:rFonts w:hint="cs"/>
          <w:rtl/>
          <w:lang w:bidi="ar-SY"/>
        </w:rPr>
        <w:t xml:space="preserve">(بالرسالة المعممة </w:t>
      </w:r>
      <w:r>
        <w:rPr>
          <w:lang w:bidi="ar-SY"/>
        </w:rPr>
        <w:t>TSB 228</w:t>
      </w:r>
      <w:r>
        <w:rPr>
          <w:rFonts w:hint="cs"/>
          <w:rtl/>
          <w:lang w:bidi="ar-SY"/>
        </w:rPr>
        <w:t>)</w:t>
      </w:r>
    </w:p>
    <w:p w:rsidR="003E32C9" w:rsidRPr="00D22E78" w:rsidRDefault="003E32C9" w:rsidP="00187F7C">
      <w:pPr>
        <w:pStyle w:val="Annextitle"/>
        <w:rPr>
          <w:rStyle w:val="AnnexNotitleChar"/>
          <w:rtl/>
          <w:lang w:bidi="ar-EG"/>
        </w:rPr>
      </w:pPr>
      <w:r w:rsidRPr="00D22E78">
        <w:rPr>
          <w:rStyle w:val="AnnexNotitleChar"/>
          <w:rFonts w:hint="cs"/>
          <w:rtl/>
        </w:rPr>
        <w:t>ملخص نصوص التوصيات والوثائق التي ترد فيها</w:t>
      </w:r>
    </w:p>
    <w:p w:rsidR="003E32C9" w:rsidRPr="00694D5B" w:rsidRDefault="003E32C9" w:rsidP="00903D1A">
      <w:pPr>
        <w:spacing w:before="360"/>
        <w:rPr>
          <w:b/>
          <w:bCs/>
          <w:rtl/>
          <w:lang w:bidi="ar-SY"/>
        </w:rPr>
      </w:pPr>
      <w:r w:rsidRPr="00694D5B">
        <w:rPr>
          <w:rFonts w:hint="cs"/>
          <w:b/>
          <w:bCs/>
          <w:rtl/>
          <w:lang w:bidi="ar-SY"/>
        </w:rPr>
        <w:t xml:space="preserve">مشروع التوصية الجديدة </w:t>
      </w:r>
      <w:r w:rsidR="00E42A1A">
        <w:rPr>
          <w:b/>
          <w:bCs/>
          <w:lang w:bidi="ar-SY"/>
        </w:rPr>
        <w:t>ITU</w:t>
      </w:r>
      <w:r w:rsidR="00E42A1A">
        <w:rPr>
          <w:b/>
          <w:bCs/>
          <w:lang w:bidi="ar-SY"/>
        </w:rPr>
        <w:noBreakHyphen/>
        <w:t>T X.1037 </w:t>
      </w:r>
      <w:r w:rsidRPr="00694D5B">
        <w:rPr>
          <w:b/>
          <w:bCs/>
          <w:lang w:bidi="ar-SY"/>
        </w:rPr>
        <w:t>(</w:t>
      </w:r>
      <w:proofErr w:type="spellStart"/>
      <w:r w:rsidRPr="00694D5B">
        <w:rPr>
          <w:b/>
          <w:bCs/>
          <w:lang w:bidi="ar-SY"/>
        </w:rPr>
        <w:t>X.rev</w:t>
      </w:r>
      <w:proofErr w:type="spellEnd"/>
      <w:r w:rsidRPr="00694D5B">
        <w:rPr>
          <w:b/>
          <w:bCs/>
          <w:lang w:bidi="ar-SY"/>
        </w:rPr>
        <w:t>)</w:t>
      </w:r>
      <w:r w:rsidRPr="00694D5B">
        <w:rPr>
          <w:rFonts w:hint="cs"/>
          <w:b/>
          <w:bCs/>
          <w:rtl/>
          <w:lang w:bidi="ar-SY"/>
        </w:rPr>
        <w:t>، الأنظمة المعمارية لوسائط التحكم الأمنية الخاصة بمنع الأنشطة الاحتيالية في شبكات نقل الاتصالات العمومية</w:t>
      </w:r>
      <w:r w:rsidR="00903D1A">
        <w:rPr>
          <w:rFonts w:hint="cs"/>
          <w:b/>
          <w:bCs/>
          <w:rtl/>
          <w:lang w:bidi="ar-SY"/>
        </w:rPr>
        <w:tab/>
      </w:r>
      <w:r w:rsidR="00903D1A">
        <w:rPr>
          <w:b/>
          <w:bCs/>
          <w:rtl/>
          <w:lang w:bidi="ar-SY"/>
        </w:rPr>
        <w:br/>
      </w:r>
      <w:r w:rsidRPr="00694D5B">
        <w:rPr>
          <w:rFonts w:hint="cs"/>
          <w:b/>
          <w:bCs/>
          <w:rtl/>
          <w:lang w:bidi="ar-SY"/>
        </w:rPr>
        <w:t xml:space="preserve">الوثيقة </w:t>
      </w:r>
      <w:r w:rsidRPr="00694D5B">
        <w:rPr>
          <w:b/>
          <w:bCs/>
          <w:lang w:bidi="ar-SY"/>
        </w:rPr>
        <w:t>COM</w:t>
      </w:r>
      <w:r w:rsidR="009E0C0D">
        <w:rPr>
          <w:b/>
          <w:bCs/>
          <w:lang w:bidi="ar-SY"/>
        </w:rPr>
        <w:t> </w:t>
      </w:r>
      <w:r w:rsidRPr="00694D5B">
        <w:rPr>
          <w:b/>
          <w:bCs/>
          <w:lang w:bidi="ar-SY"/>
        </w:rPr>
        <w:t>17</w:t>
      </w:r>
      <w:r w:rsidRPr="00694D5B">
        <w:rPr>
          <w:b/>
          <w:bCs/>
          <w:lang w:bidi="ar-SY"/>
        </w:rPr>
        <w:noBreakHyphen/>
        <w:t>R 41</w:t>
      </w:r>
    </w:p>
    <w:p w:rsidR="003E32C9" w:rsidRPr="00694D5B" w:rsidRDefault="00694D5B" w:rsidP="00694D5B">
      <w:pPr>
        <w:keepNext/>
        <w:spacing w:before="180"/>
        <w:rPr>
          <w:b/>
          <w:bCs/>
          <w:rtl/>
          <w:lang w:bidi="ar-SY"/>
        </w:rPr>
      </w:pPr>
      <w:r w:rsidRPr="00694D5B">
        <w:rPr>
          <w:rFonts w:hint="cs"/>
          <w:b/>
          <w:bCs/>
          <w:rtl/>
          <w:lang w:bidi="ar-SY"/>
        </w:rPr>
        <w:t>ملخص</w:t>
      </w:r>
    </w:p>
    <w:p w:rsidR="00694D5B" w:rsidRDefault="00694D5B" w:rsidP="003A6437">
      <w:pPr>
        <w:rPr>
          <w:rtl/>
          <w:lang w:bidi="ar-SY"/>
        </w:rPr>
      </w:pPr>
      <w:r>
        <w:rPr>
          <w:rFonts w:hint="cs"/>
          <w:rtl/>
          <w:lang w:bidi="ar-SY"/>
        </w:rPr>
        <w:t xml:space="preserve">تشرح التوصية </w:t>
      </w:r>
      <w:r>
        <w:rPr>
          <w:lang w:bidi="ar-SY"/>
        </w:rPr>
        <w:t>ITU</w:t>
      </w:r>
      <w:r>
        <w:rPr>
          <w:lang w:bidi="ar-SY"/>
        </w:rPr>
        <w:noBreakHyphen/>
        <w:t>T X.1037</w:t>
      </w:r>
      <w:r>
        <w:rPr>
          <w:rFonts w:hint="cs"/>
          <w:rtl/>
          <w:lang w:bidi="ar-SY"/>
        </w:rPr>
        <w:t xml:space="preserve"> منهجية لتقييم أنظمة وسائل التحكم الأمنية الخاصة بمنع الأنشطة الاحتيالية ومعايير اختيار هذه الأنظمة فيما يتعلق بالخصائص المعمارية لشبكات موردي خدمات الاتصالات عند المستوى الحالي لتطور هذه الشبكات. وتشمل التوصية الطرائق التقنية لمعالجة وسائل التحكم الأمنية وتقدير الخسائر الناجمة عن الأنشطة الاحتيالية، كما</w:t>
      </w:r>
      <w:r w:rsidR="003A6437">
        <w:rPr>
          <w:rFonts w:hint="eastAsia"/>
          <w:rtl/>
          <w:lang w:bidi="ar-SY"/>
        </w:rPr>
        <w:t> </w:t>
      </w:r>
      <w:r>
        <w:rPr>
          <w:rFonts w:hint="cs"/>
          <w:rtl/>
          <w:lang w:bidi="ar-SY"/>
        </w:rPr>
        <w:t>تقدم مبادئ توجيهية بشأن تبادل المعلومات المتعلقة بهذه الأنشطة.</w:t>
      </w:r>
    </w:p>
    <w:p w:rsidR="00694D5B" w:rsidRPr="00913B86" w:rsidRDefault="00694D5B" w:rsidP="003B74A9">
      <w:pPr>
        <w:spacing w:before="240"/>
        <w:rPr>
          <w:b/>
          <w:bCs/>
          <w:rtl/>
          <w:lang w:bidi="ar-EG"/>
        </w:rPr>
      </w:pPr>
      <w:r w:rsidRPr="00913B86">
        <w:rPr>
          <w:rFonts w:hint="cs"/>
          <w:b/>
          <w:bCs/>
          <w:rtl/>
          <w:lang w:bidi="ar-SY"/>
        </w:rPr>
        <w:t xml:space="preserve">مشروع التوصية </w:t>
      </w:r>
      <w:r w:rsidRPr="00913B86">
        <w:rPr>
          <w:b/>
          <w:bCs/>
          <w:lang w:bidi="ar-SY"/>
        </w:rPr>
        <w:t>ITU</w:t>
      </w:r>
      <w:r w:rsidRPr="00913B86">
        <w:rPr>
          <w:b/>
          <w:bCs/>
          <w:lang w:bidi="ar-SY"/>
        </w:rPr>
        <w:noBreakHyphen/>
        <w:t>T X.1500</w:t>
      </w:r>
      <w:r w:rsidR="003A6437">
        <w:rPr>
          <w:b/>
          <w:bCs/>
          <w:lang w:bidi="ar-SY"/>
        </w:rPr>
        <w:t>.</w:t>
      </w:r>
      <w:r w:rsidRPr="00913B86">
        <w:rPr>
          <w:b/>
          <w:bCs/>
          <w:lang w:bidi="ar-SY"/>
        </w:rPr>
        <w:t>1 (X.cybex.1)</w:t>
      </w:r>
      <w:r w:rsidRPr="00913B86">
        <w:rPr>
          <w:rFonts w:hint="cs"/>
          <w:b/>
          <w:bCs/>
          <w:rtl/>
          <w:lang w:bidi="ar-SY"/>
        </w:rPr>
        <w:t>، إجراءات تسجيل الأقواس في إطار قوس معرف هوية الشيء</w:t>
      </w:r>
      <w:r w:rsidR="00D17D7F">
        <w:rPr>
          <w:rFonts w:hint="eastAsia"/>
          <w:b/>
          <w:bCs/>
          <w:rtl/>
          <w:lang w:bidi="ar-SY"/>
        </w:rPr>
        <w:t> </w:t>
      </w:r>
      <w:r w:rsidRPr="00913B86">
        <w:rPr>
          <w:b/>
          <w:bCs/>
          <w:lang w:bidi="ar-SY"/>
        </w:rPr>
        <w:t>(OID)</w:t>
      </w:r>
      <w:r w:rsidRPr="00913B86">
        <w:rPr>
          <w:rFonts w:hint="cs"/>
          <w:b/>
          <w:bCs/>
          <w:rtl/>
          <w:lang w:bidi="ar-SY"/>
        </w:rPr>
        <w:t xml:space="preserve"> من أجل تبادل معلومات الأمن السيبراني</w:t>
      </w:r>
      <w:r w:rsidR="002817A2">
        <w:rPr>
          <w:rFonts w:hint="cs"/>
          <w:b/>
          <w:bCs/>
          <w:rtl/>
          <w:lang w:bidi="ar-SY"/>
        </w:rPr>
        <w:tab/>
      </w:r>
      <w:r w:rsidR="002817A2">
        <w:rPr>
          <w:b/>
          <w:bCs/>
          <w:rtl/>
          <w:lang w:bidi="ar-SY"/>
        </w:rPr>
        <w:br/>
      </w:r>
      <w:r w:rsidRPr="00913B86">
        <w:rPr>
          <w:rFonts w:hint="cs"/>
          <w:b/>
          <w:bCs/>
          <w:rtl/>
          <w:lang w:bidi="ar-SY"/>
        </w:rPr>
        <w:t>الوثيقة</w:t>
      </w:r>
      <w:r w:rsidR="00167F9C" w:rsidRPr="00913B86">
        <w:rPr>
          <w:rFonts w:hint="cs"/>
          <w:b/>
          <w:bCs/>
          <w:rtl/>
          <w:lang w:bidi="ar-SY"/>
        </w:rPr>
        <w:t xml:space="preserve"> </w:t>
      </w:r>
      <w:r w:rsidR="00167F9C" w:rsidRPr="00913B86">
        <w:rPr>
          <w:b/>
          <w:bCs/>
          <w:lang w:bidi="ar-SY"/>
        </w:rPr>
        <w:t>COM</w:t>
      </w:r>
      <w:r w:rsidR="009E0C0D">
        <w:rPr>
          <w:b/>
          <w:bCs/>
          <w:lang w:bidi="ar-SY"/>
        </w:rPr>
        <w:t> </w:t>
      </w:r>
      <w:r w:rsidR="00167F9C" w:rsidRPr="00913B86">
        <w:rPr>
          <w:b/>
          <w:bCs/>
          <w:lang w:bidi="ar-SY"/>
        </w:rPr>
        <w:t>17</w:t>
      </w:r>
      <w:r w:rsidR="00167F9C" w:rsidRPr="00913B86">
        <w:rPr>
          <w:b/>
          <w:bCs/>
          <w:lang w:bidi="ar-SY"/>
        </w:rPr>
        <w:noBreakHyphen/>
        <w:t>R 42</w:t>
      </w:r>
    </w:p>
    <w:p w:rsidR="00167F9C" w:rsidRPr="00913B86" w:rsidRDefault="00167F9C" w:rsidP="00913B86">
      <w:pPr>
        <w:keepNext/>
        <w:spacing w:before="180"/>
        <w:rPr>
          <w:b/>
          <w:bCs/>
          <w:rtl/>
          <w:lang w:bidi="ar-SY"/>
        </w:rPr>
      </w:pPr>
      <w:r w:rsidRPr="00913B86">
        <w:rPr>
          <w:rFonts w:hint="cs"/>
          <w:b/>
          <w:bCs/>
          <w:rtl/>
          <w:lang w:bidi="ar-SY"/>
        </w:rPr>
        <w:t>ملخص</w:t>
      </w:r>
    </w:p>
    <w:p w:rsidR="00167F9C" w:rsidRDefault="00167F9C" w:rsidP="00167F9C">
      <w:pPr>
        <w:rPr>
          <w:rtl/>
          <w:lang w:bidi="ar-SY"/>
        </w:rPr>
      </w:pPr>
      <w:r>
        <w:rPr>
          <w:rFonts w:hint="cs"/>
          <w:rtl/>
          <w:lang w:bidi="ar-SY"/>
        </w:rPr>
        <w:t xml:space="preserve">تتناول هذه التوصية تسجيل أقواس معرفات هوية الأشياء بما يمكن من تعرف متماسك ومتفرد وعالمي لمعلومات الأمن السيبراني والمنظمات التي تقوم بتبادل هذه المعلومات والسياسات المرتبطة بها. وتحدد هذه التوصية المعلومات والمسوغات التي يتعين تقديمها عند طلب معرف هوية </w:t>
      </w:r>
      <w:r>
        <w:rPr>
          <w:lang w:bidi="ar-SY"/>
        </w:rPr>
        <w:t>OID</w:t>
      </w:r>
      <w:r>
        <w:rPr>
          <w:rFonts w:hint="cs"/>
          <w:rtl/>
          <w:lang w:bidi="ar-SY"/>
        </w:rPr>
        <w:t xml:space="preserve"> لأغراض تبادل معلومات الأمن السيبراني وإجراءات تشغيل سلطة التسجيل.</w:t>
      </w:r>
    </w:p>
    <w:p w:rsidR="00167F9C" w:rsidRPr="00913B86" w:rsidRDefault="00167F9C" w:rsidP="00E42A1A">
      <w:pPr>
        <w:spacing w:before="240"/>
        <w:rPr>
          <w:b/>
          <w:bCs/>
          <w:rtl/>
          <w:lang w:bidi="ar-SY"/>
        </w:rPr>
      </w:pPr>
      <w:r w:rsidRPr="00913B86">
        <w:rPr>
          <w:rFonts w:hint="cs"/>
          <w:b/>
          <w:bCs/>
          <w:rtl/>
          <w:lang w:bidi="ar-SY"/>
        </w:rPr>
        <w:t xml:space="preserve">مشروع التوصية </w:t>
      </w:r>
      <w:r w:rsidR="00E42A1A">
        <w:rPr>
          <w:b/>
          <w:bCs/>
          <w:lang w:bidi="ar-SY"/>
        </w:rPr>
        <w:t>ITU</w:t>
      </w:r>
      <w:r w:rsidR="00E42A1A">
        <w:rPr>
          <w:b/>
          <w:bCs/>
          <w:lang w:bidi="ar-SY"/>
        </w:rPr>
        <w:noBreakHyphen/>
        <w:t>T X.1524 </w:t>
      </w:r>
      <w:r w:rsidRPr="00913B86">
        <w:rPr>
          <w:b/>
          <w:bCs/>
          <w:lang w:bidi="ar-SY"/>
        </w:rPr>
        <w:t>(</w:t>
      </w:r>
      <w:proofErr w:type="spellStart"/>
      <w:r w:rsidRPr="00913B86">
        <w:rPr>
          <w:b/>
          <w:bCs/>
          <w:lang w:bidi="ar-SY"/>
        </w:rPr>
        <w:t>x.</w:t>
      </w:r>
      <w:r w:rsidR="00E20EF3" w:rsidRPr="00913B86">
        <w:rPr>
          <w:b/>
          <w:bCs/>
          <w:lang w:bidi="ar-SY"/>
        </w:rPr>
        <w:t>cwe</w:t>
      </w:r>
      <w:proofErr w:type="spellEnd"/>
      <w:r w:rsidRPr="00913B86">
        <w:rPr>
          <w:b/>
          <w:bCs/>
          <w:lang w:bidi="ar-SY"/>
        </w:rPr>
        <w:t>)</w:t>
      </w:r>
      <w:r w:rsidRPr="00913B86">
        <w:rPr>
          <w:rFonts w:hint="cs"/>
          <w:b/>
          <w:bCs/>
          <w:rtl/>
          <w:lang w:bidi="ar-SY"/>
        </w:rPr>
        <w:t xml:space="preserve">، تعديد مواطن الضعف الشائعة </w:t>
      </w:r>
      <w:r w:rsidRPr="00913B86">
        <w:rPr>
          <w:b/>
          <w:bCs/>
          <w:lang w:bidi="ar-SY"/>
        </w:rPr>
        <w:t>(CWE)</w:t>
      </w:r>
      <w:r w:rsidR="002817A2">
        <w:rPr>
          <w:rFonts w:hint="cs"/>
          <w:b/>
          <w:bCs/>
          <w:rtl/>
          <w:lang w:bidi="ar-SY"/>
        </w:rPr>
        <w:tab/>
      </w:r>
      <w:r w:rsidR="002817A2">
        <w:rPr>
          <w:b/>
          <w:bCs/>
          <w:rtl/>
          <w:lang w:bidi="ar-SY"/>
        </w:rPr>
        <w:br/>
      </w:r>
      <w:r w:rsidRPr="00913B86">
        <w:rPr>
          <w:rFonts w:hint="cs"/>
          <w:b/>
          <w:bCs/>
          <w:rtl/>
          <w:lang w:bidi="ar-SY"/>
        </w:rPr>
        <w:t xml:space="preserve">الوثيقة </w:t>
      </w:r>
      <w:r w:rsidRPr="00913B86">
        <w:rPr>
          <w:b/>
          <w:bCs/>
          <w:lang w:bidi="ar-SY"/>
        </w:rPr>
        <w:t>COM</w:t>
      </w:r>
      <w:r w:rsidR="009E0C0D">
        <w:rPr>
          <w:b/>
          <w:bCs/>
          <w:lang w:bidi="ar-SY"/>
        </w:rPr>
        <w:t> </w:t>
      </w:r>
      <w:r w:rsidRPr="00913B86">
        <w:rPr>
          <w:b/>
          <w:bCs/>
          <w:lang w:bidi="ar-SY"/>
        </w:rPr>
        <w:t>17</w:t>
      </w:r>
      <w:r w:rsidRPr="00913B86">
        <w:rPr>
          <w:b/>
          <w:bCs/>
          <w:lang w:bidi="ar-SY"/>
        </w:rPr>
        <w:noBreakHyphen/>
        <w:t>R 43</w:t>
      </w:r>
    </w:p>
    <w:p w:rsidR="00167F9C" w:rsidRPr="00913B86" w:rsidRDefault="00167F9C" w:rsidP="00913B86">
      <w:pPr>
        <w:keepNext/>
        <w:spacing w:before="180"/>
        <w:rPr>
          <w:b/>
          <w:bCs/>
          <w:rtl/>
          <w:lang w:bidi="ar-SY"/>
        </w:rPr>
      </w:pPr>
      <w:r w:rsidRPr="00913B86">
        <w:rPr>
          <w:rFonts w:hint="cs"/>
          <w:b/>
          <w:bCs/>
          <w:rtl/>
          <w:lang w:bidi="ar-SY"/>
        </w:rPr>
        <w:t>الملخص</w:t>
      </w:r>
    </w:p>
    <w:p w:rsidR="00167F9C" w:rsidRPr="00060130" w:rsidRDefault="00167F9C" w:rsidP="00060130">
      <w:pPr>
        <w:rPr>
          <w:spacing w:val="-2"/>
          <w:rtl/>
          <w:lang w:bidi="ar-SY"/>
        </w:rPr>
      </w:pPr>
      <w:r w:rsidRPr="00060130">
        <w:rPr>
          <w:rFonts w:hint="cs"/>
          <w:spacing w:val="-2"/>
          <w:rtl/>
          <w:lang w:bidi="ar-SY"/>
        </w:rPr>
        <w:t xml:space="preserve">تقدم هذه التوصية الخاصة </w:t>
      </w:r>
      <w:r w:rsidR="007439D5" w:rsidRPr="00060130">
        <w:rPr>
          <w:rFonts w:hint="cs"/>
          <w:spacing w:val="-2"/>
          <w:rtl/>
          <w:lang w:bidi="ar-SY"/>
        </w:rPr>
        <w:t xml:space="preserve">باستعمال عملية </w:t>
      </w:r>
      <w:r w:rsidRPr="00060130">
        <w:rPr>
          <w:rFonts w:hint="cs"/>
          <w:spacing w:val="-2"/>
          <w:rtl/>
          <w:lang w:bidi="ar-SY"/>
        </w:rPr>
        <w:t xml:space="preserve">تعديد مواطن الضعف الشائعة </w:t>
      </w:r>
      <w:r w:rsidRPr="00060130">
        <w:rPr>
          <w:spacing w:val="-2"/>
          <w:lang w:bidi="ar-SY"/>
        </w:rPr>
        <w:t>(CWE)</w:t>
      </w:r>
      <w:r w:rsidRPr="00060130">
        <w:rPr>
          <w:rFonts w:hint="cs"/>
          <w:spacing w:val="-2"/>
          <w:rtl/>
          <w:lang w:bidi="ar-SY"/>
        </w:rPr>
        <w:t xml:space="preserve"> وسيلة بناءة لتبادل مواطن الضعف في أمن المعلومات بحيث تقدم أسماء مشتركة للمشكلات </w:t>
      </w:r>
      <w:r w:rsidR="000072B0" w:rsidRPr="00060130">
        <w:rPr>
          <w:rFonts w:hint="cs"/>
          <w:spacing w:val="-2"/>
          <w:rtl/>
          <w:lang w:bidi="ar-SY"/>
        </w:rPr>
        <w:t xml:space="preserve">المعروفة جيداً للعامة في برمجيات تجارية أو مفتوحة المصدر تستعمل في شبكات الاتصالات أو في أجهزة المستعملين النهائيين أو في أي أنماط أخرى من تكنولوجيا المعلومات والاتصالات القادرة على تشغيل برمجيات. والهدف من تعديد مواطن الضعف الشائعة هو إتاحة مزيد من الفعالية في مناقشة ووصف واختيار واستعمال أدوات وخدمات أمن البرمجيات التي يمكنها اكتشاف مواطن الضعف هذه في شفرة المصدر وأنظمة التشغيل فضلاً عن تحسين فهم وإدارة مواطن ضعف البرمجيات المتعلقة بالمعمارية والتصميم. وتعرف هذه التوصية استعمال عملية تعديد مواطن الضعف المشتركة هذه بحيث توفر آلية من أجل أدوات وخدمات وقواعد معارف أمن البرمجيات وقدرات أخرى يتعين استعمالها معاً ولتسهيل المقارنة فيما بين أدوات وخدمات الأمن. وتوفر عملية </w:t>
      </w:r>
      <w:r w:rsidR="000072B0" w:rsidRPr="00060130">
        <w:rPr>
          <w:spacing w:val="-2"/>
          <w:lang w:bidi="ar-SY"/>
        </w:rPr>
        <w:t>CWE</w:t>
      </w:r>
      <w:r w:rsidR="000072B0" w:rsidRPr="00060130">
        <w:rPr>
          <w:rFonts w:hint="cs"/>
          <w:spacing w:val="-2"/>
          <w:rtl/>
          <w:lang w:bidi="ar-SY"/>
        </w:rPr>
        <w:t xml:space="preserve"> كذلك معلومات داعمة في السياق عن المخاطر والآثار المحتملة ومعلومات الإعداد ومعلومات تقنية مفصلة عن ما الذي تعنيه مواطن ضعف البرمجيات بالنسبة لنظام برمجيات. ومستودع معرفات الهوية </w:t>
      </w:r>
      <w:r w:rsidR="000072B0" w:rsidRPr="00060130">
        <w:rPr>
          <w:spacing w:val="-2"/>
          <w:lang w:bidi="ar-SY"/>
        </w:rPr>
        <w:t>CWE</w:t>
      </w:r>
      <w:r w:rsidR="000072B0" w:rsidRPr="00060130">
        <w:rPr>
          <w:rFonts w:hint="cs"/>
          <w:spacing w:val="-2"/>
          <w:rtl/>
          <w:lang w:bidi="ar-SY"/>
        </w:rPr>
        <w:t xml:space="preserve"> ومعلومات السياق المرتبطة بها متاحة على </w:t>
      </w:r>
      <w:r w:rsidR="00913B86" w:rsidRPr="00060130">
        <w:rPr>
          <w:spacing w:val="-2"/>
          <w:lang w:bidi="ar-SY"/>
        </w:rPr>
        <w:t>[cwe.mitre.org/data]</w:t>
      </w:r>
      <w:r w:rsidR="00913B86" w:rsidRPr="00060130">
        <w:rPr>
          <w:rFonts w:hint="cs"/>
          <w:spacing w:val="-2"/>
          <w:rtl/>
          <w:lang w:bidi="ar-SY"/>
        </w:rPr>
        <w:t xml:space="preserve"> في نسق</w:t>
      </w:r>
      <w:r w:rsidR="00060130" w:rsidRPr="00060130">
        <w:rPr>
          <w:rFonts w:hint="eastAsia"/>
          <w:spacing w:val="-2"/>
          <w:rtl/>
          <w:lang w:bidi="ar-SY"/>
        </w:rPr>
        <w:t> </w:t>
      </w:r>
      <w:r w:rsidR="00913B86" w:rsidRPr="00060130">
        <w:rPr>
          <w:spacing w:val="-2"/>
          <w:lang w:bidi="ar-SY"/>
        </w:rPr>
        <w:t>XML</w:t>
      </w:r>
      <w:r w:rsidR="00913B86" w:rsidRPr="00060130">
        <w:rPr>
          <w:rFonts w:hint="cs"/>
          <w:spacing w:val="-2"/>
          <w:rtl/>
          <w:lang w:bidi="ar-SY"/>
        </w:rPr>
        <w:t xml:space="preserve"> أو </w:t>
      </w:r>
      <w:proofErr w:type="spellStart"/>
      <w:r w:rsidR="00913B86" w:rsidRPr="00060130">
        <w:rPr>
          <w:spacing w:val="-2"/>
          <w:lang w:bidi="ar-SY"/>
        </w:rPr>
        <w:t>pdf</w:t>
      </w:r>
      <w:proofErr w:type="spellEnd"/>
      <w:r w:rsidR="00913B86" w:rsidRPr="00060130">
        <w:rPr>
          <w:rFonts w:hint="cs"/>
          <w:spacing w:val="-2"/>
          <w:rtl/>
          <w:lang w:bidi="ar-SY"/>
        </w:rPr>
        <w:t xml:space="preserve">. وتوجد أيضاً نسخة من نفس المحتوى يمكن النفاذ إليها عبر الويب على </w:t>
      </w:r>
      <w:r w:rsidR="00913B86" w:rsidRPr="00060130">
        <w:rPr>
          <w:spacing w:val="-2"/>
          <w:lang w:bidi="ar-SY"/>
        </w:rPr>
        <w:t>[http://cwe.mitre.org/data/slices/2000.html]</w:t>
      </w:r>
      <w:r w:rsidR="00913B86" w:rsidRPr="00060130">
        <w:rPr>
          <w:rFonts w:hint="cs"/>
          <w:spacing w:val="-2"/>
          <w:rtl/>
          <w:lang w:bidi="ar-SY"/>
        </w:rPr>
        <w:t>.</w:t>
      </w:r>
    </w:p>
    <w:p w:rsidR="00913B86" w:rsidRDefault="00913B86" w:rsidP="00A11C41">
      <w:pPr>
        <w:keepNext/>
        <w:keepLines/>
        <w:rPr>
          <w:rtl/>
          <w:lang w:bidi="ar-SY"/>
        </w:rPr>
      </w:pPr>
      <w:r>
        <w:rPr>
          <w:rFonts w:hint="cs"/>
          <w:rtl/>
          <w:lang w:bidi="ar-SY"/>
        </w:rPr>
        <w:lastRenderedPageBreak/>
        <w:t>والمزمع من عملية</w:t>
      </w:r>
      <w:r w:rsidR="00A11C41">
        <w:rPr>
          <w:rFonts w:hint="eastAsia"/>
          <w:rtl/>
          <w:lang w:bidi="ar-SY"/>
        </w:rPr>
        <w:t> </w:t>
      </w:r>
      <w:r>
        <w:rPr>
          <w:lang w:bidi="ar-SY"/>
        </w:rPr>
        <w:t>CWE</w:t>
      </w:r>
      <w:r>
        <w:rPr>
          <w:rFonts w:hint="cs"/>
          <w:rtl/>
          <w:lang w:bidi="ar-SY"/>
        </w:rPr>
        <w:t xml:space="preserve"> الوارد تعريف استعمالها في هذه التوصية هو أن تكون شاملة بالنسبة لمعمارية البرمجيات وتصميمها وتشفيرها وأخطاء الاستعمال التي تكون في العادة الأسباب الأساسية لمواطن الضعف والتعرض. ففي حين أن عملية</w:t>
      </w:r>
      <w:r w:rsidR="009B6186">
        <w:rPr>
          <w:rFonts w:hint="eastAsia"/>
          <w:rtl/>
          <w:lang w:bidi="ar-SY"/>
        </w:rPr>
        <w:t> </w:t>
      </w:r>
      <w:r>
        <w:rPr>
          <w:lang w:bidi="ar-SY"/>
        </w:rPr>
        <w:t>CWE</w:t>
      </w:r>
      <w:r>
        <w:rPr>
          <w:rFonts w:hint="cs"/>
          <w:rtl/>
          <w:lang w:bidi="ar-SY"/>
        </w:rPr>
        <w:t xml:space="preserve"> مصممة بحيث تتضمن معلومات مكتملة، ينصب التركيز الأساسي على التعريف والتثقيف والوصف لهذه المسببات الأساسية لمواطن الضعف والتعرض بحيث يمكن تفاديها من جانب مطوري البرمجيات وإجراء الاختبارات بشأن وجودها من عدمه وإدارتها من جانب أفرقة التطوير فضلاً عن الإبلاغ عنها بصورة متسقة من جانب أدوات وخدمات الأمن.</w:t>
      </w:r>
    </w:p>
    <w:p w:rsidR="00045E84" w:rsidRPr="003B79CA" w:rsidRDefault="00045E84" w:rsidP="00E42A1A">
      <w:pPr>
        <w:spacing w:before="240"/>
        <w:rPr>
          <w:b/>
          <w:bCs/>
          <w:rtl/>
          <w:lang w:bidi="ar-SY"/>
        </w:rPr>
      </w:pPr>
      <w:r w:rsidRPr="003B79CA">
        <w:rPr>
          <w:rFonts w:hint="cs"/>
          <w:b/>
          <w:bCs/>
          <w:rtl/>
          <w:lang w:bidi="ar-SY"/>
        </w:rPr>
        <w:t xml:space="preserve">مشروع التوصية </w:t>
      </w:r>
      <w:r w:rsidR="00E42A1A">
        <w:rPr>
          <w:b/>
          <w:bCs/>
          <w:lang w:bidi="ar-SY"/>
        </w:rPr>
        <w:t>ITU</w:t>
      </w:r>
      <w:r w:rsidR="00E42A1A">
        <w:rPr>
          <w:b/>
          <w:bCs/>
          <w:lang w:bidi="ar-SY"/>
        </w:rPr>
        <w:noBreakHyphen/>
        <w:t>T X.1542 </w:t>
      </w:r>
      <w:r w:rsidRPr="003B79CA">
        <w:rPr>
          <w:b/>
          <w:bCs/>
          <w:lang w:bidi="ar-SY"/>
        </w:rPr>
        <w:t>(</w:t>
      </w:r>
      <w:proofErr w:type="spellStart"/>
      <w:r w:rsidRPr="003B79CA">
        <w:rPr>
          <w:b/>
          <w:bCs/>
          <w:lang w:bidi="ar-SY"/>
        </w:rPr>
        <w:t>X.iodef</w:t>
      </w:r>
      <w:proofErr w:type="spellEnd"/>
      <w:r w:rsidRPr="003B79CA">
        <w:rPr>
          <w:b/>
          <w:bCs/>
          <w:lang w:bidi="ar-SY"/>
        </w:rPr>
        <w:t>)</w:t>
      </w:r>
      <w:r w:rsidRPr="003B79CA">
        <w:rPr>
          <w:rFonts w:hint="cs"/>
          <w:b/>
          <w:bCs/>
          <w:rtl/>
          <w:lang w:bidi="ar-SY"/>
        </w:rPr>
        <w:t xml:space="preserve">، نسق تبادل وصف الشيء المتعلق بالحادث </w:t>
      </w:r>
      <w:r w:rsidRPr="003B79CA">
        <w:rPr>
          <w:b/>
          <w:bCs/>
          <w:lang w:bidi="ar-SY"/>
        </w:rPr>
        <w:t>(IODEF)</w:t>
      </w:r>
      <w:r w:rsidR="002817A2">
        <w:rPr>
          <w:rFonts w:hint="cs"/>
          <w:b/>
          <w:bCs/>
          <w:rtl/>
          <w:lang w:bidi="ar-SY"/>
        </w:rPr>
        <w:tab/>
      </w:r>
      <w:r w:rsidR="002817A2">
        <w:rPr>
          <w:b/>
          <w:bCs/>
          <w:rtl/>
          <w:lang w:bidi="ar-SY"/>
        </w:rPr>
        <w:br/>
      </w:r>
      <w:r w:rsidRPr="003B79CA">
        <w:rPr>
          <w:rFonts w:hint="cs"/>
          <w:b/>
          <w:bCs/>
          <w:rtl/>
          <w:lang w:bidi="ar-SY"/>
        </w:rPr>
        <w:t xml:space="preserve">الوثيقة </w:t>
      </w:r>
      <w:r w:rsidRPr="003B79CA">
        <w:rPr>
          <w:b/>
          <w:bCs/>
          <w:lang w:bidi="ar-SY"/>
        </w:rPr>
        <w:t>COM 17</w:t>
      </w:r>
      <w:r w:rsidRPr="003B79CA">
        <w:rPr>
          <w:b/>
          <w:bCs/>
          <w:lang w:bidi="ar-SY"/>
        </w:rPr>
        <w:noBreakHyphen/>
        <w:t>RR 44</w:t>
      </w:r>
    </w:p>
    <w:p w:rsidR="003B79CA" w:rsidRPr="00F10469" w:rsidRDefault="003B79CA" w:rsidP="00F10469">
      <w:pPr>
        <w:keepNext/>
        <w:spacing w:before="180"/>
        <w:rPr>
          <w:b/>
          <w:bCs/>
          <w:rtl/>
          <w:lang w:bidi="ar-SY"/>
        </w:rPr>
      </w:pPr>
      <w:r w:rsidRPr="00F10469">
        <w:rPr>
          <w:rFonts w:hint="cs"/>
          <w:b/>
          <w:bCs/>
          <w:rtl/>
          <w:lang w:bidi="ar-SY"/>
        </w:rPr>
        <w:t>ملخص</w:t>
      </w:r>
    </w:p>
    <w:p w:rsidR="003B79CA" w:rsidRDefault="003B79CA" w:rsidP="009173CC">
      <w:pPr>
        <w:rPr>
          <w:rtl/>
          <w:lang w:bidi="ar-SY"/>
        </w:rPr>
      </w:pPr>
      <w:r>
        <w:rPr>
          <w:rFonts w:hint="cs"/>
          <w:rtl/>
          <w:lang w:bidi="ar-SY"/>
        </w:rPr>
        <w:t xml:space="preserve">يحدد النسق </w:t>
      </w:r>
      <w:r>
        <w:rPr>
          <w:lang w:bidi="ar-SY"/>
        </w:rPr>
        <w:t>IODEF</w:t>
      </w:r>
      <w:r>
        <w:rPr>
          <w:rFonts w:hint="cs"/>
          <w:rtl/>
          <w:lang w:bidi="ar-SY"/>
        </w:rPr>
        <w:t xml:space="preserve"> تمثيلاً للبيانات يوفر إطاراً لتبادل المعلومات التي يشيع تبادلها </w:t>
      </w:r>
      <w:r w:rsidR="00F10469">
        <w:rPr>
          <w:rFonts w:hint="cs"/>
          <w:rtl/>
          <w:lang w:bidi="ar-SY"/>
        </w:rPr>
        <w:t>بين أفرقة الاستجابة لحوادث أمن الحاسوب</w:t>
      </w:r>
      <w:r w:rsidR="0020217A">
        <w:rPr>
          <w:rFonts w:hint="eastAsia"/>
          <w:rtl/>
          <w:lang w:bidi="ar-SY"/>
        </w:rPr>
        <w:t> </w:t>
      </w:r>
      <w:r w:rsidR="00F10469">
        <w:rPr>
          <w:lang w:bidi="ar-SY"/>
        </w:rPr>
        <w:t>(CSIRT)</w:t>
      </w:r>
      <w:r w:rsidR="00F10469">
        <w:rPr>
          <w:rFonts w:hint="cs"/>
          <w:rtl/>
          <w:lang w:bidi="ar-SY"/>
        </w:rPr>
        <w:t xml:space="preserve"> عن حوادث أمن الحاسوب. وتصف هذه التوصية نموذج المعلومات الخاص بالنسق</w:t>
      </w:r>
      <w:r w:rsidR="009173CC">
        <w:rPr>
          <w:rFonts w:hint="eastAsia"/>
          <w:rtl/>
          <w:lang w:bidi="ar-SY"/>
        </w:rPr>
        <w:t> </w:t>
      </w:r>
      <w:r w:rsidR="00F10469">
        <w:rPr>
          <w:lang w:bidi="ar-SY"/>
        </w:rPr>
        <w:t>IODEF</w:t>
      </w:r>
      <w:r w:rsidR="00F10469">
        <w:rPr>
          <w:rFonts w:hint="cs"/>
          <w:rtl/>
          <w:lang w:bidi="ar-SY"/>
        </w:rPr>
        <w:t xml:space="preserve"> وتقدم نموذجاً للبيانات المصاحبة موصف بالمخططات </w:t>
      </w:r>
      <w:r w:rsidR="00F10469">
        <w:rPr>
          <w:lang w:bidi="ar-SY"/>
        </w:rPr>
        <w:t>XML</w:t>
      </w:r>
      <w:r w:rsidR="00F10469">
        <w:rPr>
          <w:rFonts w:hint="cs"/>
          <w:rtl/>
          <w:lang w:bidi="ar-SY"/>
        </w:rPr>
        <w:t>.</w:t>
      </w:r>
    </w:p>
    <w:p w:rsidR="00DE3167" w:rsidRPr="00EE2C4A" w:rsidRDefault="00DE3167" w:rsidP="00DE3167">
      <w:pPr>
        <w:spacing w:before="600"/>
        <w:jc w:val="center"/>
        <w:rPr>
          <w:rtl/>
          <w:lang w:bidi="ar-SY"/>
        </w:rPr>
      </w:pPr>
      <w:r>
        <w:rPr>
          <w:rFonts w:hint="cs"/>
          <w:rtl/>
          <w:lang w:bidi="ar-SY"/>
        </w:rPr>
        <w:t>___________</w:t>
      </w:r>
    </w:p>
    <w:sectPr w:rsidR="00DE3167" w:rsidRPr="00EE2C4A" w:rsidSect="002817A2">
      <w:headerReference w:type="default" r:id="rId12"/>
      <w:footerReference w:type="default" r:id="rId13"/>
      <w:footerReference w:type="first" r:id="rId14"/>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84" w:rsidRDefault="00045E84">
      <w:r>
        <w:separator/>
      </w:r>
    </w:p>
  </w:endnote>
  <w:endnote w:type="continuationSeparator" w:id="0">
    <w:p w:rsidR="00045E84" w:rsidRDefault="000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84" w:rsidRPr="00FC6AC5" w:rsidRDefault="00FC6AC5" w:rsidP="00FC6AC5">
    <w:pPr>
      <w:pStyle w:val="Footer"/>
      <w:bidi w:val="0"/>
      <w:rPr>
        <w:sz w:val="16"/>
        <w:lang w:val="fr-CH"/>
      </w:rPr>
    </w:pPr>
    <w:r>
      <w:rPr>
        <w:sz w:val="16"/>
        <w:lang w:val="fr-CH"/>
      </w:rPr>
      <w:t>ITU-T\BUREAU\CIRC\228</w:t>
    </w:r>
    <w:r>
      <w:rPr>
        <w:sz w:val="16"/>
        <w:lang w:val="fr-CH"/>
      </w:rPr>
      <w:t>A</w:t>
    </w:r>
    <w:r>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045E84" w:rsidTr="00694D5B">
      <w:trPr>
        <w:cantSplit/>
      </w:trPr>
      <w:tc>
        <w:tcPr>
          <w:tcW w:w="1062" w:type="pct"/>
          <w:tcBorders>
            <w:top w:val="single" w:sz="6" w:space="0" w:color="auto"/>
          </w:tcBorders>
          <w:tcMar>
            <w:top w:w="57" w:type="dxa"/>
          </w:tcMar>
        </w:tcPr>
        <w:p w:rsidR="00045E84" w:rsidRDefault="00045E84" w:rsidP="00694D5B">
          <w:pPr>
            <w:pStyle w:val="itu"/>
          </w:pPr>
          <w:r>
            <w:t>Place des Nations</w:t>
          </w:r>
        </w:p>
      </w:tc>
      <w:tc>
        <w:tcPr>
          <w:tcW w:w="1583" w:type="pct"/>
          <w:tcBorders>
            <w:top w:val="single" w:sz="6" w:space="0" w:color="auto"/>
          </w:tcBorders>
          <w:tcMar>
            <w:top w:w="57" w:type="dxa"/>
          </w:tcMar>
        </w:tcPr>
        <w:p w:rsidR="00045E84" w:rsidRDefault="00045E84" w:rsidP="00694D5B">
          <w:pPr>
            <w:pStyle w:val="itu"/>
          </w:pPr>
          <w:r>
            <w:t>Telephone</w:t>
          </w:r>
          <w:r>
            <w:tab/>
            <w:t>+41 22 730 51 11</w:t>
          </w:r>
        </w:p>
      </w:tc>
      <w:tc>
        <w:tcPr>
          <w:tcW w:w="1224" w:type="pct"/>
          <w:tcBorders>
            <w:top w:val="single" w:sz="6" w:space="0" w:color="auto"/>
          </w:tcBorders>
          <w:tcMar>
            <w:top w:w="57" w:type="dxa"/>
          </w:tcMar>
        </w:tcPr>
        <w:p w:rsidR="00045E84" w:rsidRDefault="00045E84" w:rsidP="00694D5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45E84" w:rsidRDefault="00045E84" w:rsidP="00694D5B">
          <w:pPr>
            <w:pStyle w:val="itu"/>
          </w:pPr>
          <w:r>
            <w:t>E-mail:</w:t>
          </w:r>
          <w:r>
            <w:tab/>
            <w:t>itumail@itu.int</w:t>
          </w:r>
        </w:p>
      </w:tc>
    </w:tr>
    <w:tr w:rsidR="00045E84" w:rsidTr="00694D5B">
      <w:trPr>
        <w:cantSplit/>
      </w:trPr>
      <w:tc>
        <w:tcPr>
          <w:tcW w:w="1062" w:type="pct"/>
        </w:tcPr>
        <w:p w:rsidR="00045E84" w:rsidRPr="008F5E3A" w:rsidRDefault="00045E84" w:rsidP="00694D5B">
          <w:pPr>
            <w:pStyle w:val="itu"/>
          </w:pPr>
          <w:r w:rsidRPr="008F5E3A">
            <w:t>CH-1211 Geneva 20</w:t>
          </w:r>
        </w:p>
      </w:tc>
      <w:tc>
        <w:tcPr>
          <w:tcW w:w="1583" w:type="pct"/>
        </w:tcPr>
        <w:p w:rsidR="00045E84" w:rsidRPr="008F5E3A" w:rsidRDefault="00045E84" w:rsidP="00694D5B">
          <w:pPr>
            <w:pStyle w:val="itu"/>
          </w:pPr>
          <w:r w:rsidRPr="008F5E3A">
            <w:t>Telefax</w:t>
          </w:r>
          <w:r w:rsidRPr="008F5E3A">
            <w:tab/>
            <w:t>Gr3:</w:t>
          </w:r>
          <w:r w:rsidRPr="008F5E3A">
            <w:tab/>
            <w:t>+41 22 733 72 56</w:t>
          </w:r>
        </w:p>
      </w:tc>
      <w:tc>
        <w:tcPr>
          <w:tcW w:w="1224" w:type="pct"/>
        </w:tcPr>
        <w:p w:rsidR="00045E84" w:rsidRPr="008F5E3A" w:rsidRDefault="00045E84" w:rsidP="00694D5B">
          <w:pPr>
            <w:pStyle w:val="itu"/>
          </w:pPr>
          <w:r w:rsidRPr="008F5E3A">
            <w:t>Telegram ITU GENEVE</w:t>
          </w:r>
        </w:p>
      </w:tc>
      <w:tc>
        <w:tcPr>
          <w:tcW w:w="1131" w:type="pct"/>
        </w:tcPr>
        <w:p w:rsidR="00045E84" w:rsidRPr="00724ED5" w:rsidRDefault="00045E84" w:rsidP="00694D5B">
          <w:pPr>
            <w:pStyle w:val="itu"/>
            <w:rPr>
              <w:lang w:val="en-US"/>
            </w:rPr>
          </w:pPr>
          <w:r w:rsidRPr="008F5E3A">
            <w:tab/>
          </w:r>
          <w:hyperlink r:id="rId1" w:history="1">
            <w:r w:rsidRPr="0034525D">
              <w:rPr>
                <w:rStyle w:val="Hyperlink"/>
              </w:rPr>
              <w:t>www.itu.int</w:t>
            </w:r>
          </w:hyperlink>
        </w:p>
      </w:tc>
    </w:tr>
    <w:tr w:rsidR="00045E84" w:rsidTr="00694D5B">
      <w:trPr>
        <w:cantSplit/>
      </w:trPr>
      <w:tc>
        <w:tcPr>
          <w:tcW w:w="1062" w:type="pct"/>
        </w:tcPr>
        <w:p w:rsidR="00045E84" w:rsidRDefault="00045E84" w:rsidP="00694D5B">
          <w:pPr>
            <w:pStyle w:val="itu"/>
          </w:pPr>
          <w:r>
            <w:t>S</w:t>
          </w:r>
          <w:r w:rsidR="00C5211D">
            <w:t>witzerland</w:t>
          </w:r>
        </w:p>
      </w:tc>
      <w:tc>
        <w:tcPr>
          <w:tcW w:w="1583" w:type="pct"/>
        </w:tcPr>
        <w:p w:rsidR="00045E84" w:rsidRDefault="00045E84" w:rsidP="00694D5B">
          <w:pPr>
            <w:pStyle w:val="itu"/>
          </w:pPr>
          <w:r>
            <w:tab/>
            <w:t>Gr4:</w:t>
          </w:r>
          <w:r>
            <w:tab/>
            <w:t>+41 22 730 65 00</w:t>
          </w:r>
        </w:p>
      </w:tc>
      <w:tc>
        <w:tcPr>
          <w:tcW w:w="1224" w:type="pct"/>
        </w:tcPr>
        <w:p w:rsidR="00045E84" w:rsidRDefault="00045E84" w:rsidP="00694D5B">
          <w:pPr>
            <w:pStyle w:val="itu"/>
          </w:pPr>
        </w:p>
      </w:tc>
      <w:tc>
        <w:tcPr>
          <w:tcW w:w="1131" w:type="pct"/>
        </w:tcPr>
        <w:p w:rsidR="00045E84" w:rsidRDefault="00045E84" w:rsidP="00694D5B">
          <w:pPr>
            <w:pStyle w:val="itu"/>
          </w:pPr>
        </w:p>
      </w:tc>
    </w:tr>
  </w:tbl>
  <w:p w:rsidR="00045E84" w:rsidRPr="00AE03C4" w:rsidRDefault="00045E84" w:rsidP="001631E7">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84" w:rsidRDefault="00045E84">
      <w:r>
        <w:separator/>
      </w:r>
    </w:p>
  </w:footnote>
  <w:footnote w:type="continuationSeparator" w:id="0">
    <w:p w:rsidR="00045E84" w:rsidRDefault="0004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84" w:rsidRDefault="00045E84"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C6AC5">
      <w:rPr>
        <w:rFonts w:cs="Times New Roman"/>
        <w:noProof/>
        <w:szCs w:val="22"/>
      </w:rPr>
      <w:t>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A419E4"/>
    <w:lvl w:ilvl="0">
      <w:start w:val="1"/>
      <w:numFmt w:val="decimal"/>
      <w:lvlText w:val="%1."/>
      <w:lvlJc w:val="left"/>
      <w:pPr>
        <w:tabs>
          <w:tab w:val="num" w:pos="1492"/>
        </w:tabs>
        <w:ind w:left="1492" w:hanging="360"/>
      </w:pPr>
    </w:lvl>
  </w:abstractNum>
  <w:abstractNum w:abstractNumId="1">
    <w:nsid w:val="FFFFFF7D"/>
    <w:multiLevelType w:val="singleLevel"/>
    <w:tmpl w:val="42E4B4D4"/>
    <w:lvl w:ilvl="0">
      <w:start w:val="1"/>
      <w:numFmt w:val="decimal"/>
      <w:lvlText w:val="%1."/>
      <w:lvlJc w:val="left"/>
      <w:pPr>
        <w:tabs>
          <w:tab w:val="num" w:pos="1209"/>
        </w:tabs>
        <w:ind w:left="1209" w:hanging="360"/>
      </w:pPr>
    </w:lvl>
  </w:abstractNum>
  <w:abstractNum w:abstractNumId="2">
    <w:nsid w:val="FFFFFF7E"/>
    <w:multiLevelType w:val="singleLevel"/>
    <w:tmpl w:val="DE04ECE8"/>
    <w:lvl w:ilvl="0">
      <w:start w:val="1"/>
      <w:numFmt w:val="decimal"/>
      <w:lvlText w:val="%1."/>
      <w:lvlJc w:val="left"/>
      <w:pPr>
        <w:tabs>
          <w:tab w:val="num" w:pos="926"/>
        </w:tabs>
        <w:ind w:left="926" w:hanging="360"/>
      </w:pPr>
    </w:lvl>
  </w:abstractNum>
  <w:abstractNum w:abstractNumId="3">
    <w:nsid w:val="FFFFFF7F"/>
    <w:multiLevelType w:val="singleLevel"/>
    <w:tmpl w:val="8FF4EB6A"/>
    <w:lvl w:ilvl="0">
      <w:start w:val="1"/>
      <w:numFmt w:val="decimal"/>
      <w:lvlText w:val="%1."/>
      <w:lvlJc w:val="left"/>
      <w:pPr>
        <w:tabs>
          <w:tab w:val="num" w:pos="643"/>
        </w:tabs>
        <w:ind w:left="643" w:hanging="360"/>
      </w:pPr>
    </w:lvl>
  </w:abstractNum>
  <w:abstractNum w:abstractNumId="4">
    <w:nsid w:val="FFFFFF80"/>
    <w:multiLevelType w:val="singleLevel"/>
    <w:tmpl w:val="A0346F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AC7C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BC01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12DE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32D096"/>
    <w:lvl w:ilvl="0">
      <w:start w:val="1"/>
      <w:numFmt w:val="decimal"/>
      <w:lvlText w:val="%1."/>
      <w:lvlJc w:val="left"/>
      <w:pPr>
        <w:tabs>
          <w:tab w:val="num" w:pos="360"/>
        </w:tabs>
        <w:ind w:left="360" w:hanging="360"/>
      </w:pPr>
    </w:lvl>
  </w:abstractNum>
  <w:abstractNum w:abstractNumId="9">
    <w:nsid w:val="FFFFFF89"/>
    <w:multiLevelType w:val="singleLevel"/>
    <w:tmpl w:val="A84ABA6A"/>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BD"/>
    <w:rsid w:val="000072B0"/>
    <w:rsid w:val="00007569"/>
    <w:rsid w:val="00012BDE"/>
    <w:rsid w:val="000132B7"/>
    <w:rsid w:val="00020DB7"/>
    <w:rsid w:val="000260D5"/>
    <w:rsid w:val="000302D3"/>
    <w:rsid w:val="000440C4"/>
    <w:rsid w:val="00045E84"/>
    <w:rsid w:val="000525E5"/>
    <w:rsid w:val="00060130"/>
    <w:rsid w:val="000637D6"/>
    <w:rsid w:val="0006455A"/>
    <w:rsid w:val="00064EC5"/>
    <w:rsid w:val="00071718"/>
    <w:rsid w:val="00073E7E"/>
    <w:rsid w:val="00076A45"/>
    <w:rsid w:val="00081D8A"/>
    <w:rsid w:val="0009758D"/>
    <w:rsid w:val="000A3EFF"/>
    <w:rsid w:val="000A7621"/>
    <w:rsid w:val="000C2FB2"/>
    <w:rsid w:val="000D3455"/>
    <w:rsid w:val="000D3F69"/>
    <w:rsid w:val="000D6000"/>
    <w:rsid w:val="0010144A"/>
    <w:rsid w:val="001014A9"/>
    <w:rsid w:val="001132C8"/>
    <w:rsid w:val="00127FFE"/>
    <w:rsid w:val="00133BF7"/>
    <w:rsid w:val="001401E7"/>
    <w:rsid w:val="00144940"/>
    <w:rsid w:val="00150879"/>
    <w:rsid w:val="001523BE"/>
    <w:rsid w:val="0016239F"/>
    <w:rsid w:val="001631E7"/>
    <w:rsid w:val="00167F9C"/>
    <w:rsid w:val="00180899"/>
    <w:rsid w:val="00187F7C"/>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0217A"/>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17A2"/>
    <w:rsid w:val="00286E0F"/>
    <w:rsid w:val="00287340"/>
    <w:rsid w:val="00293F7E"/>
    <w:rsid w:val="002947F9"/>
    <w:rsid w:val="00295451"/>
    <w:rsid w:val="002A7665"/>
    <w:rsid w:val="002A77D6"/>
    <w:rsid w:val="002B0756"/>
    <w:rsid w:val="002B40C4"/>
    <w:rsid w:val="002B45A1"/>
    <w:rsid w:val="002B634D"/>
    <w:rsid w:val="002C208D"/>
    <w:rsid w:val="002C233F"/>
    <w:rsid w:val="002C5576"/>
    <w:rsid w:val="002E3F3A"/>
    <w:rsid w:val="002E6D6B"/>
    <w:rsid w:val="002E7216"/>
    <w:rsid w:val="002F3182"/>
    <w:rsid w:val="002F5035"/>
    <w:rsid w:val="00301350"/>
    <w:rsid w:val="00310129"/>
    <w:rsid w:val="00311F91"/>
    <w:rsid w:val="0031346F"/>
    <w:rsid w:val="00313593"/>
    <w:rsid w:val="0031633A"/>
    <w:rsid w:val="003310D2"/>
    <w:rsid w:val="00335239"/>
    <w:rsid w:val="00343BDE"/>
    <w:rsid w:val="00350939"/>
    <w:rsid w:val="00363805"/>
    <w:rsid w:val="00363E8E"/>
    <w:rsid w:val="003823DF"/>
    <w:rsid w:val="00393E7C"/>
    <w:rsid w:val="003A6437"/>
    <w:rsid w:val="003B2C5F"/>
    <w:rsid w:val="003B459A"/>
    <w:rsid w:val="003B60ED"/>
    <w:rsid w:val="003B74A9"/>
    <w:rsid w:val="003B79CA"/>
    <w:rsid w:val="003C2AC9"/>
    <w:rsid w:val="003D56B1"/>
    <w:rsid w:val="003E051B"/>
    <w:rsid w:val="003E32A8"/>
    <w:rsid w:val="003E32C9"/>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77F0E"/>
    <w:rsid w:val="00492FAD"/>
    <w:rsid w:val="0049418C"/>
    <w:rsid w:val="00496580"/>
    <w:rsid w:val="004A0F33"/>
    <w:rsid w:val="004A510C"/>
    <w:rsid w:val="004A52B4"/>
    <w:rsid w:val="004A6976"/>
    <w:rsid w:val="004A7A1A"/>
    <w:rsid w:val="004B49B9"/>
    <w:rsid w:val="004C633A"/>
    <w:rsid w:val="004E1059"/>
    <w:rsid w:val="004E4BB7"/>
    <w:rsid w:val="004F3D50"/>
    <w:rsid w:val="0051132E"/>
    <w:rsid w:val="00511394"/>
    <w:rsid w:val="00523B5B"/>
    <w:rsid w:val="00535CA0"/>
    <w:rsid w:val="00537B94"/>
    <w:rsid w:val="005429E9"/>
    <w:rsid w:val="00543D04"/>
    <w:rsid w:val="0054515F"/>
    <w:rsid w:val="00550F45"/>
    <w:rsid w:val="00552171"/>
    <w:rsid w:val="00553969"/>
    <w:rsid w:val="0057459E"/>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4D5B"/>
    <w:rsid w:val="00696BB2"/>
    <w:rsid w:val="00697445"/>
    <w:rsid w:val="006A058F"/>
    <w:rsid w:val="006A3056"/>
    <w:rsid w:val="006B52B5"/>
    <w:rsid w:val="006B6B9A"/>
    <w:rsid w:val="006C1530"/>
    <w:rsid w:val="006C3F7D"/>
    <w:rsid w:val="006C4FFB"/>
    <w:rsid w:val="006D49AD"/>
    <w:rsid w:val="006E60CA"/>
    <w:rsid w:val="006E73B1"/>
    <w:rsid w:val="006F3874"/>
    <w:rsid w:val="00703B84"/>
    <w:rsid w:val="0071127D"/>
    <w:rsid w:val="007149A7"/>
    <w:rsid w:val="007202C3"/>
    <w:rsid w:val="007437F9"/>
    <w:rsid w:val="007439D5"/>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C6B41"/>
    <w:rsid w:val="007D0A53"/>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A77BD"/>
    <w:rsid w:val="008B61CA"/>
    <w:rsid w:val="008C3899"/>
    <w:rsid w:val="008C4385"/>
    <w:rsid w:val="008C7D86"/>
    <w:rsid w:val="008D27E0"/>
    <w:rsid w:val="008D2E33"/>
    <w:rsid w:val="008D3838"/>
    <w:rsid w:val="008F4C50"/>
    <w:rsid w:val="008F55E3"/>
    <w:rsid w:val="008F7B1F"/>
    <w:rsid w:val="009015FD"/>
    <w:rsid w:val="00903D1A"/>
    <w:rsid w:val="009041F1"/>
    <w:rsid w:val="009048A4"/>
    <w:rsid w:val="00904BF4"/>
    <w:rsid w:val="00911629"/>
    <w:rsid w:val="00913B86"/>
    <w:rsid w:val="00914455"/>
    <w:rsid w:val="009173CC"/>
    <w:rsid w:val="00920A44"/>
    <w:rsid w:val="009257DF"/>
    <w:rsid w:val="0093679C"/>
    <w:rsid w:val="00965582"/>
    <w:rsid w:val="00965D0E"/>
    <w:rsid w:val="00973D3C"/>
    <w:rsid w:val="0097559C"/>
    <w:rsid w:val="0097651D"/>
    <w:rsid w:val="0098075F"/>
    <w:rsid w:val="00980D9A"/>
    <w:rsid w:val="009824F8"/>
    <w:rsid w:val="00986865"/>
    <w:rsid w:val="009938A9"/>
    <w:rsid w:val="009961EB"/>
    <w:rsid w:val="009A398E"/>
    <w:rsid w:val="009A61F8"/>
    <w:rsid w:val="009B0414"/>
    <w:rsid w:val="009B5009"/>
    <w:rsid w:val="009B6186"/>
    <w:rsid w:val="009C4ADE"/>
    <w:rsid w:val="009D2DD2"/>
    <w:rsid w:val="009E0C0D"/>
    <w:rsid w:val="009E21AD"/>
    <w:rsid w:val="009E79AD"/>
    <w:rsid w:val="009F4B09"/>
    <w:rsid w:val="00A11C41"/>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211D"/>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2A9F"/>
    <w:rsid w:val="00D07074"/>
    <w:rsid w:val="00D119B1"/>
    <w:rsid w:val="00D16C82"/>
    <w:rsid w:val="00D177A6"/>
    <w:rsid w:val="00D17D7F"/>
    <w:rsid w:val="00D20AE5"/>
    <w:rsid w:val="00D22E78"/>
    <w:rsid w:val="00D304E4"/>
    <w:rsid w:val="00D32283"/>
    <w:rsid w:val="00D34A31"/>
    <w:rsid w:val="00D36DE5"/>
    <w:rsid w:val="00D45212"/>
    <w:rsid w:val="00D57797"/>
    <w:rsid w:val="00D61F3A"/>
    <w:rsid w:val="00D668E2"/>
    <w:rsid w:val="00D67DEC"/>
    <w:rsid w:val="00D73F79"/>
    <w:rsid w:val="00D807A7"/>
    <w:rsid w:val="00D82615"/>
    <w:rsid w:val="00D84854"/>
    <w:rsid w:val="00D86402"/>
    <w:rsid w:val="00D87242"/>
    <w:rsid w:val="00D90360"/>
    <w:rsid w:val="00DA07ED"/>
    <w:rsid w:val="00DA1155"/>
    <w:rsid w:val="00DB0549"/>
    <w:rsid w:val="00DC0B82"/>
    <w:rsid w:val="00DC2200"/>
    <w:rsid w:val="00DC4DC2"/>
    <w:rsid w:val="00DC5505"/>
    <w:rsid w:val="00DD1523"/>
    <w:rsid w:val="00DE2971"/>
    <w:rsid w:val="00DE3167"/>
    <w:rsid w:val="00DE3A97"/>
    <w:rsid w:val="00DE4D41"/>
    <w:rsid w:val="00DE76C6"/>
    <w:rsid w:val="00DE7845"/>
    <w:rsid w:val="00DF0B2F"/>
    <w:rsid w:val="00E11642"/>
    <w:rsid w:val="00E14185"/>
    <w:rsid w:val="00E20EF3"/>
    <w:rsid w:val="00E24356"/>
    <w:rsid w:val="00E25C6C"/>
    <w:rsid w:val="00E27501"/>
    <w:rsid w:val="00E32073"/>
    <w:rsid w:val="00E36E54"/>
    <w:rsid w:val="00E4218D"/>
    <w:rsid w:val="00E42A1A"/>
    <w:rsid w:val="00E448CA"/>
    <w:rsid w:val="00E507D1"/>
    <w:rsid w:val="00E529E7"/>
    <w:rsid w:val="00E61E5B"/>
    <w:rsid w:val="00E65A50"/>
    <w:rsid w:val="00E76382"/>
    <w:rsid w:val="00E7666B"/>
    <w:rsid w:val="00E80F95"/>
    <w:rsid w:val="00E96B35"/>
    <w:rsid w:val="00EA5B6B"/>
    <w:rsid w:val="00EA722D"/>
    <w:rsid w:val="00EB10F2"/>
    <w:rsid w:val="00EB28A5"/>
    <w:rsid w:val="00EB661D"/>
    <w:rsid w:val="00EC0515"/>
    <w:rsid w:val="00EC38BA"/>
    <w:rsid w:val="00ED30C0"/>
    <w:rsid w:val="00ED3E50"/>
    <w:rsid w:val="00ED6CD3"/>
    <w:rsid w:val="00EF1712"/>
    <w:rsid w:val="00EF5BAB"/>
    <w:rsid w:val="00F03585"/>
    <w:rsid w:val="00F060DD"/>
    <w:rsid w:val="00F0698D"/>
    <w:rsid w:val="00F10469"/>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C6AC5"/>
    <w:rsid w:val="00FE483F"/>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187F7C"/>
    <w:rPr>
      <w:rFonts w:eastAsia="Batang"/>
      <w:sz w:val="26"/>
      <w:szCs w:val="36"/>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187F7C"/>
    <w:pPr>
      <w:spacing w:before="240" w:after="120"/>
      <w:jc w:val="center"/>
    </w:pPr>
    <w:rPr>
      <w:rFonts w:ascii="Times New Roman Bold" w:hAnsi="Times New Roman Bold"/>
      <w:b/>
      <w:bCs/>
      <w:sz w:val="26"/>
      <w:szCs w:val="36"/>
    </w:rPr>
  </w:style>
  <w:style w:type="character" w:styleId="FollowedHyperlink">
    <w:name w:val="FollowedHyperlink"/>
    <w:basedOn w:val="DefaultParagraphFont"/>
    <w:rsid w:val="00FC6A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187F7C"/>
    <w:rPr>
      <w:rFonts w:eastAsia="Batang"/>
      <w:sz w:val="26"/>
      <w:szCs w:val="36"/>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187F7C"/>
    <w:pPr>
      <w:spacing w:before="240" w:after="120"/>
      <w:jc w:val="center"/>
    </w:pPr>
    <w:rPr>
      <w:rFonts w:ascii="Times New Roman Bold" w:hAnsi="Times New Roman Bold"/>
      <w:b/>
      <w:bCs/>
      <w:sz w:val="26"/>
      <w:szCs w:val="36"/>
    </w:rPr>
  </w:style>
  <w:style w:type="character" w:styleId="FollowedHyperlink">
    <w:name w:val="FollowedHyperlink"/>
    <w:basedOn w:val="DefaultParagraphFont"/>
    <w:rsid w:val="00FC6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E212-9C83-4975-8778-F221C1D3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71</TotalTime>
  <Pages>4</Pages>
  <Words>1028</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6587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Norton Viard, Emma</cp:lastModifiedBy>
  <cp:revision>53</cp:revision>
  <cp:lastPrinted>2011-09-19T16:02:00Z</cp:lastPrinted>
  <dcterms:created xsi:type="dcterms:W3CDTF">2011-09-16T15:39:00Z</dcterms:created>
  <dcterms:modified xsi:type="dcterms:W3CDTF">2011-09-22T08:05:00Z</dcterms:modified>
</cp:coreProperties>
</file>