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3BB81443" wp14:editId="1FEE2A34">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A5280F">
      <w:pPr>
        <w:tabs>
          <w:tab w:val="clear" w:pos="794"/>
          <w:tab w:val="clear" w:pos="1191"/>
          <w:tab w:val="clear" w:pos="1588"/>
          <w:tab w:val="clear" w:pos="1985"/>
          <w:tab w:val="left" w:pos="4962"/>
        </w:tabs>
        <w:spacing w:before="0"/>
      </w:pPr>
      <w:r>
        <w:tab/>
        <w:t xml:space="preserve">Genève, le </w:t>
      </w:r>
      <w:r w:rsidR="00A25F27">
        <w:t>9 septembre 2011</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Default="00517A03" w:rsidP="00A25F27">
            <w:pPr>
              <w:tabs>
                <w:tab w:val="left" w:pos="4111"/>
              </w:tabs>
              <w:spacing w:before="10"/>
              <w:ind w:left="57"/>
              <w:rPr>
                <w:b/>
              </w:rPr>
            </w:pPr>
            <w:r>
              <w:rPr>
                <w:b/>
              </w:rPr>
              <w:t xml:space="preserve">Circulaire TSB </w:t>
            </w:r>
            <w:r w:rsidR="00A25F27">
              <w:rPr>
                <w:b/>
              </w:rPr>
              <w:t>228</w:t>
            </w:r>
          </w:p>
          <w:p w:rsidR="00517A03" w:rsidRDefault="00517A03" w:rsidP="00A25F27">
            <w:pPr>
              <w:tabs>
                <w:tab w:val="left" w:pos="4111"/>
              </w:tabs>
              <w:spacing w:before="10"/>
              <w:ind w:left="57"/>
              <w:rPr>
                <w:b/>
              </w:rPr>
            </w:pPr>
            <w:r>
              <w:t xml:space="preserve">COM </w:t>
            </w:r>
            <w:r w:rsidR="00A25F27">
              <w:t>17</w:t>
            </w:r>
            <w:r>
              <w:t>/</w:t>
            </w:r>
            <w:r w:rsidR="00A25F27">
              <w:t>MEU</w:t>
            </w:r>
          </w:p>
          <w:p w:rsidR="00517A03" w:rsidRDefault="00517A03" w:rsidP="00A5280F">
            <w:pPr>
              <w:tabs>
                <w:tab w:val="left" w:pos="4111"/>
              </w:tabs>
              <w:spacing w:before="10"/>
              <w:ind w:left="57"/>
            </w:pPr>
          </w:p>
          <w:p w:rsidR="00517A03" w:rsidRDefault="00517A03" w:rsidP="00A25F27">
            <w:pPr>
              <w:tabs>
                <w:tab w:val="left" w:pos="4111"/>
              </w:tabs>
              <w:spacing w:before="10"/>
              <w:ind w:left="57"/>
            </w:pPr>
            <w:r>
              <w:t xml:space="preserve">+41 22 730 </w:t>
            </w:r>
            <w:proofErr w:type="gramStart"/>
            <w:r w:rsidR="002417D9">
              <w:t>5866</w:t>
            </w:r>
            <w:r>
              <w:br/>
              <w:t>+41 22 730 5853</w:t>
            </w:r>
            <w:r>
              <w:br/>
            </w:r>
            <w:hyperlink r:id="rId10" w:history="1">
              <w:r w:rsidR="00A25F27" w:rsidRPr="005923BE">
                <w:rPr>
                  <w:rStyle w:val="Hyperlink"/>
                </w:rPr>
                <w:t>tsbsg17@itu.int</w:t>
              </w:r>
              <w:proofErr w:type="gramEnd"/>
            </w:hyperlink>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w:t>
            </w:r>
            <w:r w:rsidR="00B44F16">
              <w:t>'</w:t>
            </w:r>
            <w:r>
              <w:t>Union</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A5280F">
            <w:pPr>
              <w:tabs>
                <w:tab w:val="left" w:pos="4111"/>
              </w:tabs>
              <w:spacing w:before="0"/>
            </w:pPr>
            <w:r>
              <w:rPr>
                <w:b/>
              </w:rPr>
              <w:t>Copie</w:t>
            </w:r>
            <w:r>
              <w:t>:</w:t>
            </w:r>
          </w:p>
          <w:p w:rsidR="00517A03" w:rsidRDefault="00517A03" w:rsidP="00A5280F">
            <w:pPr>
              <w:tabs>
                <w:tab w:val="clear" w:pos="794"/>
                <w:tab w:val="left" w:pos="226"/>
                <w:tab w:val="left" w:pos="4111"/>
              </w:tabs>
              <w:spacing w:before="0"/>
            </w:pPr>
            <w:r>
              <w:t>-</w:t>
            </w:r>
            <w:r>
              <w:tab/>
              <w:t>Aux Membres du Secteur UIT-T;</w:t>
            </w:r>
          </w:p>
          <w:p w:rsidR="00517A03" w:rsidRDefault="00517A03" w:rsidP="00A5280F">
            <w:pPr>
              <w:tabs>
                <w:tab w:val="clear" w:pos="794"/>
                <w:tab w:val="left" w:pos="226"/>
                <w:tab w:val="left" w:pos="4111"/>
              </w:tabs>
              <w:spacing w:before="0"/>
            </w:pPr>
            <w:r>
              <w:t>-</w:t>
            </w:r>
            <w:r>
              <w:tab/>
              <w:t>Aux Associés de l</w:t>
            </w:r>
            <w:r w:rsidR="00B44F16">
              <w:t>'</w:t>
            </w:r>
            <w:r>
              <w:t>UIT-T;</w:t>
            </w:r>
          </w:p>
          <w:p w:rsidR="00517A03" w:rsidRDefault="00517A03" w:rsidP="00A5280F">
            <w:pPr>
              <w:tabs>
                <w:tab w:val="clear" w:pos="794"/>
                <w:tab w:val="left" w:pos="226"/>
                <w:tab w:val="left" w:pos="4111"/>
              </w:tabs>
              <w:spacing w:before="0"/>
              <w:ind w:left="226" w:hanging="226"/>
            </w:pPr>
            <w:r>
              <w:t>-</w:t>
            </w:r>
            <w:r>
              <w:tab/>
            </w:r>
            <w:r w:rsidR="000C56BE">
              <w:t>Aux établissements universitaires participant aux travaux de l</w:t>
            </w:r>
            <w:r w:rsidR="00B44F16">
              <w:t>'</w:t>
            </w:r>
            <w:r w:rsidR="000C56BE">
              <w:t>UIT-T;</w:t>
            </w:r>
          </w:p>
          <w:p w:rsidR="00517A03" w:rsidRDefault="00517A03" w:rsidP="00A25F27">
            <w:pPr>
              <w:tabs>
                <w:tab w:val="clear" w:pos="794"/>
                <w:tab w:val="left" w:pos="226"/>
                <w:tab w:val="left" w:pos="4111"/>
              </w:tabs>
              <w:spacing w:before="0"/>
              <w:ind w:left="226" w:hanging="226"/>
            </w:pPr>
            <w:r>
              <w:t>-</w:t>
            </w:r>
            <w:r>
              <w:tab/>
              <w:t>Aux Président et Vice-Présidents de la Commission d</w:t>
            </w:r>
            <w:r w:rsidR="00B44F16">
              <w:t>'</w:t>
            </w:r>
            <w:r>
              <w:t xml:space="preserve">études </w:t>
            </w:r>
            <w:r w:rsidR="00A25F27">
              <w:t>17</w:t>
            </w:r>
            <w:r>
              <w:t>;</w:t>
            </w:r>
          </w:p>
          <w:p w:rsidR="00517A03" w:rsidRDefault="00517A03" w:rsidP="00A5280F">
            <w:pPr>
              <w:tabs>
                <w:tab w:val="clear" w:pos="794"/>
                <w:tab w:val="left" w:pos="226"/>
                <w:tab w:val="left" w:pos="4111"/>
              </w:tabs>
              <w:spacing w:before="0"/>
              <w:ind w:left="226" w:hanging="226"/>
            </w:pPr>
            <w:r>
              <w:t>-</w:t>
            </w:r>
            <w:r>
              <w:tab/>
              <w:t>Au Directeur du Bureau de développement des télécommunications;</w:t>
            </w:r>
          </w:p>
          <w:p w:rsidR="00517A03" w:rsidRDefault="00517A03" w:rsidP="00A5280F">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959"/>
      </w:tblGrid>
      <w:tr w:rsidR="00517A03" w:rsidTr="002417D9">
        <w:trPr>
          <w:cantSplit/>
          <w:trHeight w:val="680"/>
        </w:trPr>
        <w:tc>
          <w:tcPr>
            <w:tcW w:w="822" w:type="dxa"/>
          </w:tcPr>
          <w:p w:rsidR="00517A03" w:rsidRPr="002417D9" w:rsidRDefault="00517A03" w:rsidP="00A5280F">
            <w:pPr>
              <w:tabs>
                <w:tab w:val="left" w:pos="4111"/>
              </w:tabs>
              <w:spacing w:before="10"/>
              <w:ind w:left="57"/>
              <w:rPr>
                <w:szCs w:val="24"/>
              </w:rPr>
            </w:pPr>
            <w:r w:rsidRPr="002417D9">
              <w:rPr>
                <w:szCs w:val="24"/>
              </w:rPr>
              <w:t>Objet:</w:t>
            </w:r>
          </w:p>
        </w:tc>
        <w:tc>
          <w:tcPr>
            <w:tcW w:w="7959" w:type="dxa"/>
          </w:tcPr>
          <w:p w:rsidR="00517A03" w:rsidRDefault="00517A03" w:rsidP="002417D9">
            <w:pPr>
              <w:tabs>
                <w:tab w:val="left" w:pos="4111"/>
              </w:tabs>
              <w:spacing w:before="0"/>
              <w:ind w:left="57"/>
              <w:rPr>
                <w:b/>
              </w:rPr>
            </w:pPr>
            <w:r>
              <w:rPr>
                <w:b/>
              </w:rPr>
              <w:t>Réunion de la Commission d</w:t>
            </w:r>
            <w:r w:rsidR="00B44F16">
              <w:rPr>
                <w:b/>
              </w:rPr>
              <w:t>'</w:t>
            </w:r>
            <w:r>
              <w:rPr>
                <w:b/>
              </w:rPr>
              <w:t xml:space="preserve">études </w:t>
            </w:r>
            <w:r w:rsidR="00660D4F">
              <w:rPr>
                <w:b/>
              </w:rPr>
              <w:t xml:space="preserve">17 </w:t>
            </w:r>
            <w:r>
              <w:rPr>
                <w:b/>
              </w:rPr>
              <w:t>en vue d</w:t>
            </w:r>
            <w:r w:rsidR="00B44F16">
              <w:rPr>
                <w:b/>
              </w:rPr>
              <w:t>'</w:t>
            </w:r>
            <w:r>
              <w:rPr>
                <w:b/>
              </w:rPr>
              <w:t xml:space="preserve">approuver </w:t>
            </w:r>
            <w:r w:rsidR="00660D4F">
              <w:rPr>
                <w:b/>
              </w:rPr>
              <w:t>les projets</w:t>
            </w:r>
            <w:r>
              <w:rPr>
                <w:b/>
              </w:rPr>
              <w:t xml:space="preserve"> de </w:t>
            </w:r>
            <w:r w:rsidR="00660D4F">
              <w:rPr>
                <w:b/>
              </w:rPr>
              <w:t xml:space="preserve">nouvelle </w:t>
            </w:r>
            <w:r>
              <w:rPr>
                <w:b/>
              </w:rPr>
              <w:t>Recommandation UIT-T</w:t>
            </w:r>
            <w:r w:rsidR="00660D4F">
              <w:rPr>
                <w:b/>
              </w:rPr>
              <w:t xml:space="preserve"> X.1037, X.1500.1, X.1524 et X.1541, </w:t>
            </w:r>
            <w:r>
              <w:rPr>
                <w:b/>
              </w:rPr>
              <w:t>conformément aux dispositions de la Section 9 de la Résolution 1 de l</w:t>
            </w:r>
            <w:r w:rsidR="00B44F16">
              <w:rPr>
                <w:b/>
              </w:rPr>
              <w:t>'</w:t>
            </w:r>
            <w:r>
              <w:rPr>
                <w:b/>
              </w:rPr>
              <w:t>AMNT (Johannesburg, 2008)</w:t>
            </w:r>
          </w:p>
          <w:p w:rsidR="00517A03" w:rsidRDefault="00517A03" w:rsidP="00660D4F">
            <w:pPr>
              <w:tabs>
                <w:tab w:val="left" w:pos="4111"/>
              </w:tabs>
              <w:spacing w:before="0"/>
              <w:ind w:left="57"/>
            </w:pPr>
            <w:r>
              <w:rPr>
                <w:b/>
              </w:rPr>
              <w:t xml:space="preserve">Genève, </w:t>
            </w:r>
            <w:r w:rsidR="002417D9">
              <w:rPr>
                <w:b/>
              </w:rPr>
              <w:t xml:space="preserve">le </w:t>
            </w:r>
            <w:r w:rsidR="00660D4F">
              <w:rPr>
                <w:b/>
              </w:rPr>
              <w:t>2 mars 2012</w:t>
            </w:r>
          </w:p>
        </w:tc>
      </w:tr>
    </w:tbl>
    <w:p w:rsidR="000160A2" w:rsidRPr="00375028" w:rsidRDefault="000160A2" w:rsidP="000160A2">
      <w:pPr>
        <w:spacing w:before="480"/>
        <w:rPr>
          <w:lang w:val="fr-CH"/>
        </w:rPr>
      </w:pPr>
      <w:bookmarkStart w:id="2" w:name="StartTyping_F"/>
      <w:bookmarkEnd w:id="2"/>
      <w:r w:rsidRPr="00375028">
        <w:rPr>
          <w:lang w:val="fr-CH"/>
        </w:rPr>
        <w:t>Madame, Monsieur,</w:t>
      </w:r>
    </w:p>
    <w:p w:rsidR="000160A2" w:rsidRPr="00375028" w:rsidRDefault="000160A2" w:rsidP="000160A2">
      <w:pPr>
        <w:rPr>
          <w:lang w:val="fr-CH"/>
        </w:rPr>
      </w:pPr>
      <w:r w:rsidRPr="00375028">
        <w:rPr>
          <w:bCs/>
          <w:lang w:val="fr-CH"/>
        </w:rPr>
        <w:t>1</w:t>
      </w:r>
      <w:r w:rsidRPr="00375028">
        <w:rPr>
          <w:lang w:val="fr-CH"/>
        </w:rPr>
        <w:tab/>
        <w:t>A la demande du Président de la Commission d</w:t>
      </w:r>
      <w:r w:rsidR="00B44F16">
        <w:rPr>
          <w:lang w:val="fr-CH"/>
        </w:rPr>
        <w:t>'</w:t>
      </w:r>
      <w:r w:rsidRPr="00375028">
        <w:rPr>
          <w:lang w:val="fr-CH"/>
        </w:rPr>
        <w:t xml:space="preserve">études </w:t>
      </w:r>
      <w:r>
        <w:rPr>
          <w:lang w:val="fr-CH"/>
        </w:rPr>
        <w:t>17,</w:t>
      </w:r>
      <w:r w:rsidRPr="00375028">
        <w:rPr>
          <w:lang w:val="fr-CH"/>
        </w:rPr>
        <w:t xml:space="preserve"> </w:t>
      </w:r>
      <w:r>
        <w:rPr>
          <w:i/>
          <w:iCs/>
          <w:lang w:val="fr-CH"/>
        </w:rPr>
        <w:t>Sécurité</w:t>
      </w:r>
      <w:r w:rsidRPr="00375028">
        <w:rPr>
          <w:lang w:val="fr-CH"/>
        </w:rPr>
        <w:t>, j</w:t>
      </w:r>
      <w:r w:rsidR="00B44F16">
        <w:rPr>
          <w:lang w:val="fr-CH"/>
        </w:rPr>
        <w:t>'</w:t>
      </w:r>
      <w:r w:rsidRPr="00375028">
        <w:rPr>
          <w:lang w:val="fr-CH"/>
        </w:rPr>
        <w:t>ai l</w:t>
      </w:r>
      <w:r w:rsidR="00B44F16">
        <w:rPr>
          <w:lang w:val="fr-CH"/>
        </w:rPr>
        <w:t>'</w:t>
      </w:r>
      <w:r w:rsidR="002417D9">
        <w:rPr>
          <w:lang w:val="fr-CH"/>
        </w:rPr>
        <w:t>honneur de vous </w:t>
      </w:r>
      <w:r w:rsidRPr="00375028">
        <w:rPr>
          <w:lang w:val="fr-CH"/>
        </w:rPr>
        <w:t>informer que ladite Commission d</w:t>
      </w:r>
      <w:r w:rsidR="00B44F16">
        <w:rPr>
          <w:lang w:val="fr-CH"/>
        </w:rPr>
        <w:t>'</w:t>
      </w:r>
      <w:r w:rsidRPr="00375028">
        <w:rPr>
          <w:lang w:val="fr-CH"/>
        </w:rPr>
        <w:t xml:space="preserve">études, qui se réunira du </w:t>
      </w:r>
      <w:r>
        <w:rPr>
          <w:lang w:val="fr-CH"/>
        </w:rPr>
        <w:t>20 février</w:t>
      </w:r>
      <w:r w:rsidRPr="00375028">
        <w:rPr>
          <w:lang w:val="fr-CH"/>
        </w:rPr>
        <w:t xml:space="preserve"> au </w:t>
      </w:r>
      <w:r>
        <w:rPr>
          <w:lang w:val="fr-CH"/>
        </w:rPr>
        <w:t>2 mars 2012</w:t>
      </w:r>
      <w:r w:rsidRPr="00375028">
        <w:rPr>
          <w:lang w:val="fr-CH"/>
        </w:rPr>
        <w:t>, a l</w:t>
      </w:r>
      <w:r w:rsidR="00B44F16">
        <w:rPr>
          <w:lang w:val="fr-CH"/>
        </w:rPr>
        <w:t>'</w:t>
      </w:r>
      <w:r w:rsidRPr="00375028">
        <w:rPr>
          <w:lang w:val="fr-CH"/>
        </w:rPr>
        <w:t>intention d</w:t>
      </w:r>
      <w:r w:rsidR="00B44F16">
        <w:rPr>
          <w:lang w:val="fr-CH"/>
        </w:rPr>
        <w:t>'</w:t>
      </w:r>
      <w:r w:rsidRPr="00375028">
        <w:rPr>
          <w:lang w:val="fr-CH"/>
        </w:rPr>
        <w:t xml:space="preserve">appliquer la procédure décrite dans </w:t>
      </w:r>
      <w:r w:rsidRPr="00375028">
        <w:rPr>
          <w:bCs/>
          <w:lang w:val="fr-CH"/>
        </w:rPr>
        <w:t>la</w:t>
      </w:r>
      <w:r w:rsidRPr="00375028">
        <w:rPr>
          <w:b/>
          <w:lang w:val="fr-CH"/>
        </w:rPr>
        <w:t xml:space="preserve"> </w:t>
      </w:r>
      <w:r w:rsidRPr="00375028">
        <w:rPr>
          <w:bCs/>
          <w:lang w:val="fr-CH"/>
        </w:rPr>
        <w:t>Section 9 de la Résolution 1 de l</w:t>
      </w:r>
      <w:r w:rsidR="00B44F16">
        <w:rPr>
          <w:bCs/>
          <w:lang w:val="fr-CH"/>
        </w:rPr>
        <w:t>'</w:t>
      </w:r>
      <w:r w:rsidRPr="00375028">
        <w:rPr>
          <w:bCs/>
          <w:lang w:val="fr-CH"/>
        </w:rPr>
        <w:t>AMNT (Johannesburg, 2008)</w:t>
      </w:r>
      <w:r w:rsidRPr="00375028">
        <w:rPr>
          <w:lang w:val="fr-CH"/>
        </w:rPr>
        <w:t xml:space="preserve"> pour l</w:t>
      </w:r>
      <w:r w:rsidR="00B44F16">
        <w:rPr>
          <w:lang w:val="fr-CH"/>
        </w:rPr>
        <w:t>'</w:t>
      </w:r>
      <w:r w:rsidRPr="00375028">
        <w:rPr>
          <w:lang w:val="fr-CH"/>
        </w:rPr>
        <w:t>approbation des projet</w:t>
      </w:r>
      <w:r>
        <w:rPr>
          <w:lang w:val="fr-CH"/>
        </w:rPr>
        <w:t>s de nouvelle Recommandation mentionnés</w:t>
      </w:r>
      <w:r w:rsidR="002417D9">
        <w:rPr>
          <w:lang w:val="fr-CH"/>
        </w:rPr>
        <w:t xml:space="preserve"> ci</w:t>
      </w:r>
      <w:r w:rsidR="002417D9">
        <w:rPr>
          <w:lang w:val="fr-CH"/>
        </w:rPr>
        <w:noBreakHyphen/>
      </w:r>
      <w:r w:rsidRPr="00375028">
        <w:rPr>
          <w:lang w:val="fr-CH"/>
        </w:rPr>
        <w:t>dessus.</w:t>
      </w:r>
    </w:p>
    <w:p w:rsidR="000160A2" w:rsidRPr="00375028" w:rsidRDefault="000160A2" w:rsidP="000160A2">
      <w:pPr>
        <w:rPr>
          <w:lang w:val="fr-CH"/>
        </w:rPr>
      </w:pPr>
      <w:r w:rsidRPr="00375028">
        <w:rPr>
          <w:bCs/>
          <w:lang w:val="fr-CH"/>
        </w:rPr>
        <w:t>2</w:t>
      </w:r>
      <w:r w:rsidRPr="00375028">
        <w:rPr>
          <w:lang w:val="fr-CH"/>
        </w:rPr>
        <w:tab/>
        <w:t>Vous trouverez dans l</w:t>
      </w:r>
      <w:r w:rsidR="00B44F16">
        <w:rPr>
          <w:lang w:val="fr-CH"/>
        </w:rPr>
        <w:t>'</w:t>
      </w:r>
      <w:r w:rsidRPr="00375028">
        <w:rPr>
          <w:b/>
          <w:lang w:val="fr-CH"/>
        </w:rPr>
        <w:t>Annexe 1</w:t>
      </w:r>
      <w:r w:rsidRPr="00375028">
        <w:rPr>
          <w:lang w:val="fr-CH"/>
        </w:rPr>
        <w:t xml:space="preserve"> le titre, le résumé et la localisation </w:t>
      </w:r>
      <w:r>
        <w:rPr>
          <w:lang w:val="fr-CH"/>
        </w:rPr>
        <w:t>des projets</w:t>
      </w:r>
      <w:r w:rsidRPr="00375028">
        <w:rPr>
          <w:lang w:val="fr-CH"/>
        </w:rPr>
        <w:t xml:space="preserve"> de </w:t>
      </w:r>
      <w:r>
        <w:rPr>
          <w:lang w:val="fr-CH"/>
        </w:rPr>
        <w:t>nouvelle Recommandation UIT-T proposés</w:t>
      </w:r>
      <w:r w:rsidRPr="00375028">
        <w:rPr>
          <w:lang w:val="fr-CH"/>
        </w:rPr>
        <w:t xml:space="preserve"> pour approbation.</w:t>
      </w:r>
    </w:p>
    <w:p w:rsidR="000160A2" w:rsidRPr="00375028" w:rsidRDefault="000160A2" w:rsidP="00B44F16">
      <w:pPr>
        <w:rPr>
          <w:lang w:val="fr-CH"/>
        </w:rPr>
      </w:pPr>
      <w:r w:rsidRPr="00375028">
        <w:rPr>
          <w:bCs/>
          <w:lang w:val="fr-CH"/>
        </w:rPr>
        <w:t>3</w:t>
      </w:r>
      <w:r w:rsidRPr="00375028">
        <w:rPr>
          <w:lang w:val="fr-CH"/>
        </w:rPr>
        <w:tab/>
        <w:t xml:space="preserve">Tout </w:t>
      </w:r>
      <w:r w:rsidR="00B44F16">
        <w:rPr>
          <w:lang w:val="fr-CH"/>
        </w:rPr>
        <w:t>E</w:t>
      </w:r>
      <w:r w:rsidRPr="00375028">
        <w:rPr>
          <w:lang w:val="fr-CH"/>
        </w:rPr>
        <w:t>tat Membre, Membre de Secteur, Associé de l</w:t>
      </w:r>
      <w:r w:rsidR="00B44F16">
        <w:rPr>
          <w:lang w:val="fr-CH"/>
        </w:rPr>
        <w:t>'</w:t>
      </w:r>
      <w:r w:rsidRPr="00375028">
        <w:rPr>
          <w:lang w:val="fr-CH"/>
        </w:rPr>
        <w:t>UIT ou établissement universitaire participant aux travaux de l</w:t>
      </w:r>
      <w:r w:rsidR="00B44F16">
        <w:rPr>
          <w:lang w:val="fr-CH"/>
        </w:rPr>
        <w:t>'</w:t>
      </w:r>
      <w:r w:rsidRPr="00375028">
        <w:rPr>
          <w:lang w:val="fr-CH"/>
        </w:rPr>
        <w:t>UIT; constatant qu</w:t>
      </w:r>
      <w:r w:rsidR="00B44F16">
        <w:rPr>
          <w:lang w:val="fr-CH"/>
        </w:rPr>
        <w:t>'</w:t>
      </w:r>
      <w:r w:rsidRPr="00375028">
        <w:rPr>
          <w:lang w:val="fr-CH"/>
        </w:rPr>
        <w:t xml:space="preserve">un brevet, dont lui ou une autre organisation est titulaire, couvre peut-être, en totalité ou en partie, des éléments </w:t>
      </w:r>
      <w:r>
        <w:rPr>
          <w:lang w:val="fr-CH"/>
        </w:rPr>
        <w:t>des projets</w:t>
      </w:r>
      <w:r w:rsidRPr="00375028">
        <w:rPr>
          <w:lang w:val="fr-CH"/>
        </w:rPr>
        <w:t xml:space="preserve"> de Recommandation qu</w:t>
      </w:r>
      <w:r w:rsidR="00B44F16">
        <w:rPr>
          <w:lang w:val="fr-CH"/>
        </w:rPr>
        <w:t>'</w:t>
      </w:r>
      <w:r w:rsidRPr="00375028">
        <w:rPr>
          <w:lang w:val="fr-CH"/>
        </w:rPr>
        <w:t>il est proposé d</w:t>
      </w:r>
      <w:r w:rsidR="00B44F16">
        <w:rPr>
          <w:lang w:val="fr-CH"/>
        </w:rPr>
        <w:t>'</w:t>
      </w:r>
      <w:r w:rsidRPr="00375028">
        <w:rPr>
          <w:lang w:val="fr-CH"/>
        </w:rPr>
        <w:t>approuver est invité à communiquer ces renseignements au TSB, conformément à la politique commune de l</w:t>
      </w:r>
      <w:r w:rsidR="00B44F16">
        <w:rPr>
          <w:lang w:val="fr-CH"/>
        </w:rPr>
        <w:t>'</w:t>
      </w:r>
      <w:r w:rsidRPr="00375028">
        <w:rPr>
          <w:lang w:val="fr-CH"/>
        </w:rPr>
        <w:t>UIT-T, l</w:t>
      </w:r>
      <w:r w:rsidR="00B44F16">
        <w:rPr>
          <w:lang w:val="fr-CH"/>
        </w:rPr>
        <w:t>'</w:t>
      </w:r>
      <w:r w:rsidRPr="00375028">
        <w:rPr>
          <w:lang w:val="fr-CH"/>
        </w:rPr>
        <w:t>UIT-R, l</w:t>
      </w:r>
      <w:r w:rsidR="00B44F16">
        <w:rPr>
          <w:lang w:val="fr-CH"/>
        </w:rPr>
        <w:t>'</w:t>
      </w:r>
      <w:r w:rsidRPr="00375028">
        <w:rPr>
          <w:lang w:val="fr-CH"/>
        </w:rPr>
        <w:t>ISO et la CEI en matière de brevets.</w:t>
      </w:r>
    </w:p>
    <w:p w:rsidR="000160A2" w:rsidRPr="00375028" w:rsidRDefault="000160A2" w:rsidP="000160A2">
      <w:pPr>
        <w:rPr>
          <w:lang w:val="fr-CH"/>
        </w:rPr>
      </w:pPr>
      <w:r w:rsidRPr="00375028">
        <w:rPr>
          <w:lang w:val="fr-CH"/>
        </w:rPr>
        <w:t>Les renseignements existants sur les brevets sont accessibles en ligne sur le site web de l</w:t>
      </w:r>
      <w:r w:rsidR="00B44F16">
        <w:rPr>
          <w:lang w:val="fr-CH"/>
        </w:rPr>
        <w:t>'</w:t>
      </w:r>
      <w:r w:rsidRPr="00375028">
        <w:rPr>
          <w:lang w:val="fr-CH"/>
        </w:rPr>
        <w:t>UIT</w:t>
      </w:r>
      <w:r w:rsidRPr="00375028">
        <w:rPr>
          <w:lang w:val="fr-CH"/>
        </w:rPr>
        <w:noBreakHyphen/>
        <w:t>T (</w:t>
      </w:r>
      <w:hyperlink r:id="rId11" w:history="1">
        <w:r w:rsidRPr="00375028">
          <w:rPr>
            <w:rStyle w:val="Hyperlink"/>
            <w:lang w:val="fr-CH"/>
          </w:rPr>
          <w:t>www.itu.int/ITU-T/ipr/</w:t>
        </w:r>
      </w:hyperlink>
      <w:r w:rsidRPr="00375028">
        <w:rPr>
          <w:lang w:val="fr-CH"/>
        </w:rPr>
        <w:t xml:space="preserve">). </w:t>
      </w:r>
    </w:p>
    <w:p w:rsidR="0031568D" w:rsidRDefault="0031568D">
      <w:pPr>
        <w:tabs>
          <w:tab w:val="clear" w:pos="794"/>
          <w:tab w:val="clear" w:pos="1191"/>
          <w:tab w:val="clear" w:pos="1588"/>
          <w:tab w:val="clear" w:pos="1985"/>
        </w:tabs>
        <w:overflowPunct/>
        <w:autoSpaceDE/>
        <w:autoSpaceDN/>
        <w:adjustRightInd/>
        <w:spacing w:before="0"/>
        <w:textAlignment w:val="auto"/>
        <w:rPr>
          <w:bCs/>
          <w:lang w:val="fr-CH"/>
        </w:rPr>
      </w:pPr>
      <w:r>
        <w:rPr>
          <w:bCs/>
          <w:lang w:val="fr-CH"/>
        </w:rPr>
        <w:br w:type="page"/>
      </w:r>
    </w:p>
    <w:p w:rsidR="000160A2" w:rsidRPr="00375028" w:rsidRDefault="000160A2" w:rsidP="000160A2">
      <w:pPr>
        <w:rPr>
          <w:lang w:val="fr-CH"/>
        </w:rPr>
      </w:pPr>
      <w:r w:rsidRPr="00375028">
        <w:rPr>
          <w:bCs/>
          <w:lang w:val="fr-CH"/>
        </w:rPr>
        <w:lastRenderedPageBreak/>
        <w:t>4</w:t>
      </w:r>
      <w:r w:rsidRPr="00375028">
        <w:rPr>
          <w:lang w:val="fr-CH"/>
        </w:rPr>
        <w:tab/>
        <w:t>Compte tenu des dispositions de la</w:t>
      </w:r>
      <w:r w:rsidRPr="00375028">
        <w:rPr>
          <w:b/>
          <w:lang w:val="fr-CH"/>
        </w:rPr>
        <w:t xml:space="preserve"> </w:t>
      </w:r>
      <w:r w:rsidRPr="00375028">
        <w:rPr>
          <w:bCs/>
          <w:lang w:val="fr-CH"/>
        </w:rPr>
        <w:t>Section 9 de la Résolution 1,</w:t>
      </w:r>
      <w:r w:rsidRPr="00375028">
        <w:rPr>
          <w:lang w:val="fr-CH"/>
        </w:rPr>
        <w:t xml:space="preserve"> je vous serais reconnaissant de bien vouloir me faire savoir au plus tard </w:t>
      </w:r>
      <w:r w:rsidRPr="00375028">
        <w:rPr>
          <w:b/>
          <w:lang w:val="fr-CH"/>
        </w:rPr>
        <w:t xml:space="preserve">le </w:t>
      </w:r>
      <w:r>
        <w:rPr>
          <w:b/>
          <w:lang w:val="fr-CH"/>
        </w:rPr>
        <w:t>8 février 2012</w:t>
      </w:r>
      <w:r w:rsidRPr="00375028">
        <w:rPr>
          <w:b/>
          <w:lang w:val="fr-CH"/>
        </w:rPr>
        <w:t xml:space="preserve"> </w:t>
      </w:r>
      <w:r w:rsidRPr="00375028">
        <w:rPr>
          <w:lang w:val="fr-CH"/>
        </w:rPr>
        <w:t>si votre Administration autorise la Commission d</w:t>
      </w:r>
      <w:r w:rsidR="00B44F16">
        <w:rPr>
          <w:lang w:val="fr-CH"/>
        </w:rPr>
        <w:t>'</w:t>
      </w:r>
      <w:r w:rsidRPr="00375028">
        <w:rPr>
          <w:lang w:val="fr-CH"/>
        </w:rPr>
        <w:t xml:space="preserve">études </w:t>
      </w:r>
      <w:r>
        <w:rPr>
          <w:lang w:val="fr-CH"/>
        </w:rPr>
        <w:t>17</w:t>
      </w:r>
      <w:r w:rsidRPr="00375028">
        <w:rPr>
          <w:lang w:val="fr-CH"/>
        </w:rPr>
        <w:t xml:space="preserve"> à examiner, lors de sa réunion, lesdits projets de nouvelle Recommandation aux fins d</w:t>
      </w:r>
      <w:r w:rsidR="00B44F16">
        <w:rPr>
          <w:lang w:val="fr-CH"/>
        </w:rPr>
        <w:t>'</w:t>
      </w:r>
      <w:r w:rsidRPr="00375028">
        <w:rPr>
          <w:lang w:val="fr-CH"/>
        </w:rPr>
        <w:t>approbation.</w:t>
      </w:r>
    </w:p>
    <w:p w:rsidR="000160A2" w:rsidRPr="00375028" w:rsidRDefault="000160A2" w:rsidP="000160A2">
      <w:pPr>
        <w:rPr>
          <w:lang w:val="fr-CH"/>
        </w:rPr>
      </w:pPr>
      <w:r w:rsidRPr="00375028">
        <w:rPr>
          <w:lang w:val="fr-CH"/>
        </w:rPr>
        <w:t xml:space="preserve">Si des </w:t>
      </w:r>
      <w:r w:rsidR="006C0F28">
        <w:rPr>
          <w:lang w:val="fr-CH"/>
        </w:rPr>
        <w:t>Etats</w:t>
      </w:r>
      <w:r w:rsidRPr="00375028">
        <w:rPr>
          <w:lang w:val="fr-CH"/>
        </w:rPr>
        <w:t xml:space="preserve"> Membres estiment que la procédure d</w:t>
      </w:r>
      <w:r w:rsidR="00B44F16">
        <w:rPr>
          <w:lang w:val="fr-CH"/>
        </w:rPr>
        <w:t>'</w:t>
      </w:r>
      <w:r w:rsidRPr="00375028">
        <w:rPr>
          <w:lang w:val="fr-CH"/>
        </w:rPr>
        <w:t>approbation ne doit pas se poursuivre, ils sont invités à faire connaître leurs raisons et à proposer les modifications susceptibles de permettre la reprise des procédure</w:t>
      </w:r>
      <w:r>
        <w:rPr>
          <w:lang w:val="fr-CH"/>
        </w:rPr>
        <w:t>s d</w:t>
      </w:r>
      <w:r w:rsidR="00B44F16">
        <w:rPr>
          <w:lang w:val="fr-CH"/>
        </w:rPr>
        <w:t>'</w:t>
      </w:r>
      <w:r>
        <w:rPr>
          <w:lang w:val="fr-CH"/>
        </w:rPr>
        <w:t>examen et d</w:t>
      </w:r>
      <w:r w:rsidR="00B44F16">
        <w:rPr>
          <w:lang w:val="fr-CH"/>
        </w:rPr>
        <w:t>'</w:t>
      </w:r>
      <w:r>
        <w:rPr>
          <w:lang w:val="fr-CH"/>
        </w:rPr>
        <w:t>approbation des projets</w:t>
      </w:r>
      <w:r w:rsidRPr="00375028">
        <w:rPr>
          <w:lang w:val="fr-CH"/>
        </w:rPr>
        <w:t xml:space="preserve"> de</w:t>
      </w:r>
      <w:r w:rsidRPr="00051D73">
        <w:rPr>
          <w:lang w:val="fr-CH"/>
        </w:rPr>
        <w:t xml:space="preserve"> </w:t>
      </w:r>
      <w:r w:rsidRPr="00375028">
        <w:rPr>
          <w:lang w:val="fr-CH"/>
        </w:rPr>
        <w:t>nouvelle Recommandation.</w:t>
      </w:r>
    </w:p>
    <w:p w:rsidR="000160A2" w:rsidRPr="00375028" w:rsidRDefault="000160A2" w:rsidP="000160A2">
      <w:pPr>
        <w:rPr>
          <w:lang w:val="fr-CH"/>
        </w:rPr>
      </w:pPr>
      <w:r w:rsidRPr="00375028">
        <w:rPr>
          <w:bCs/>
          <w:lang w:val="fr-CH"/>
        </w:rPr>
        <w:t>5</w:t>
      </w:r>
      <w:r w:rsidRPr="00375028">
        <w:rPr>
          <w:lang w:val="fr-CH"/>
        </w:rPr>
        <w:tab/>
        <w:t xml:space="preserve">Si au moins 70% des réponses des </w:t>
      </w:r>
      <w:r w:rsidR="006C0F28">
        <w:rPr>
          <w:lang w:val="fr-CH"/>
        </w:rPr>
        <w:t>Etats</w:t>
      </w:r>
      <w:r w:rsidRPr="00375028">
        <w:rPr>
          <w:lang w:val="fr-CH"/>
        </w:rPr>
        <w:t xml:space="preserve"> Membres sont en faveur de l</w:t>
      </w:r>
      <w:r w:rsidR="00B44F16">
        <w:rPr>
          <w:lang w:val="fr-CH"/>
        </w:rPr>
        <w:t>'</w:t>
      </w:r>
      <w:r w:rsidRPr="00375028">
        <w:rPr>
          <w:lang w:val="fr-CH"/>
        </w:rPr>
        <w:t>examen, aux fins d</w:t>
      </w:r>
      <w:r w:rsidR="00B44F16">
        <w:rPr>
          <w:lang w:val="fr-CH"/>
        </w:rPr>
        <w:t>'</w:t>
      </w:r>
      <w:r w:rsidRPr="00375028">
        <w:rPr>
          <w:lang w:val="fr-CH"/>
        </w:rPr>
        <w:t xml:space="preserve">approbation, de </w:t>
      </w:r>
      <w:r>
        <w:rPr>
          <w:lang w:val="fr-CH"/>
        </w:rPr>
        <w:t>ces projets</w:t>
      </w:r>
      <w:r w:rsidRPr="00375028">
        <w:rPr>
          <w:lang w:val="fr-CH"/>
        </w:rPr>
        <w:t xml:space="preserve"> de</w:t>
      </w:r>
      <w:r w:rsidRPr="00051D73">
        <w:rPr>
          <w:lang w:val="fr-CH"/>
        </w:rPr>
        <w:t xml:space="preserve"> </w:t>
      </w:r>
      <w:r w:rsidRPr="00375028">
        <w:rPr>
          <w:lang w:val="fr-CH"/>
        </w:rPr>
        <w:t>nouvelle Recommandation lors de la réunion de la Commission d</w:t>
      </w:r>
      <w:r w:rsidR="00B44F16">
        <w:rPr>
          <w:lang w:val="fr-CH"/>
        </w:rPr>
        <w:t>'</w:t>
      </w:r>
      <w:r w:rsidRPr="00375028">
        <w:rPr>
          <w:lang w:val="fr-CH"/>
        </w:rPr>
        <w:t>études</w:t>
      </w:r>
      <w:r w:rsidRPr="001E708E">
        <w:rPr>
          <w:lang w:val="fr-CH"/>
        </w:rPr>
        <w:t>, une séance plénière se tiendra</w:t>
      </w:r>
      <w:r w:rsidRPr="00375028">
        <w:rPr>
          <w:b/>
          <w:lang w:val="fr-CH"/>
        </w:rPr>
        <w:t xml:space="preserve"> le</w:t>
      </w:r>
      <w:r>
        <w:rPr>
          <w:b/>
          <w:lang w:val="fr-CH"/>
        </w:rPr>
        <w:t xml:space="preserve"> 2 mars 2012</w:t>
      </w:r>
      <w:r w:rsidRPr="00375028">
        <w:rPr>
          <w:lang w:val="fr-CH"/>
        </w:rPr>
        <w:t xml:space="preserve"> pour appliquer la procédure d</w:t>
      </w:r>
      <w:r w:rsidR="00B44F16">
        <w:rPr>
          <w:lang w:val="fr-CH"/>
        </w:rPr>
        <w:t>'</w:t>
      </w:r>
      <w:r w:rsidRPr="00375028">
        <w:rPr>
          <w:lang w:val="fr-CH"/>
        </w:rPr>
        <w:t>approbation.</w:t>
      </w:r>
    </w:p>
    <w:p w:rsidR="000160A2" w:rsidRPr="00375028" w:rsidRDefault="000160A2" w:rsidP="000160A2">
      <w:pPr>
        <w:rPr>
          <w:lang w:val="fr-CH"/>
        </w:rPr>
      </w:pPr>
      <w:r w:rsidRPr="00375028">
        <w:rPr>
          <w:lang w:val="fr-CH"/>
        </w:rPr>
        <w:t>En conséquence, j</w:t>
      </w:r>
      <w:r w:rsidR="00B44F16">
        <w:rPr>
          <w:lang w:val="fr-CH"/>
        </w:rPr>
        <w:t>'</w:t>
      </w:r>
      <w:r w:rsidRPr="00375028">
        <w:rPr>
          <w:lang w:val="fr-CH"/>
        </w:rPr>
        <w:t xml:space="preserve">invite votre Administration à se faire représenter à cette réunion. Les </w:t>
      </w:r>
      <w:r>
        <w:rPr>
          <w:b/>
          <w:lang w:val="fr-CH"/>
        </w:rPr>
        <w:t>a</w:t>
      </w:r>
      <w:r w:rsidRPr="00375028">
        <w:rPr>
          <w:b/>
          <w:lang w:val="fr-CH"/>
        </w:rPr>
        <w:t xml:space="preserve">dministrations des </w:t>
      </w:r>
      <w:r w:rsidR="006C0F28">
        <w:rPr>
          <w:b/>
          <w:lang w:val="fr-CH"/>
        </w:rPr>
        <w:t>Etats</w:t>
      </w:r>
      <w:r w:rsidRPr="00375028">
        <w:rPr>
          <w:b/>
          <w:lang w:val="fr-CH"/>
        </w:rPr>
        <w:t xml:space="preserve"> Membres de l</w:t>
      </w:r>
      <w:r w:rsidR="00B44F16">
        <w:rPr>
          <w:b/>
          <w:lang w:val="fr-CH"/>
        </w:rPr>
        <w:t>'</w:t>
      </w:r>
      <w:r w:rsidRPr="00375028">
        <w:rPr>
          <w:b/>
          <w:lang w:val="fr-CH"/>
        </w:rPr>
        <w:t>Union</w:t>
      </w:r>
      <w:r w:rsidRPr="00375028">
        <w:rPr>
          <w:lang w:val="fr-CH"/>
        </w:rPr>
        <w:t xml:space="preserve"> sont invitées à communiquer le nom du Chef de leur délégation. Si votre Administration souhaite se faire représenter à cette réunion par une exploitation reconnue, un organisme scientifique ou industriel, ou une autre entité s</w:t>
      </w:r>
      <w:r w:rsidR="00B44F16">
        <w:rPr>
          <w:lang w:val="fr-CH"/>
        </w:rPr>
        <w:t>'</w:t>
      </w:r>
      <w:r w:rsidRPr="00375028">
        <w:rPr>
          <w:lang w:val="fr-CH"/>
        </w:rPr>
        <w:t>occupant de questions de télécommunications, le Directeur doit en être informé, conformément à l</w:t>
      </w:r>
      <w:r w:rsidR="00B44F16">
        <w:rPr>
          <w:lang w:val="fr-CH"/>
        </w:rPr>
        <w:t>'</w:t>
      </w:r>
      <w:r w:rsidRPr="00375028">
        <w:rPr>
          <w:lang w:val="fr-CH"/>
        </w:rPr>
        <w:t>article 19, numéro 239, de la Convention de l</w:t>
      </w:r>
      <w:r w:rsidR="00B44F16">
        <w:rPr>
          <w:lang w:val="fr-CH"/>
        </w:rPr>
        <w:t>'</w:t>
      </w:r>
      <w:r w:rsidRPr="00375028">
        <w:rPr>
          <w:lang w:val="fr-CH"/>
        </w:rPr>
        <w:t>UIT.</w:t>
      </w:r>
    </w:p>
    <w:p w:rsidR="000160A2" w:rsidRPr="00375028" w:rsidRDefault="000160A2" w:rsidP="000160A2">
      <w:pPr>
        <w:rPr>
          <w:lang w:val="fr-CH"/>
        </w:rPr>
      </w:pPr>
      <w:r w:rsidRPr="00375028">
        <w:rPr>
          <w:bCs/>
          <w:lang w:val="fr-CH"/>
        </w:rPr>
        <w:t>6</w:t>
      </w:r>
      <w:r w:rsidRPr="00375028">
        <w:rPr>
          <w:lang w:val="fr-CH"/>
        </w:rPr>
        <w:tab/>
        <w:t>L</w:t>
      </w:r>
      <w:r w:rsidR="00B44F16">
        <w:rPr>
          <w:lang w:val="fr-CH"/>
        </w:rPr>
        <w:t>'</w:t>
      </w:r>
      <w:r w:rsidRPr="00375028">
        <w:rPr>
          <w:lang w:val="fr-CH"/>
        </w:rPr>
        <w:t>ordre du jour ainsi que tous les renseignements pertinents concernant la réunion de la Commission d</w:t>
      </w:r>
      <w:r w:rsidR="00B44F16">
        <w:rPr>
          <w:lang w:val="fr-CH"/>
        </w:rPr>
        <w:t>'</w:t>
      </w:r>
      <w:r w:rsidRPr="00375028">
        <w:rPr>
          <w:lang w:val="fr-CH"/>
        </w:rPr>
        <w:t>études</w:t>
      </w:r>
      <w:r>
        <w:rPr>
          <w:lang w:val="fr-CH"/>
        </w:rPr>
        <w:t xml:space="preserve"> 17</w:t>
      </w:r>
      <w:r w:rsidRPr="00375028">
        <w:rPr>
          <w:lang w:val="fr-CH"/>
        </w:rPr>
        <w:t xml:space="preserve"> seront disponibles dans la Lettre collective </w:t>
      </w:r>
      <w:r>
        <w:rPr>
          <w:lang w:val="fr-CH"/>
        </w:rPr>
        <w:t>7</w:t>
      </w:r>
      <w:r w:rsidRPr="00375028">
        <w:rPr>
          <w:lang w:val="fr-CH"/>
        </w:rPr>
        <w:t>/</w:t>
      </w:r>
      <w:r>
        <w:rPr>
          <w:lang w:val="fr-CH"/>
        </w:rPr>
        <w:t>17.</w:t>
      </w:r>
    </w:p>
    <w:p w:rsidR="000160A2" w:rsidRPr="00375028" w:rsidRDefault="000160A2" w:rsidP="000160A2">
      <w:pPr>
        <w:rPr>
          <w:lang w:val="fr-CH"/>
        </w:rPr>
      </w:pPr>
      <w:r w:rsidRPr="00375028">
        <w:rPr>
          <w:bCs/>
          <w:lang w:val="fr-CH"/>
        </w:rPr>
        <w:t>7</w:t>
      </w:r>
      <w:r w:rsidRPr="00375028">
        <w:rPr>
          <w:lang w:val="fr-CH"/>
        </w:rPr>
        <w:tab/>
        <w:t xml:space="preserve">Après la réunion, le Directeur du TSB fera connaître, par voie de circulaire, la décision prise au sujet de </w:t>
      </w:r>
      <w:r>
        <w:rPr>
          <w:lang w:val="fr-CH"/>
        </w:rPr>
        <w:t>ces Recommandations</w:t>
      </w:r>
      <w:r w:rsidRPr="00375028">
        <w:rPr>
          <w:lang w:val="fr-CH"/>
        </w:rPr>
        <w:t>. Cette information sera également publiée dans le Bulletin d</w:t>
      </w:r>
      <w:r w:rsidR="00B44F16">
        <w:rPr>
          <w:lang w:val="fr-CH"/>
        </w:rPr>
        <w:t>'</w:t>
      </w:r>
      <w:r w:rsidRPr="00375028">
        <w:rPr>
          <w:lang w:val="fr-CH"/>
        </w:rPr>
        <w:t>exploitation de l</w:t>
      </w:r>
      <w:r w:rsidR="00B44F16">
        <w:rPr>
          <w:lang w:val="fr-CH"/>
        </w:rPr>
        <w:t>'</w:t>
      </w:r>
      <w:r w:rsidRPr="00375028">
        <w:rPr>
          <w:lang w:val="fr-CH"/>
        </w:rPr>
        <w:t>UIT.</w:t>
      </w:r>
    </w:p>
    <w:p w:rsidR="000160A2" w:rsidRPr="00375028" w:rsidRDefault="000160A2" w:rsidP="000160A2">
      <w:pPr>
        <w:rPr>
          <w:lang w:val="fr-CH"/>
        </w:rPr>
      </w:pPr>
      <w:r w:rsidRPr="00375028">
        <w:rPr>
          <w:lang w:val="fr-CH"/>
        </w:rPr>
        <w:t>Veuillez agréer, Madame, Monsieur, l</w:t>
      </w:r>
      <w:r w:rsidR="00B44F16">
        <w:rPr>
          <w:lang w:val="fr-CH"/>
        </w:rPr>
        <w:t>'</w:t>
      </w:r>
      <w:r w:rsidRPr="00375028">
        <w:rPr>
          <w:lang w:val="fr-CH"/>
        </w:rPr>
        <w:t>assurance de ma haute considération.</w:t>
      </w:r>
    </w:p>
    <w:p w:rsidR="00517A03" w:rsidRDefault="000160A2" w:rsidP="002417D9">
      <w:pPr>
        <w:spacing w:before="840"/>
        <w:ind w:right="-284"/>
      </w:pPr>
      <w:r w:rsidRPr="00375028">
        <w:rPr>
          <w:lang w:val="fr-CH"/>
        </w:rPr>
        <w:t>Malcolm Johnson</w:t>
      </w:r>
      <w:r w:rsidRPr="00375028">
        <w:rPr>
          <w:lang w:val="fr-CH"/>
        </w:rPr>
        <w:br/>
        <w:t>Directeur du Bureau de la</w:t>
      </w:r>
      <w:r w:rsidRPr="00375028">
        <w:rPr>
          <w:lang w:val="fr-CH"/>
        </w:rPr>
        <w:br/>
        <w:t>normalisation des télécommunications</w:t>
      </w:r>
    </w:p>
    <w:p w:rsidR="00252DDC" w:rsidRDefault="00517A03" w:rsidP="00252DDC">
      <w:pPr>
        <w:spacing w:before="1440"/>
        <w:ind w:right="-284"/>
        <w:rPr>
          <w:b/>
        </w:rPr>
      </w:pPr>
      <w:r>
        <w:rPr>
          <w:b/>
        </w:rPr>
        <w:t>Annexe</w:t>
      </w:r>
      <w:r w:rsidRPr="002417D9">
        <w:rPr>
          <w:bCs/>
        </w:rPr>
        <w:t xml:space="preserve">: </w:t>
      </w:r>
      <w:r w:rsidR="006C0F28" w:rsidRPr="002417D9">
        <w:rPr>
          <w:bCs/>
        </w:rPr>
        <w:t>1</w:t>
      </w:r>
    </w:p>
    <w:p w:rsidR="00252DDC" w:rsidRPr="00252DDC" w:rsidRDefault="006C0F28" w:rsidP="00252DDC">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6C0F28" w:rsidRPr="00375028" w:rsidRDefault="006C0F28" w:rsidP="00252DDC">
      <w:pPr>
        <w:pStyle w:val="Annex"/>
        <w:spacing w:before="360"/>
        <w:rPr>
          <w:lang w:val="fr-CH"/>
        </w:rPr>
      </w:pPr>
      <w:r w:rsidRPr="00375028">
        <w:rPr>
          <w:lang w:val="fr-CH"/>
        </w:rPr>
        <w:lastRenderedPageBreak/>
        <w:t>ANNEX</w:t>
      </w:r>
      <w:r>
        <w:rPr>
          <w:lang w:val="fr-CH"/>
        </w:rPr>
        <w:t>E</w:t>
      </w:r>
      <w:r w:rsidRPr="00375028">
        <w:rPr>
          <w:lang w:val="fr-CH"/>
        </w:rPr>
        <w:t xml:space="preserve"> 1</w:t>
      </w:r>
      <w:r w:rsidRPr="00375028">
        <w:rPr>
          <w:lang w:val="fr-CH"/>
        </w:rPr>
        <w:br/>
        <w:t>(</w:t>
      </w:r>
      <w:r w:rsidR="002417D9">
        <w:rPr>
          <w:caps w:val="0"/>
          <w:lang w:val="fr-CH"/>
        </w:rPr>
        <w:t xml:space="preserve">de la </w:t>
      </w:r>
      <w:r>
        <w:rPr>
          <w:lang w:val="fr-CH"/>
        </w:rPr>
        <w:t>C</w:t>
      </w:r>
      <w:r w:rsidR="002417D9">
        <w:rPr>
          <w:caps w:val="0"/>
          <w:lang w:val="fr-CH"/>
        </w:rPr>
        <w:t>irculaire</w:t>
      </w:r>
      <w:r>
        <w:rPr>
          <w:lang w:val="fr-CH"/>
        </w:rPr>
        <w:t xml:space="preserve"> TSB</w:t>
      </w:r>
      <w:r w:rsidRPr="00375028">
        <w:rPr>
          <w:lang w:val="fr-CH"/>
        </w:rPr>
        <w:t xml:space="preserve"> 228)</w:t>
      </w:r>
    </w:p>
    <w:p w:rsidR="006C0F28" w:rsidRPr="00375028" w:rsidRDefault="006C0F28" w:rsidP="00252DDC">
      <w:pPr>
        <w:pStyle w:val="AnnexTitle"/>
        <w:rPr>
          <w:lang w:val="fr-CH"/>
        </w:rPr>
      </w:pPr>
      <w:r>
        <w:rPr>
          <w:lang w:val="fr-CH"/>
        </w:rPr>
        <w:t>Résumé et localisation des textes</w:t>
      </w:r>
    </w:p>
    <w:p w:rsidR="006C0F28" w:rsidRPr="00375028" w:rsidRDefault="006C0F28" w:rsidP="00EA7A99">
      <w:pPr>
        <w:pStyle w:val="headingb"/>
        <w:rPr>
          <w:sz w:val="28"/>
          <w:szCs w:val="28"/>
          <w:lang w:val="fr-CH"/>
        </w:rPr>
      </w:pPr>
      <w:r>
        <w:rPr>
          <w:lang w:val="fr-CH"/>
        </w:rPr>
        <w:t>Projet de nouvelle Recommandation UIT</w:t>
      </w:r>
      <w:r w:rsidRPr="00375028">
        <w:rPr>
          <w:lang w:val="fr-CH"/>
        </w:rPr>
        <w:t>-T X.1037 (</w:t>
      </w:r>
      <w:proofErr w:type="spellStart"/>
      <w:r w:rsidRPr="00375028">
        <w:rPr>
          <w:lang w:val="fr-CH"/>
        </w:rPr>
        <w:t>X.rev</w:t>
      </w:r>
      <w:proofErr w:type="spellEnd"/>
      <w:r w:rsidRPr="00375028">
        <w:rPr>
          <w:lang w:val="fr-CH"/>
        </w:rPr>
        <w:t xml:space="preserve">), </w:t>
      </w:r>
      <w:r>
        <w:rPr>
          <w:lang w:val="fr-CH"/>
        </w:rPr>
        <w:t>S</w:t>
      </w:r>
      <w:r w:rsidR="002417D9">
        <w:rPr>
          <w:lang w:val="fr-CH"/>
        </w:rPr>
        <w:t>ystèmes architecturaux pour les </w:t>
      </w:r>
      <w:r>
        <w:rPr>
          <w:lang w:val="fr-CH"/>
        </w:rPr>
        <w:t xml:space="preserve">contrôles de sécurité destinés à empêcher les activités frauduleuses dans les réseaux </w:t>
      </w:r>
      <w:r w:rsidR="002417D9">
        <w:rPr>
          <w:lang w:val="fr-CH"/>
        </w:rPr>
        <w:t>publics </w:t>
      </w:r>
      <w:r>
        <w:rPr>
          <w:lang w:val="fr-CH"/>
        </w:rPr>
        <w:t>des transporteurs</w:t>
      </w:r>
      <w:r w:rsidRPr="00375028">
        <w:rPr>
          <w:lang w:val="fr-CH"/>
        </w:rPr>
        <w:br/>
      </w:r>
      <w:r w:rsidRPr="00375028">
        <w:rPr>
          <w:szCs w:val="24"/>
          <w:lang w:val="fr-CH"/>
        </w:rPr>
        <w:t>COM 17 – R 41</w:t>
      </w:r>
    </w:p>
    <w:p w:rsidR="006C0F28" w:rsidRPr="00375028" w:rsidRDefault="006C0F28" w:rsidP="00252DDC">
      <w:pPr>
        <w:pStyle w:val="headingb"/>
        <w:rPr>
          <w:lang w:val="fr-CH"/>
        </w:rPr>
      </w:pPr>
      <w:r>
        <w:rPr>
          <w:lang w:val="fr-CH"/>
        </w:rPr>
        <w:t>Résumé</w:t>
      </w:r>
    </w:p>
    <w:p w:rsidR="006C0F28" w:rsidRPr="00375028" w:rsidRDefault="006C0F28" w:rsidP="006C0F28">
      <w:pPr>
        <w:rPr>
          <w:lang w:val="fr-CH"/>
        </w:rPr>
      </w:pPr>
      <w:r>
        <w:rPr>
          <w:lang w:val="fr-CH"/>
        </w:rPr>
        <w:t>La Recommandation UIT</w:t>
      </w:r>
      <w:r w:rsidRPr="00375028">
        <w:rPr>
          <w:lang w:val="fr-CH"/>
        </w:rPr>
        <w:t xml:space="preserve">-T X.1037 </w:t>
      </w:r>
      <w:r>
        <w:rPr>
          <w:lang w:val="fr-CH"/>
        </w:rPr>
        <w:t>décrit une méthodologie pour les systèmes d</w:t>
      </w:r>
      <w:r w:rsidR="00B44F16">
        <w:rPr>
          <w:lang w:val="fr-CH"/>
        </w:rPr>
        <w:t>'</w:t>
      </w:r>
      <w:r>
        <w:rPr>
          <w:lang w:val="fr-CH"/>
        </w:rPr>
        <w:t xml:space="preserve">évaluation des contrôles de sécurité destinés à empêcher les activités frauduleuses, et donne des critères de sélection de ces systèmes, pour ce qui est des caractéristiques architecturales des réseaux des fournisseurs de services de communication (CSP, </w:t>
      </w:r>
      <w:r>
        <w:rPr>
          <w:i/>
          <w:iCs/>
          <w:lang w:val="fr-CH"/>
        </w:rPr>
        <w:t>communications service provider</w:t>
      </w:r>
      <w:r>
        <w:rPr>
          <w:lang w:val="fr-CH"/>
        </w:rPr>
        <w:t>) tels qu</w:t>
      </w:r>
      <w:r w:rsidR="00B44F16">
        <w:rPr>
          <w:lang w:val="fr-CH"/>
        </w:rPr>
        <w:t>'</w:t>
      </w:r>
      <w:r>
        <w:rPr>
          <w:lang w:val="fr-CH"/>
        </w:rPr>
        <w:t>ils sont à ce jour. La Recommandation comporte des méthodes techniques permettant d</w:t>
      </w:r>
      <w:r w:rsidR="00B44F16">
        <w:rPr>
          <w:lang w:val="fr-CH"/>
        </w:rPr>
        <w:t>'</w:t>
      </w:r>
      <w:r>
        <w:rPr>
          <w:lang w:val="fr-CH"/>
        </w:rPr>
        <w:t>aborder la question des contrôles de sécurité et d</w:t>
      </w:r>
      <w:r w:rsidR="00B44F16">
        <w:rPr>
          <w:lang w:val="fr-CH"/>
        </w:rPr>
        <w:t>'</w:t>
      </w:r>
      <w:r>
        <w:rPr>
          <w:lang w:val="fr-CH"/>
        </w:rPr>
        <w:t>évaluer les pertes causées par les activités frauduleuses et contient aussi des lignes directrices quant à l</w:t>
      </w:r>
      <w:r w:rsidR="00B44F16">
        <w:rPr>
          <w:lang w:val="fr-CH"/>
        </w:rPr>
        <w:t>'</w:t>
      </w:r>
      <w:r>
        <w:rPr>
          <w:lang w:val="fr-CH"/>
        </w:rPr>
        <w:t>échange d</w:t>
      </w:r>
      <w:r w:rsidR="00B44F16">
        <w:rPr>
          <w:lang w:val="fr-CH"/>
        </w:rPr>
        <w:t>'</w:t>
      </w:r>
      <w:r>
        <w:rPr>
          <w:lang w:val="fr-CH"/>
        </w:rPr>
        <w:t>informations liées aux activités frauduleuses.</w:t>
      </w:r>
    </w:p>
    <w:p w:rsidR="006C0F28" w:rsidRPr="00375028" w:rsidRDefault="006C0F28" w:rsidP="00EA7A99">
      <w:pPr>
        <w:pStyle w:val="headingb"/>
        <w:rPr>
          <w:sz w:val="28"/>
          <w:szCs w:val="28"/>
          <w:lang w:val="fr-CH"/>
        </w:rPr>
      </w:pPr>
      <w:r>
        <w:rPr>
          <w:lang w:val="fr-CH"/>
        </w:rPr>
        <w:t>Projet de Recommandation UIT</w:t>
      </w:r>
      <w:r w:rsidRPr="00375028">
        <w:rPr>
          <w:lang w:val="fr-CH"/>
        </w:rPr>
        <w:t>-T X.1500.1 (X.cybex.1), Proc</w:t>
      </w:r>
      <w:r>
        <w:rPr>
          <w:lang w:val="fr-CH"/>
        </w:rPr>
        <w:t>é</w:t>
      </w:r>
      <w:r w:rsidRPr="00375028">
        <w:rPr>
          <w:lang w:val="fr-CH"/>
        </w:rPr>
        <w:t xml:space="preserve">dures </w:t>
      </w:r>
      <w:r>
        <w:rPr>
          <w:lang w:val="fr-CH"/>
        </w:rPr>
        <w:t>d</w:t>
      </w:r>
      <w:r w:rsidR="00B44F16">
        <w:rPr>
          <w:lang w:val="fr-CH"/>
        </w:rPr>
        <w:t>'</w:t>
      </w:r>
      <w:r>
        <w:rPr>
          <w:lang w:val="fr-CH"/>
        </w:rPr>
        <w:t>enregistrement d</w:t>
      </w:r>
      <w:r w:rsidR="00B44F16">
        <w:rPr>
          <w:lang w:val="fr-CH"/>
        </w:rPr>
        <w:t>'</w:t>
      </w:r>
      <w:r w:rsidRPr="00375028">
        <w:rPr>
          <w:lang w:val="fr-CH"/>
        </w:rPr>
        <w:t xml:space="preserve">arcs </w:t>
      </w:r>
      <w:r>
        <w:rPr>
          <w:lang w:val="fr-CH"/>
        </w:rPr>
        <w:t>avec l</w:t>
      </w:r>
      <w:r w:rsidR="00B44F16">
        <w:rPr>
          <w:lang w:val="fr-CH"/>
        </w:rPr>
        <w:t>'</w:t>
      </w:r>
      <w:r>
        <w:rPr>
          <w:lang w:val="fr-CH"/>
        </w:rPr>
        <w:t>arc d</w:t>
      </w:r>
      <w:r w:rsidR="00B44F16">
        <w:rPr>
          <w:lang w:val="fr-CH"/>
        </w:rPr>
        <w:t>'</w:t>
      </w:r>
      <w:r>
        <w:rPr>
          <w:lang w:val="fr-CH"/>
        </w:rPr>
        <w:t>identificateur d</w:t>
      </w:r>
      <w:r w:rsidR="00B44F16">
        <w:rPr>
          <w:lang w:val="fr-CH"/>
        </w:rPr>
        <w:t>'</w:t>
      </w:r>
      <w:r>
        <w:rPr>
          <w:lang w:val="fr-CH"/>
        </w:rPr>
        <w:t>objet</w:t>
      </w:r>
      <w:r w:rsidRPr="00375028">
        <w:rPr>
          <w:lang w:val="fr-CH"/>
        </w:rPr>
        <w:t xml:space="preserve"> </w:t>
      </w:r>
      <w:r>
        <w:rPr>
          <w:lang w:val="fr-CH"/>
        </w:rPr>
        <w:t>aux fins de l</w:t>
      </w:r>
      <w:r w:rsidR="00B44F16">
        <w:rPr>
          <w:lang w:val="fr-CH"/>
        </w:rPr>
        <w:t>'</w:t>
      </w:r>
      <w:r>
        <w:rPr>
          <w:lang w:val="fr-CH"/>
        </w:rPr>
        <w:t>échange d</w:t>
      </w:r>
      <w:r w:rsidR="00B44F16">
        <w:rPr>
          <w:lang w:val="fr-CH"/>
        </w:rPr>
        <w:t>'</w:t>
      </w:r>
      <w:r>
        <w:rPr>
          <w:lang w:val="fr-CH"/>
        </w:rPr>
        <w:t xml:space="preserve">informations de </w:t>
      </w:r>
      <w:proofErr w:type="spellStart"/>
      <w:r>
        <w:rPr>
          <w:lang w:val="fr-CH"/>
        </w:rPr>
        <w:t>cybersécurité</w:t>
      </w:r>
      <w:proofErr w:type="spellEnd"/>
      <w:r w:rsidRPr="00375028">
        <w:rPr>
          <w:lang w:val="fr-CH"/>
        </w:rPr>
        <w:br/>
      </w:r>
      <w:r w:rsidRPr="00375028">
        <w:rPr>
          <w:szCs w:val="24"/>
          <w:lang w:val="fr-CH"/>
        </w:rPr>
        <w:t>COM 17 – R 42</w:t>
      </w:r>
    </w:p>
    <w:p w:rsidR="006C0F28" w:rsidRPr="002417D9" w:rsidRDefault="006C0F28" w:rsidP="00252DDC">
      <w:pPr>
        <w:pStyle w:val="Headingb0"/>
        <w:rPr>
          <w:bCs/>
          <w:lang w:val="fr-CH"/>
        </w:rPr>
      </w:pPr>
      <w:r w:rsidRPr="002417D9">
        <w:rPr>
          <w:bCs/>
          <w:lang w:val="fr-CH"/>
        </w:rPr>
        <w:t>Résumé</w:t>
      </w:r>
    </w:p>
    <w:p w:rsidR="006C0F28" w:rsidRDefault="006C0F28" w:rsidP="008D01D1">
      <w:pPr>
        <w:rPr>
          <w:lang w:val="fr-CH"/>
        </w:rPr>
      </w:pPr>
      <w:r>
        <w:rPr>
          <w:lang w:val="fr-CH"/>
        </w:rPr>
        <w:t>Cette Recommandation porte sur l</w:t>
      </w:r>
      <w:r w:rsidR="00B44F16">
        <w:rPr>
          <w:lang w:val="fr-CH"/>
        </w:rPr>
        <w:t>'</w:t>
      </w:r>
      <w:r>
        <w:rPr>
          <w:lang w:val="fr-CH"/>
        </w:rPr>
        <w:t>enregistrement d</w:t>
      </w:r>
      <w:r w:rsidR="00B44F16">
        <w:rPr>
          <w:lang w:val="fr-CH"/>
        </w:rPr>
        <w:t>'</w:t>
      </w:r>
      <w:r>
        <w:rPr>
          <w:lang w:val="fr-CH"/>
        </w:rPr>
        <w:t>arcs d</w:t>
      </w:r>
      <w:r w:rsidR="00B44F16">
        <w:rPr>
          <w:lang w:val="fr-CH"/>
        </w:rPr>
        <w:t>'</w:t>
      </w:r>
      <w:r>
        <w:rPr>
          <w:lang w:val="fr-CH"/>
        </w:rPr>
        <w:t>identificateur d</w:t>
      </w:r>
      <w:r w:rsidR="00B44F16">
        <w:rPr>
          <w:lang w:val="fr-CH"/>
        </w:rPr>
        <w:t>'</w:t>
      </w:r>
      <w:r>
        <w:rPr>
          <w:lang w:val="fr-CH"/>
        </w:rPr>
        <w:t xml:space="preserve">objet (OID, </w:t>
      </w:r>
      <w:r>
        <w:rPr>
          <w:i/>
          <w:iCs/>
          <w:lang w:val="fr-CH"/>
        </w:rPr>
        <w:t>objet identifier</w:t>
      </w:r>
      <w:r>
        <w:rPr>
          <w:lang w:val="fr-CH"/>
        </w:rPr>
        <w:t xml:space="preserve">) qui permettent une identification cohérente, unique et mondiale des informations de </w:t>
      </w:r>
      <w:proofErr w:type="spellStart"/>
      <w:r>
        <w:rPr>
          <w:lang w:val="fr-CH"/>
        </w:rPr>
        <w:t>cybersécurité</w:t>
      </w:r>
      <w:proofErr w:type="spellEnd"/>
      <w:r>
        <w:rPr>
          <w:lang w:val="fr-CH"/>
        </w:rPr>
        <w:t xml:space="preserve"> ainsi que des organismes s</w:t>
      </w:r>
      <w:r w:rsidR="00B44F16">
        <w:rPr>
          <w:lang w:val="fr-CH"/>
        </w:rPr>
        <w:t>'</w:t>
      </w:r>
      <w:r>
        <w:rPr>
          <w:lang w:val="fr-CH"/>
        </w:rPr>
        <w:t>échangeant ces informations et des politiques associées. Cette Recommandation spécifie les informations et les justifications devant être fournies lors de la demande d</w:t>
      </w:r>
      <w:r w:rsidR="00B44F16">
        <w:rPr>
          <w:lang w:val="fr-CH"/>
        </w:rPr>
        <w:t>'</w:t>
      </w:r>
      <w:r>
        <w:rPr>
          <w:lang w:val="fr-CH"/>
        </w:rPr>
        <w:t>une identification OID aux fins de l</w:t>
      </w:r>
      <w:r w:rsidR="00B44F16">
        <w:rPr>
          <w:lang w:val="fr-CH"/>
        </w:rPr>
        <w:t>'</w:t>
      </w:r>
      <w:r>
        <w:rPr>
          <w:lang w:val="fr-CH"/>
        </w:rPr>
        <w:t>échange d</w:t>
      </w:r>
      <w:r w:rsidR="00B44F16">
        <w:rPr>
          <w:lang w:val="fr-CH"/>
        </w:rPr>
        <w:t>'</w:t>
      </w:r>
      <w:r>
        <w:rPr>
          <w:lang w:val="fr-CH"/>
        </w:rPr>
        <w:t xml:space="preserve">informations de </w:t>
      </w:r>
      <w:proofErr w:type="spellStart"/>
      <w:r>
        <w:rPr>
          <w:lang w:val="fr-CH"/>
        </w:rPr>
        <w:t>cybersécurité</w:t>
      </w:r>
      <w:proofErr w:type="spellEnd"/>
      <w:r>
        <w:rPr>
          <w:lang w:val="fr-CH"/>
        </w:rPr>
        <w:t xml:space="preserve"> et les procédures appliquées par l</w:t>
      </w:r>
      <w:r w:rsidR="00B44F16">
        <w:rPr>
          <w:lang w:val="fr-CH"/>
        </w:rPr>
        <w:t>'</w:t>
      </w:r>
      <w:r>
        <w:rPr>
          <w:lang w:val="fr-CH"/>
        </w:rPr>
        <w:t>organisme d</w:t>
      </w:r>
      <w:r w:rsidR="00B44F16">
        <w:rPr>
          <w:lang w:val="fr-CH"/>
        </w:rPr>
        <w:t>'</w:t>
      </w:r>
      <w:r>
        <w:rPr>
          <w:lang w:val="fr-CH"/>
        </w:rPr>
        <w:t>enregistrement.</w:t>
      </w:r>
    </w:p>
    <w:p w:rsidR="006C0F28" w:rsidRPr="00375028" w:rsidRDefault="006C0F28" w:rsidP="00EA7A99">
      <w:pPr>
        <w:pStyle w:val="headingb"/>
        <w:rPr>
          <w:szCs w:val="24"/>
          <w:lang w:val="fr-CH"/>
        </w:rPr>
      </w:pPr>
      <w:r>
        <w:rPr>
          <w:lang w:val="fr-CH"/>
        </w:rPr>
        <w:t>Projet de Recommandation UIT</w:t>
      </w:r>
      <w:r w:rsidRPr="00375028">
        <w:rPr>
          <w:lang w:val="fr-CH"/>
        </w:rPr>
        <w:t>-T X.1524 (</w:t>
      </w:r>
      <w:proofErr w:type="spellStart"/>
      <w:r w:rsidRPr="00375028">
        <w:rPr>
          <w:lang w:val="fr-CH"/>
        </w:rPr>
        <w:t>X.cwe</w:t>
      </w:r>
      <w:proofErr w:type="spellEnd"/>
      <w:r w:rsidRPr="00375028">
        <w:rPr>
          <w:lang w:val="fr-CH"/>
        </w:rPr>
        <w:t xml:space="preserve">), </w:t>
      </w:r>
      <w:r>
        <w:rPr>
          <w:lang w:val="fr-CH"/>
        </w:rPr>
        <w:t>Liste des failles courantes</w:t>
      </w:r>
      <w:r w:rsidRPr="00375028">
        <w:rPr>
          <w:lang w:val="fr-CH"/>
        </w:rPr>
        <w:br/>
      </w:r>
      <w:r w:rsidRPr="00375028">
        <w:rPr>
          <w:szCs w:val="24"/>
          <w:lang w:val="fr-CH"/>
        </w:rPr>
        <w:t>COM 17 – R 43</w:t>
      </w:r>
    </w:p>
    <w:p w:rsidR="006C0F28" w:rsidRPr="00375028" w:rsidRDefault="006C0F28" w:rsidP="00252DDC">
      <w:pPr>
        <w:pStyle w:val="headingb"/>
        <w:rPr>
          <w:rFonts w:eastAsia="MS Mincho"/>
          <w:lang w:val="fr-CH" w:eastAsia="ja-JP"/>
        </w:rPr>
      </w:pPr>
      <w:r>
        <w:rPr>
          <w:lang w:val="fr-CH"/>
        </w:rPr>
        <w:t>Résumé</w:t>
      </w:r>
    </w:p>
    <w:p w:rsidR="006C0F28" w:rsidRDefault="006C0F28" w:rsidP="006C0F28">
      <w:pPr>
        <w:rPr>
          <w:lang w:val="fr-CH"/>
        </w:rPr>
      </w:pPr>
      <w:r>
        <w:rPr>
          <w:lang w:val="fr-CH"/>
        </w:rPr>
        <w:t>Cette Recommandation sur l</w:t>
      </w:r>
      <w:r w:rsidR="00B44F16">
        <w:rPr>
          <w:lang w:val="fr-CH"/>
        </w:rPr>
        <w:t>'</w:t>
      </w:r>
      <w:r>
        <w:rPr>
          <w:lang w:val="fr-CH"/>
        </w:rPr>
        <w:t xml:space="preserve">emploi de la liste des failles courantes (CWE, </w:t>
      </w:r>
      <w:proofErr w:type="spellStart"/>
      <w:r>
        <w:rPr>
          <w:i/>
          <w:iCs/>
          <w:lang w:val="fr-CH"/>
        </w:rPr>
        <w:t>common</w:t>
      </w:r>
      <w:proofErr w:type="spellEnd"/>
      <w:r>
        <w:rPr>
          <w:i/>
          <w:iCs/>
          <w:lang w:val="fr-CH"/>
        </w:rPr>
        <w:t xml:space="preserve"> </w:t>
      </w:r>
      <w:proofErr w:type="spellStart"/>
      <w:r>
        <w:rPr>
          <w:i/>
          <w:iCs/>
          <w:lang w:val="fr-CH"/>
        </w:rPr>
        <w:t>weakness</w:t>
      </w:r>
      <w:proofErr w:type="spellEnd"/>
      <w:r>
        <w:rPr>
          <w:i/>
          <w:iCs/>
          <w:lang w:val="fr-CH"/>
        </w:rPr>
        <w:t xml:space="preserve"> </w:t>
      </w:r>
      <w:proofErr w:type="spellStart"/>
      <w:r>
        <w:rPr>
          <w:i/>
          <w:iCs/>
          <w:lang w:val="fr-CH"/>
        </w:rPr>
        <w:t>enumeration</w:t>
      </w:r>
      <w:proofErr w:type="spellEnd"/>
      <w:r>
        <w:rPr>
          <w:lang w:val="fr-CH"/>
        </w:rPr>
        <w:t>) contient une méthode structurée, permettant de s</w:t>
      </w:r>
      <w:r w:rsidR="00B44F16">
        <w:rPr>
          <w:lang w:val="fr-CH"/>
        </w:rPr>
        <w:t>'</w:t>
      </w:r>
      <w:r>
        <w:rPr>
          <w:lang w:val="fr-CH"/>
        </w:rPr>
        <w:t>échanger les failles en matière de sécurité des informations, qui fournit les noms courants des problèmes connus du public, présents dans les logiciels commerciaux ou libres, utilisés dans les réseaux de communication, dans les dispositifs d</w:t>
      </w:r>
      <w:r w:rsidR="00B44F16">
        <w:rPr>
          <w:lang w:val="fr-CH"/>
        </w:rPr>
        <w:t>'</w:t>
      </w:r>
      <w:r>
        <w:rPr>
          <w:lang w:val="fr-CH"/>
        </w:rPr>
        <w:t>utilisateur final ou dans tout autre équipement employant la technologie de l</w:t>
      </w:r>
      <w:r w:rsidR="00B44F16">
        <w:rPr>
          <w:lang w:val="fr-CH"/>
        </w:rPr>
        <w:t>'</w:t>
      </w:r>
      <w:r>
        <w:rPr>
          <w:lang w:val="fr-CH"/>
        </w:rPr>
        <w:t>information et de la communication (TIC), qui assure l</w:t>
      </w:r>
      <w:r w:rsidR="00B44F16">
        <w:rPr>
          <w:lang w:val="fr-CH"/>
        </w:rPr>
        <w:t>'</w:t>
      </w:r>
      <w:r>
        <w:rPr>
          <w:lang w:val="fr-CH"/>
        </w:rPr>
        <w:t>exploitation d</w:t>
      </w:r>
      <w:r w:rsidR="00B44F16">
        <w:rPr>
          <w:lang w:val="fr-CH"/>
        </w:rPr>
        <w:t>'</w:t>
      </w:r>
      <w:r>
        <w:rPr>
          <w:lang w:val="fr-CH"/>
        </w:rPr>
        <w:t>un logiciel. La liste CWE a pour objet de rendre possible une discussion, une description, un choix et un emploi</w:t>
      </w:r>
      <w:r w:rsidRPr="000D6106">
        <w:rPr>
          <w:lang w:val="fr-CH"/>
        </w:rPr>
        <w:t xml:space="preserve"> </w:t>
      </w:r>
      <w:r>
        <w:rPr>
          <w:lang w:val="fr-CH"/>
        </w:rPr>
        <w:t>plus efficaces d</w:t>
      </w:r>
      <w:r w:rsidR="00B44F16">
        <w:rPr>
          <w:lang w:val="fr-CH"/>
        </w:rPr>
        <w:t>'</w:t>
      </w:r>
      <w:r>
        <w:rPr>
          <w:lang w:val="fr-CH"/>
        </w:rPr>
        <w:t>outils et de services de sécurité logicielle, qui permettent de repérer les failles dans le code source et dans les systèmes opérationnels, ainsi qu</w:t>
      </w:r>
      <w:r w:rsidR="00B44F16">
        <w:rPr>
          <w:lang w:val="fr-CH"/>
        </w:rPr>
        <w:t>'</w:t>
      </w:r>
      <w:r>
        <w:rPr>
          <w:lang w:val="fr-CH"/>
        </w:rPr>
        <w:t>une compréhension et une gestion meilleures des failles logicielles liées à l</w:t>
      </w:r>
      <w:r w:rsidR="00B44F16">
        <w:rPr>
          <w:lang w:val="fr-CH"/>
        </w:rPr>
        <w:t>'</w:t>
      </w:r>
      <w:r>
        <w:rPr>
          <w:lang w:val="fr-CH"/>
        </w:rPr>
        <w:t>architecture et à la conception. Cette Recommandation in</w:t>
      </w:r>
      <w:r w:rsidR="00F46448">
        <w:rPr>
          <w:lang w:val="fr-CH"/>
        </w:rPr>
        <w:t>dique comment employer la liste </w:t>
      </w:r>
      <w:r>
        <w:rPr>
          <w:lang w:val="fr-CH"/>
        </w:rPr>
        <w:t>CWE pour mettre au point un système permettant d</w:t>
      </w:r>
      <w:r w:rsidR="00B44F16">
        <w:rPr>
          <w:lang w:val="fr-CH"/>
        </w:rPr>
        <w:t>'</w:t>
      </w:r>
      <w:r>
        <w:rPr>
          <w:lang w:val="fr-CH"/>
        </w:rPr>
        <w:t>employer simultanément les outils et les services de sécurité logicielle, les connaissances de base en la matière et d</w:t>
      </w:r>
      <w:r w:rsidR="00B44F16">
        <w:rPr>
          <w:lang w:val="fr-CH"/>
        </w:rPr>
        <w:t>'</w:t>
      </w:r>
      <w:r>
        <w:rPr>
          <w:lang w:val="fr-CH"/>
        </w:rPr>
        <w:t>autres capacités, et pour faciliter la comparaison desdits outils et services de sécurité. La liste CWE offre aussi des informations complémentaires sur les risques éventuels, les impacts, la résolution, et des informations techniques détaillées sur les conséquences possibles des failles logicielles pour un système logiciel. Le répertoire des identificateurs CWE et les informations corollaires associées sont disponibles à l</w:t>
      </w:r>
      <w:r w:rsidR="00B44F16">
        <w:rPr>
          <w:lang w:val="fr-CH"/>
        </w:rPr>
        <w:t>'</w:t>
      </w:r>
      <w:r>
        <w:rPr>
          <w:lang w:val="fr-CH"/>
        </w:rPr>
        <w:t xml:space="preserve">adresse </w:t>
      </w:r>
      <w:r w:rsidRPr="00375028">
        <w:rPr>
          <w:lang w:val="fr-CH"/>
        </w:rPr>
        <w:t>[cwe.mitre.org/data]</w:t>
      </w:r>
      <w:r>
        <w:rPr>
          <w:lang w:val="fr-CH"/>
        </w:rPr>
        <w:t xml:space="preserve"> en format XML ou </w:t>
      </w:r>
      <w:proofErr w:type="spellStart"/>
      <w:r>
        <w:rPr>
          <w:lang w:val="fr-CH"/>
        </w:rPr>
        <w:t>pdf</w:t>
      </w:r>
      <w:proofErr w:type="spellEnd"/>
      <w:r>
        <w:rPr>
          <w:lang w:val="fr-CH"/>
        </w:rPr>
        <w:t>. Une version du même contenu, accessible par Internet, est disponible à l</w:t>
      </w:r>
      <w:r w:rsidR="00B44F16">
        <w:rPr>
          <w:lang w:val="fr-CH"/>
        </w:rPr>
        <w:t>'</w:t>
      </w:r>
      <w:r>
        <w:rPr>
          <w:lang w:val="fr-CH"/>
        </w:rPr>
        <w:t xml:space="preserve">adresse </w:t>
      </w:r>
      <w:r w:rsidRPr="00375028">
        <w:rPr>
          <w:lang w:val="fr-CH"/>
        </w:rPr>
        <w:t>[http://cwe.mitre.org/data/slices/2000.html]</w:t>
      </w:r>
      <w:r>
        <w:rPr>
          <w:lang w:val="fr-CH"/>
        </w:rPr>
        <w:t>.</w:t>
      </w:r>
    </w:p>
    <w:p w:rsidR="006C0F28" w:rsidRPr="00375028" w:rsidRDefault="006C0F28" w:rsidP="008D01D1">
      <w:pPr>
        <w:rPr>
          <w:lang w:val="fr-CH"/>
        </w:rPr>
      </w:pPr>
      <w:r>
        <w:rPr>
          <w:lang w:val="fr-CH"/>
        </w:rPr>
        <w:lastRenderedPageBreak/>
        <w:t>L</w:t>
      </w:r>
      <w:r w:rsidR="00B44F16">
        <w:rPr>
          <w:lang w:val="fr-CH"/>
        </w:rPr>
        <w:t>'</w:t>
      </w:r>
      <w:r>
        <w:rPr>
          <w:lang w:val="fr-CH"/>
        </w:rPr>
        <w:t>objectif de la liste CWE, dont l</w:t>
      </w:r>
      <w:r w:rsidR="00B44F16">
        <w:rPr>
          <w:lang w:val="fr-CH"/>
        </w:rPr>
        <w:t>'</w:t>
      </w:r>
      <w:r>
        <w:rPr>
          <w:lang w:val="fr-CH"/>
        </w:rPr>
        <w:t>emploi est décrit dans cette Recommandation, est d</w:t>
      </w:r>
      <w:r w:rsidR="00B44F16">
        <w:rPr>
          <w:lang w:val="fr-CH"/>
        </w:rPr>
        <w:t>'</w:t>
      </w:r>
      <w:r>
        <w:rPr>
          <w:lang w:val="fr-CH"/>
        </w:rPr>
        <w:t>être exhaustive en pour ce qui est de l</w:t>
      </w:r>
      <w:r w:rsidR="00B44F16">
        <w:rPr>
          <w:lang w:val="fr-CH"/>
        </w:rPr>
        <w:t>'</w:t>
      </w:r>
      <w:r>
        <w:rPr>
          <w:lang w:val="fr-CH"/>
        </w:rPr>
        <w:t>architecture logicielle, la conception, le codage et les erreurs de déploiement qui sont la cause profonde des vulnérabilités et des expositions. Tandis que la liste CWE est conçue pour contenir des informations solides, elle a pour principal objet de recenser, de faire connaître et de décrire cette cause profonde des vulnérabilités et des expositions, de manière que celles-ci puissent être évitées par les développeurs, éprouvées pour les équipes de développement et gérées par elles, et être systématiquement signalées par les outils et les services de sécurité.</w:t>
      </w:r>
    </w:p>
    <w:p w:rsidR="006C0F28" w:rsidRPr="00375028" w:rsidRDefault="006C0F28" w:rsidP="006C0F28">
      <w:pPr>
        <w:keepNext/>
        <w:spacing w:before="240"/>
        <w:rPr>
          <w:b/>
          <w:bCs/>
          <w:szCs w:val="24"/>
          <w:lang w:val="fr-CH"/>
        </w:rPr>
      </w:pPr>
      <w:r>
        <w:rPr>
          <w:b/>
          <w:bCs/>
          <w:lang w:val="fr-CH"/>
        </w:rPr>
        <w:t>Projet de Recommandation UIT</w:t>
      </w:r>
      <w:r w:rsidRPr="00375028">
        <w:rPr>
          <w:b/>
          <w:bCs/>
          <w:szCs w:val="24"/>
          <w:lang w:val="fr-CH"/>
        </w:rPr>
        <w:t>-T X.1541 (</w:t>
      </w:r>
      <w:proofErr w:type="spellStart"/>
      <w:r w:rsidRPr="00375028">
        <w:rPr>
          <w:b/>
          <w:bCs/>
          <w:szCs w:val="24"/>
          <w:lang w:val="fr-CH"/>
        </w:rPr>
        <w:t>X.iodef</w:t>
      </w:r>
      <w:proofErr w:type="spellEnd"/>
      <w:r w:rsidRPr="00375028">
        <w:rPr>
          <w:b/>
          <w:bCs/>
          <w:szCs w:val="24"/>
          <w:lang w:val="fr-CH"/>
        </w:rPr>
        <w:t xml:space="preserve">), </w:t>
      </w:r>
      <w:r>
        <w:rPr>
          <w:b/>
          <w:bCs/>
          <w:szCs w:val="24"/>
          <w:lang w:val="fr-CH"/>
        </w:rPr>
        <w:t>Format d</w:t>
      </w:r>
      <w:r w:rsidR="00B44F16">
        <w:rPr>
          <w:b/>
          <w:bCs/>
          <w:szCs w:val="24"/>
          <w:lang w:val="fr-CH"/>
        </w:rPr>
        <w:t>'</w:t>
      </w:r>
      <w:r>
        <w:rPr>
          <w:b/>
          <w:bCs/>
          <w:szCs w:val="24"/>
          <w:lang w:val="fr-CH"/>
        </w:rPr>
        <w:t>échange de description d</w:t>
      </w:r>
      <w:r w:rsidR="00B44F16">
        <w:rPr>
          <w:b/>
          <w:bCs/>
          <w:szCs w:val="24"/>
          <w:lang w:val="fr-CH"/>
        </w:rPr>
        <w:t>'</w:t>
      </w:r>
      <w:r w:rsidR="00EB19A2">
        <w:rPr>
          <w:b/>
          <w:bCs/>
          <w:szCs w:val="24"/>
          <w:lang w:val="fr-CH"/>
        </w:rPr>
        <w:t>objet </w:t>
      </w:r>
      <w:r>
        <w:rPr>
          <w:b/>
          <w:bCs/>
          <w:szCs w:val="24"/>
          <w:lang w:val="fr-CH"/>
        </w:rPr>
        <w:t>incident</w:t>
      </w:r>
      <w:r w:rsidRPr="00375028">
        <w:rPr>
          <w:b/>
          <w:bCs/>
          <w:szCs w:val="24"/>
          <w:lang w:val="fr-CH"/>
        </w:rPr>
        <w:br/>
        <w:t>COM 17 – R 44</w:t>
      </w:r>
    </w:p>
    <w:p w:rsidR="006C0F28" w:rsidRPr="00E02807" w:rsidRDefault="006C0F28" w:rsidP="006C0F28">
      <w:pPr>
        <w:pStyle w:val="Headingb0"/>
        <w:rPr>
          <w:bCs/>
          <w:lang w:val="fr-CH"/>
        </w:rPr>
      </w:pPr>
      <w:r w:rsidRPr="00E02807">
        <w:rPr>
          <w:bCs/>
          <w:lang w:val="fr-CH"/>
        </w:rPr>
        <w:t>Résumé</w:t>
      </w:r>
    </w:p>
    <w:p w:rsidR="006C0F28" w:rsidRDefault="006C0F28" w:rsidP="008D01D1">
      <w:pPr>
        <w:rPr>
          <w:lang w:val="fr-CH"/>
        </w:rPr>
      </w:pPr>
      <w:r>
        <w:rPr>
          <w:lang w:val="fr-CH"/>
        </w:rPr>
        <w:t>Le format d</w:t>
      </w:r>
      <w:r w:rsidR="00B44F16">
        <w:rPr>
          <w:lang w:val="fr-CH"/>
        </w:rPr>
        <w:t>'</w:t>
      </w:r>
      <w:r>
        <w:rPr>
          <w:lang w:val="fr-CH"/>
        </w:rPr>
        <w:t>échange de description d</w:t>
      </w:r>
      <w:r w:rsidR="00B44F16">
        <w:rPr>
          <w:lang w:val="fr-CH"/>
        </w:rPr>
        <w:t>'</w:t>
      </w:r>
      <w:r>
        <w:rPr>
          <w:lang w:val="fr-CH"/>
        </w:rPr>
        <w:t>objet incident</w:t>
      </w:r>
      <w:r w:rsidRPr="00375028">
        <w:rPr>
          <w:lang w:val="fr-CH"/>
        </w:rPr>
        <w:t xml:space="preserve"> (IODEF</w:t>
      </w:r>
      <w:r>
        <w:rPr>
          <w:lang w:val="fr-CH"/>
        </w:rPr>
        <w:t>,</w:t>
      </w:r>
      <w:r w:rsidRPr="00375028">
        <w:rPr>
          <w:lang w:val="fr-CH"/>
        </w:rPr>
        <w:t xml:space="preserve"> </w:t>
      </w:r>
      <w:r w:rsidRPr="002C0A6D">
        <w:rPr>
          <w:i/>
          <w:iCs/>
          <w:lang w:val="fr-CH"/>
        </w:rPr>
        <w:t xml:space="preserve">incident </w:t>
      </w:r>
      <w:proofErr w:type="spellStart"/>
      <w:r w:rsidRPr="002C0A6D">
        <w:rPr>
          <w:i/>
          <w:iCs/>
          <w:lang w:val="fr-CH"/>
        </w:rPr>
        <w:t>object</w:t>
      </w:r>
      <w:proofErr w:type="spellEnd"/>
      <w:r w:rsidRPr="002C0A6D">
        <w:rPr>
          <w:i/>
          <w:iCs/>
          <w:lang w:val="fr-CH"/>
        </w:rPr>
        <w:t xml:space="preserve"> description exchange format</w:t>
      </w:r>
      <w:r w:rsidRPr="00375028">
        <w:rPr>
          <w:lang w:val="fr-CH"/>
        </w:rPr>
        <w:t xml:space="preserve">) </w:t>
      </w:r>
      <w:r>
        <w:rPr>
          <w:lang w:val="fr-CH"/>
        </w:rPr>
        <w:t>est une représentation des données qui offre un cadre au partage des informations sur les incidents en matière de sécurité informatique que s</w:t>
      </w:r>
      <w:r w:rsidR="00B44F16">
        <w:rPr>
          <w:lang w:val="fr-CH"/>
        </w:rPr>
        <w:t>'</w:t>
      </w:r>
      <w:r>
        <w:rPr>
          <w:lang w:val="fr-CH"/>
        </w:rPr>
        <w:t>échangent couramment les équipes d</w:t>
      </w:r>
      <w:r w:rsidR="00B44F16">
        <w:rPr>
          <w:lang w:val="fr-CH"/>
        </w:rPr>
        <w:t>'</w:t>
      </w:r>
      <w:r>
        <w:rPr>
          <w:lang w:val="fr-CH"/>
        </w:rPr>
        <w:t>intervention en cas d</w:t>
      </w:r>
      <w:r w:rsidR="00B44F16">
        <w:rPr>
          <w:lang w:val="fr-CH"/>
        </w:rPr>
        <w:t>'</w:t>
      </w:r>
      <w:r>
        <w:rPr>
          <w:lang w:val="fr-CH"/>
        </w:rPr>
        <w:t xml:space="preserve">incident relatif à la sécurité informatique (CSDIRT, </w:t>
      </w:r>
      <w:r w:rsidRPr="00181828">
        <w:rPr>
          <w:i/>
          <w:iCs/>
          <w:lang w:val="fr-CH"/>
        </w:rPr>
        <w:t xml:space="preserve">computer </w:t>
      </w:r>
      <w:proofErr w:type="spellStart"/>
      <w:r w:rsidRPr="00181828">
        <w:rPr>
          <w:i/>
          <w:iCs/>
          <w:lang w:val="fr-CH"/>
        </w:rPr>
        <w:t>security</w:t>
      </w:r>
      <w:proofErr w:type="spellEnd"/>
      <w:r w:rsidRPr="00181828">
        <w:rPr>
          <w:i/>
          <w:iCs/>
          <w:lang w:val="fr-CH"/>
        </w:rPr>
        <w:t xml:space="preserve"> incident </w:t>
      </w:r>
      <w:proofErr w:type="spellStart"/>
      <w:r w:rsidRPr="00181828">
        <w:rPr>
          <w:i/>
          <w:iCs/>
          <w:lang w:val="fr-CH"/>
        </w:rPr>
        <w:t>response</w:t>
      </w:r>
      <w:proofErr w:type="spellEnd"/>
      <w:r w:rsidRPr="00181828">
        <w:rPr>
          <w:i/>
          <w:iCs/>
          <w:lang w:val="fr-CH"/>
        </w:rPr>
        <w:t xml:space="preserve"> team</w:t>
      </w:r>
      <w:r>
        <w:rPr>
          <w:lang w:val="fr-CH"/>
        </w:rPr>
        <w:t>). Cette Recommandation décrit le modèle d</w:t>
      </w:r>
      <w:r w:rsidR="00B44F16">
        <w:rPr>
          <w:lang w:val="fr-CH"/>
        </w:rPr>
        <w:t>'</w:t>
      </w:r>
      <w:r>
        <w:rPr>
          <w:lang w:val="fr-CH"/>
        </w:rPr>
        <w:t>information pour le format IODEF et fournit un modèle de données associé, spécifié pour le format XML.</w:t>
      </w:r>
    </w:p>
    <w:p w:rsidR="006C0F28" w:rsidRDefault="006C0F28" w:rsidP="006C0F28">
      <w:pPr>
        <w:spacing w:before="240"/>
        <w:rPr>
          <w:lang w:val="fr-CH"/>
        </w:rPr>
      </w:pPr>
    </w:p>
    <w:p w:rsidR="006C0F28" w:rsidRDefault="006C0F28" w:rsidP="006C0F28">
      <w:pPr>
        <w:spacing w:before="240"/>
        <w:rPr>
          <w:lang w:val="fr-CH"/>
        </w:rPr>
      </w:pPr>
    </w:p>
    <w:p w:rsidR="006C0F28" w:rsidRPr="006C0F28" w:rsidRDefault="006C0F28" w:rsidP="006C0F28">
      <w:pPr>
        <w:jc w:val="center"/>
      </w:pPr>
      <w:r>
        <w:t>______________</w:t>
      </w:r>
    </w:p>
    <w:sectPr w:rsidR="006C0F28" w:rsidRPr="006C0F28" w:rsidSect="00EB19A2">
      <w:headerReference w:type="default" r:id="rId12"/>
      <w:footerReference w:type="default" r:id="rId13"/>
      <w:footerReference w:type="first" r:id="rId14"/>
      <w:pgSz w:w="11907" w:h="16840" w:code="9"/>
      <w:pgMar w:top="1134" w:right="1089" w:bottom="1134" w:left="1089" w:header="567" w:footer="68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8D" w:rsidRDefault="0031568D">
      <w:r>
        <w:separator/>
      </w:r>
    </w:p>
  </w:endnote>
  <w:endnote w:type="continuationSeparator" w:id="0">
    <w:p w:rsidR="0031568D" w:rsidRDefault="0031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8D" w:rsidRPr="00321A9D" w:rsidRDefault="00321A9D" w:rsidP="00321A9D">
    <w:pPr>
      <w:pStyle w:val="Footer"/>
      <w:rPr>
        <w:sz w:val="16"/>
        <w:lang w:val="fr-CH"/>
      </w:rPr>
    </w:pPr>
    <w:r>
      <w:rPr>
        <w:sz w:val="16"/>
        <w:lang w:val="fr-CH"/>
      </w:rPr>
      <w:t>ITU-T\BUREAU\CIRC\228</w:t>
    </w:r>
    <w:r>
      <w:rPr>
        <w:sz w:val="16"/>
        <w:lang w:val="fr-CH"/>
      </w:rPr>
      <w:t>F</w:t>
    </w:r>
    <w:r>
      <w:rPr>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31568D" w:rsidRPr="00321A9D">
      <w:trPr>
        <w:cantSplit/>
      </w:trPr>
      <w:tc>
        <w:tcPr>
          <w:tcW w:w="1062" w:type="pct"/>
          <w:tcBorders>
            <w:top w:val="single" w:sz="6" w:space="0" w:color="auto"/>
          </w:tcBorders>
          <w:tcMar>
            <w:top w:w="57" w:type="dxa"/>
          </w:tcMar>
        </w:tcPr>
        <w:p w:rsidR="0031568D" w:rsidRDefault="0031568D">
          <w:pPr>
            <w:pStyle w:val="itu"/>
          </w:pPr>
          <w:r>
            <w:t>Place des Nations</w:t>
          </w:r>
        </w:p>
      </w:tc>
      <w:tc>
        <w:tcPr>
          <w:tcW w:w="1584" w:type="pct"/>
          <w:tcBorders>
            <w:top w:val="single" w:sz="6" w:space="0" w:color="auto"/>
          </w:tcBorders>
          <w:tcMar>
            <w:top w:w="57" w:type="dxa"/>
          </w:tcMar>
        </w:tcPr>
        <w:p w:rsidR="0031568D" w:rsidRDefault="0031568D">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31568D" w:rsidRDefault="0031568D">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1568D" w:rsidRDefault="0031568D">
          <w:pPr>
            <w:pStyle w:val="itu"/>
          </w:pPr>
          <w:r>
            <w:t>E-mail:</w:t>
          </w:r>
          <w:r>
            <w:tab/>
            <w:t>itumail@itu.int</w:t>
          </w:r>
        </w:p>
      </w:tc>
    </w:tr>
    <w:tr w:rsidR="0031568D">
      <w:trPr>
        <w:cantSplit/>
      </w:trPr>
      <w:tc>
        <w:tcPr>
          <w:tcW w:w="1062" w:type="pct"/>
        </w:tcPr>
        <w:p w:rsidR="0031568D" w:rsidRDefault="0031568D">
          <w:pPr>
            <w:pStyle w:val="itu"/>
          </w:pPr>
          <w:r>
            <w:t>CH-1211 Genève 20</w:t>
          </w:r>
        </w:p>
      </w:tc>
      <w:tc>
        <w:tcPr>
          <w:tcW w:w="1584" w:type="pct"/>
        </w:tcPr>
        <w:p w:rsidR="0031568D" w:rsidRDefault="0031568D">
          <w:pPr>
            <w:pStyle w:val="itu"/>
          </w:pPr>
          <w:proofErr w:type="spellStart"/>
          <w:r>
            <w:t>Téléfax</w:t>
          </w:r>
          <w:proofErr w:type="spellEnd"/>
          <w:r>
            <w:tab/>
            <w:t>Gr3:</w:t>
          </w:r>
          <w:r>
            <w:tab/>
            <w:t>+41 22 733 72 56</w:t>
          </w:r>
        </w:p>
      </w:tc>
      <w:tc>
        <w:tcPr>
          <w:tcW w:w="1223" w:type="pct"/>
        </w:tcPr>
        <w:p w:rsidR="0031568D" w:rsidRDefault="0031568D">
          <w:pPr>
            <w:pStyle w:val="itu"/>
          </w:pPr>
          <w:proofErr w:type="spellStart"/>
          <w:r>
            <w:t>Télégramme</w:t>
          </w:r>
          <w:proofErr w:type="spellEnd"/>
          <w:r>
            <w:t xml:space="preserve"> ITU GENEVE</w:t>
          </w:r>
        </w:p>
      </w:tc>
      <w:tc>
        <w:tcPr>
          <w:tcW w:w="1131" w:type="pct"/>
        </w:tcPr>
        <w:p w:rsidR="0031568D" w:rsidRDefault="0031568D">
          <w:pPr>
            <w:pStyle w:val="itu"/>
          </w:pPr>
          <w:r>
            <w:tab/>
            <w:t>www.itu.int</w:t>
          </w:r>
        </w:p>
      </w:tc>
    </w:tr>
    <w:tr w:rsidR="0031568D">
      <w:trPr>
        <w:cantSplit/>
      </w:trPr>
      <w:tc>
        <w:tcPr>
          <w:tcW w:w="1062" w:type="pct"/>
        </w:tcPr>
        <w:p w:rsidR="0031568D" w:rsidRDefault="0031568D">
          <w:pPr>
            <w:pStyle w:val="itu"/>
          </w:pPr>
          <w:r>
            <w:t>Suisse</w:t>
          </w:r>
        </w:p>
      </w:tc>
      <w:tc>
        <w:tcPr>
          <w:tcW w:w="1584" w:type="pct"/>
        </w:tcPr>
        <w:p w:rsidR="0031568D" w:rsidRDefault="0031568D">
          <w:pPr>
            <w:pStyle w:val="itu"/>
          </w:pPr>
          <w:r>
            <w:tab/>
            <w:t>Gr4:</w:t>
          </w:r>
          <w:r>
            <w:tab/>
            <w:t>+41 22 730 65 00</w:t>
          </w:r>
        </w:p>
      </w:tc>
      <w:tc>
        <w:tcPr>
          <w:tcW w:w="1223" w:type="pct"/>
        </w:tcPr>
        <w:p w:rsidR="0031568D" w:rsidRDefault="0031568D">
          <w:pPr>
            <w:pStyle w:val="itu"/>
          </w:pPr>
        </w:p>
      </w:tc>
      <w:tc>
        <w:tcPr>
          <w:tcW w:w="1131" w:type="pct"/>
        </w:tcPr>
        <w:p w:rsidR="0031568D" w:rsidRDefault="0031568D">
          <w:pPr>
            <w:pStyle w:val="itu"/>
          </w:pPr>
        </w:p>
      </w:tc>
    </w:tr>
  </w:tbl>
  <w:p w:rsidR="0031568D" w:rsidRPr="002417D9" w:rsidRDefault="0031568D" w:rsidP="00241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8D" w:rsidRDefault="0031568D">
      <w:r>
        <w:t>____________________</w:t>
      </w:r>
    </w:p>
  </w:footnote>
  <w:footnote w:type="continuationSeparator" w:id="0">
    <w:p w:rsidR="0031568D" w:rsidRDefault="00315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378"/>
      <w:docPartObj>
        <w:docPartGallery w:val="Page Numbers (Top of Page)"/>
        <w:docPartUnique/>
      </w:docPartObj>
    </w:sdtPr>
    <w:sdtEndPr>
      <w:rPr>
        <w:noProof/>
        <w:sz w:val="18"/>
        <w:szCs w:val="18"/>
      </w:rPr>
    </w:sdtEndPr>
    <w:sdtContent>
      <w:p w:rsidR="0031568D" w:rsidRPr="00F46448" w:rsidRDefault="00321A9D">
        <w:pPr>
          <w:pStyle w:val="Header"/>
          <w:rPr>
            <w:sz w:val="18"/>
            <w:szCs w:val="18"/>
          </w:rPr>
        </w:pPr>
        <w:r>
          <w:t xml:space="preserve">- </w:t>
        </w:r>
        <w:r w:rsidR="0031568D" w:rsidRPr="00F46448">
          <w:rPr>
            <w:sz w:val="18"/>
            <w:szCs w:val="18"/>
          </w:rPr>
          <w:fldChar w:fldCharType="begin"/>
        </w:r>
        <w:r w:rsidR="0031568D" w:rsidRPr="00F46448">
          <w:rPr>
            <w:sz w:val="18"/>
            <w:szCs w:val="18"/>
          </w:rPr>
          <w:instrText xml:space="preserve"> PAGE   \* MERGEFORMAT </w:instrText>
        </w:r>
        <w:r w:rsidR="0031568D" w:rsidRPr="00F46448">
          <w:rPr>
            <w:sz w:val="18"/>
            <w:szCs w:val="18"/>
          </w:rPr>
          <w:fldChar w:fldCharType="separate"/>
        </w:r>
        <w:r>
          <w:rPr>
            <w:noProof/>
            <w:sz w:val="18"/>
            <w:szCs w:val="18"/>
          </w:rPr>
          <w:t>2</w:t>
        </w:r>
        <w:r w:rsidR="0031568D" w:rsidRPr="00F46448">
          <w:rPr>
            <w:noProof/>
            <w:sz w:val="18"/>
            <w:szCs w:val="18"/>
          </w:rPr>
          <w:fldChar w:fldCharType="end"/>
        </w:r>
        <w:r>
          <w:rPr>
            <w:noProof/>
            <w:sz w:val="18"/>
            <w:szCs w:val="18"/>
          </w:rPr>
          <w:t xml:space="preserve"> -</w:t>
        </w:r>
      </w:p>
    </w:sdtContent>
  </w:sdt>
  <w:p w:rsidR="0031568D" w:rsidRPr="00252DDC" w:rsidRDefault="0031568D">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77"/>
    <w:rsid w:val="000039EE"/>
    <w:rsid w:val="00005622"/>
    <w:rsid w:val="000160A2"/>
    <w:rsid w:val="0002519E"/>
    <w:rsid w:val="00035B43"/>
    <w:rsid w:val="000758B3"/>
    <w:rsid w:val="000B0D96"/>
    <w:rsid w:val="000B59D8"/>
    <w:rsid w:val="000C56BE"/>
    <w:rsid w:val="001026FD"/>
    <w:rsid w:val="00115DD7"/>
    <w:rsid w:val="00167472"/>
    <w:rsid w:val="00167F92"/>
    <w:rsid w:val="00173738"/>
    <w:rsid w:val="001B79A3"/>
    <w:rsid w:val="002152A3"/>
    <w:rsid w:val="002417D9"/>
    <w:rsid w:val="00252DDC"/>
    <w:rsid w:val="0031568D"/>
    <w:rsid w:val="00321A9D"/>
    <w:rsid w:val="00333A80"/>
    <w:rsid w:val="00364E95"/>
    <w:rsid w:val="00372875"/>
    <w:rsid w:val="00395731"/>
    <w:rsid w:val="003B1E80"/>
    <w:rsid w:val="003B66E8"/>
    <w:rsid w:val="004033F1"/>
    <w:rsid w:val="00414B0C"/>
    <w:rsid w:val="004257AC"/>
    <w:rsid w:val="0043711B"/>
    <w:rsid w:val="00482477"/>
    <w:rsid w:val="004B732E"/>
    <w:rsid w:val="004D51F4"/>
    <w:rsid w:val="004D64E0"/>
    <w:rsid w:val="0051210D"/>
    <w:rsid w:val="005136D2"/>
    <w:rsid w:val="00517A03"/>
    <w:rsid w:val="005A3DD9"/>
    <w:rsid w:val="005B1DFC"/>
    <w:rsid w:val="00601682"/>
    <w:rsid w:val="006333F7"/>
    <w:rsid w:val="006427A1"/>
    <w:rsid w:val="00644741"/>
    <w:rsid w:val="00660D4F"/>
    <w:rsid w:val="00681E50"/>
    <w:rsid w:val="006A6FFE"/>
    <w:rsid w:val="006C0F28"/>
    <w:rsid w:val="006C5A91"/>
    <w:rsid w:val="00716BBC"/>
    <w:rsid w:val="007321BC"/>
    <w:rsid w:val="00760063"/>
    <w:rsid w:val="00775E4B"/>
    <w:rsid w:val="0079553B"/>
    <w:rsid w:val="007A40FE"/>
    <w:rsid w:val="00810105"/>
    <w:rsid w:val="008157E0"/>
    <w:rsid w:val="00854E1D"/>
    <w:rsid w:val="00887FA6"/>
    <w:rsid w:val="008C4397"/>
    <w:rsid w:val="008C465A"/>
    <w:rsid w:val="008D01D1"/>
    <w:rsid w:val="008F2C9B"/>
    <w:rsid w:val="00923CD6"/>
    <w:rsid w:val="00935AA8"/>
    <w:rsid w:val="00971C9A"/>
    <w:rsid w:val="009D51FA"/>
    <w:rsid w:val="009F1E23"/>
    <w:rsid w:val="00A15179"/>
    <w:rsid w:val="00A25F27"/>
    <w:rsid w:val="00A51537"/>
    <w:rsid w:val="00A5280F"/>
    <w:rsid w:val="00A60FC1"/>
    <w:rsid w:val="00A97C37"/>
    <w:rsid w:val="00AC37B5"/>
    <w:rsid w:val="00AD752F"/>
    <w:rsid w:val="00B27B41"/>
    <w:rsid w:val="00B44F16"/>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72AE1"/>
    <w:rsid w:val="00EA7A99"/>
    <w:rsid w:val="00EB19A2"/>
    <w:rsid w:val="00ED6A7A"/>
    <w:rsid w:val="00F346CE"/>
    <w:rsid w:val="00F34F98"/>
    <w:rsid w:val="00F40540"/>
    <w:rsid w:val="00F46448"/>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alloonText">
    <w:name w:val="Balloon Text"/>
    <w:basedOn w:val="Normal"/>
    <w:link w:val="BalloonTextChar"/>
    <w:rsid w:val="00482477"/>
    <w:pPr>
      <w:spacing w:before="0"/>
    </w:pPr>
    <w:rPr>
      <w:rFonts w:ascii="Tahoma" w:hAnsi="Tahoma" w:cs="Tahoma"/>
      <w:sz w:val="16"/>
      <w:szCs w:val="16"/>
    </w:rPr>
  </w:style>
  <w:style w:type="character" w:customStyle="1" w:styleId="BalloonTextChar">
    <w:name w:val="Balloon Text Char"/>
    <w:basedOn w:val="DefaultParagraphFont"/>
    <w:link w:val="BalloonText"/>
    <w:rsid w:val="00482477"/>
    <w:rPr>
      <w:rFonts w:ascii="Tahoma" w:hAnsi="Tahoma" w:cs="Tahoma"/>
      <w:sz w:val="16"/>
      <w:szCs w:val="16"/>
      <w:lang w:val="fr-FR" w:eastAsia="en-US"/>
    </w:rPr>
  </w:style>
  <w:style w:type="paragraph" w:customStyle="1" w:styleId="Headingb0">
    <w:name w:val="Heading_b"/>
    <w:basedOn w:val="Normal"/>
    <w:next w:val="Normal"/>
    <w:rsid w:val="006C0F28"/>
    <w:pPr>
      <w:keepNext/>
      <w:spacing w:before="160"/>
    </w:pPr>
    <w:rPr>
      <w:rFonts w:eastAsia="MS Mincho"/>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alloonText">
    <w:name w:val="Balloon Text"/>
    <w:basedOn w:val="Normal"/>
    <w:link w:val="BalloonTextChar"/>
    <w:rsid w:val="00482477"/>
    <w:pPr>
      <w:spacing w:before="0"/>
    </w:pPr>
    <w:rPr>
      <w:rFonts w:ascii="Tahoma" w:hAnsi="Tahoma" w:cs="Tahoma"/>
      <w:sz w:val="16"/>
      <w:szCs w:val="16"/>
    </w:rPr>
  </w:style>
  <w:style w:type="character" w:customStyle="1" w:styleId="BalloonTextChar">
    <w:name w:val="Balloon Text Char"/>
    <w:basedOn w:val="DefaultParagraphFont"/>
    <w:link w:val="BalloonText"/>
    <w:rsid w:val="00482477"/>
    <w:rPr>
      <w:rFonts w:ascii="Tahoma" w:hAnsi="Tahoma" w:cs="Tahoma"/>
      <w:sz w:val="16"/>
      <w:szCs w:val="16"/>
      <w:lang w:val="fr-FR" w:eastAsia="en-US"/>
    </w:rPr>
  </w:style>
  <w:style w:type="paragraph" w:customStyle="1" w:styleId="Headingb0">
    <w:name w:val="Heading_b"/>
    <w:basedOn w:val="Normal"/>
    <w:next w:val="Normal"/>
    <w:rsid w:val="006C0F28"/>
    <w:pPr>
      <w:keepNext/>
      <w:spacing w:before="160"/>
    </w:pPr>
    <w:rPr>
      <w:rFonts w:eastAsia="MS Mincho"/>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09A1-10E0-4E0C-87E3-CF98E458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55</TotalTime>
  <Pages>4</Pages>
  <Words>1277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8886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Arnould, Carinne-Jeanne</dc:creator>
  <cp:keywords/>
  <dc:description/>
  <cp:lastModifiedBy>Norton Viard, Emma</cp:lastModifiedBy>
  <cp:revision>13</cp:revision>
  <cp:lastPrinted>2011-09-14T17:13:00Z</cp:lastPrinted>
  <dcterms:created xsi:type="dcterms:W3CDTF">2011-09-14T12:22:00Z</dcterms:created>
  <dcterms:modified xsi:type="dcterms:W3CDTF">2011-09-22T08:31:00Z</dcterms:modified>
</cp:coreProperties>
</file>