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3744B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E440CC" w:rsidP="003744B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57049CD" wp14:editId="2FCC1F7B">
                  <wp:extent cx="1661160" cy="695325"/>
                  <wp:effectExtent l="0" t="0" r="0" b="9525"/>
                  <wp:docPr id="1" name="Picture 1" descr="Description: 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3744B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3744B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3744B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3744B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smartTag w:uri="urn:schemas-microsoft-com:office:smarttags" w:element="chsdate">
        <w:smartTagPr>
          <w:attr w:name="Year" w:val="2011"/>
          <w:attr w:name="Month" w:val="12"/>
          <w:attr w:name="Day" w:val="22"/>
          <w:attr w:name="IsLunarDate" w:val="False"/>
          <w:attr w:name="IsROCDate" w:val="False"/>
        </w:smartTagPr>
        <w:r w:rsidR="000D0CAD">
          <w:rPr>
            <w:rFonts w:hint="eastAsia"/>
            <w:lang w:eastAsia="zh-CN"/>
          </w:rPr>
          <w:t>2011</w:t>
        </w:r>
        <w:r w:rsidR="000D0CAD">
          <w:rPr>
            <w:rFonts w:hint="eastAsia"/>
            <w:lang w:val="en-US" w:eastAsia="zh-CN"/>
          </w:rPr>
          <w:t>年</w:t>
        </w:r>
        <w:r w:rsidR="00E977AA">
          <w:rPr>
            <w:rFonts w:hint="eastAsia"/>
            <w:lang w:val="en-US" w:eastAsia="zh-CN"/>
          </w:rPr>
          <w:t>12</w:t>
        </w:r>
        <w:r w:rsidR="000D0CAD">
          <w:rPr>
            <w:rFonts w:hint="eastAsia"/>
            <w:lang w:val="en-US" w:eastAsia="zh-CN"/>
          </w:rPr>
          <w:t>月</w:t>
        </w:r>
        <w:r w:rsidR="00E977AA">
          <w:rPr>
            <w:rFonts w:hint="eastAsia"/>
            <w:lang w:val="en-US" w:eastAsia="zh-CN"/>
          </w:rPr>
          <w:t>22</w:t>
        </w:r>
        <w:r w:rsidR="000D0CAD">
          <w:rPr>
            <w:rFonts w:hint="eastAsia"/>
            <w:lang w:val="en-US" w:eastAsia="zh-CN"/>
          </w:rPr>
          <w:t>日</w:t>
        </w:r>
      </w:smartTag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3744B8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3744B8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3744B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3744B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C7612F">
              <w:rPr>
                <w:b/>
                <w:lang w:eastAsia="zh-CN"/>
              </w:rPr>
              <w:t>2</w:t>
            </w:r>
            <w:r w:rsidR="00E977AA">
              <w:rPr>
                <w:rFonts w:hint="eastAsia"/>
                <w:b/>
                <w:lang w:eastAsia="zh-CN"/>
              </w:rPr>
              <w:t>46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3744B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C7612F">
              <w:rPr>
                <w:lang w:eastAsia="zh-CN"/>
              </w:rPr>
              <w:t xml:space="preserve"> </w:t>
            </w:r>
            <w:r w:rsidR="000D0CAD"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/</w:t>
            </w:r>
            <w:proofErr w:type="spellStart"/>
            <w:r w:rsidR="000D0CAD">
              <w:rPr>
                <w:rFonts w:hint="eastAsia"/>
                <w:lang w:eastAsia="zh-CN"/>
              </w:rPr>
              <w:t>GJ</w:t>
            </w:r>
            <w:proofErr w:type="spellEnd"/>
          </w:p>
        </w:tc>
        <w:tc>
          <w:tcPr>
            <w:tcW w:w="4436" w:type="dxa"/>
          </w:tcPr>
          <w:p w:rsidR="000520CE" w:rsidRDefault="000520CE" w:rsidP="003744B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C7612F" w:rsidP="003744B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3744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3744B8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3744B8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3744B8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3744B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E977AA">
              <w:rPr>
                <w:rFonts w:hint="eastAsia"/>
                <w:lang w:eastAsia="zh-CN"/>
              </w:rPr>
              <w:t>5515</w:t>
            </w:r>
          </w:p>
          <w:p w:rsidR="00742159" w:rsidRDefault="00742159" w:rsidP="003744B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79687D" w:rsidP="003744B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91570E" w:rsidRPr="00236EE1">
                <w:rPr>
                  <w:rStyle w:val="Hyperlink"/>
                  <w:lang w:eastAsia="zh-CN"/>
                </w:rPr>
                <w:t>tsbsg15@itu.int</w:t>
              </w:r>
            </w:hyperlink>
            <w:r w:rsidR="0091570E">
              <w:rPr>
                <w:lang w:eastAsia="zh-CN"/>
              </w:rPr>
              <w:t xml:space="preserve"> </w:t>
            </w:r>
          </w:p>
        </w:tc>
        <w:tc>
          <w:tcPr>
            <w:tcW w:w="4436" w:type="dxa"/>
          </w:tcPr>
          <w:p w:rsidR="000520CE" w:rsidRDefault="000520CE" w:rsidP="003744B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3744B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75C8F" w:rsidRDefault="00675C8F" w:rsidP="003744B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  <w:r w:rsidR="00DE48E5">
              <w:rPr>
                <w:rFonts w:hint="eastAsia"/>
                <w:lang w:eastAsia="zh-CN"/>
              </w:rPr>
              <w:t>；</w:t>
            </w:r>
          </w:p>
          <w:p w:rsidR="000520CE" w:rsidRDefault="000520CE" w:rsidP="003744B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0D0CA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3744B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3744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3744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3744B8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3744B8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520CE" w:rsidP="003744B8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0D0CAD">
              <w:rPr>
                <w:rFonts w:hint="eastAsia"/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742159">
              <w:rPr>
                <w:rFonts w:hint="eastAsia"/>
                <w:b/>
                <w:lang w:eastAsia="zh-CN"/>
              </w:rPr>
              <w:t>于</w:t>
            </w:r>
            <w:smartTag w:uri="urn:schemas-microsoft-com:office:smarttags" w:element="chsdate">
              <w:smartTagPr>
                <w:attr w:name="Year" w:val="2011"/>
                <w:attr w:name="Month" w:val="12"/>
                <w:attr w:name="Day" w:val="16"/>
                <w:attr w:name="IsLunarDate" w:val="False"/>
                <w:attr w:name="IsROCDate" w:val="False"/>
              </w:smartTagPr>
              <w:r w:rsidR="000D0CAD">
                <w:rPr>
                  <w:rFonts w:hint="eastAsia"/>
                  <w:b/>
                  <w:lang w:eastAsia="zh-CN"/>
                </w:rPr>
                <w:t>2011</w:t>
              </w:r>
              <w:r>
                <w:rPr>
                  <w:rFonts w:hint="eastAsia"/>
                  <w:b/>
                  <w:lang w:eastAsia="zh-CN"/>
                </w:rPr>
                <w:t>年</w:t>
              </w:r>
              <w:r w:rsidR="00E977AA">
                <w:rPr>
                  <w:rFonts w:hint="eastAsia"/>
                  <w:b/>
                  <w:lang w:eastAsia="zh-CN"/>
                </w:rPr>
                <w:t>12</w:t>
              </w:r>
              <w:r>
                <w:rPr>
                  <w:rFonts w:hint="eastAsia"/>
                  <w:b/>
                  <w:lang w:eastAsia="zh-CN"/>
                </w:rPr>
                <w:t>月</w:t>
              </w:r>
              <w:r w:rsidR="00C7612F">
                <w:rPr>
                  <w:b/>
                  <w:lang w:eastAsia="zh-CN"/>
                </w:rPr>
                <w:t>16</w:t>
              </w:r>
              <w:r>
                <w:rPr>
                  <w:rFonts w:hint="eastAsia"/>
                  <w:b/>
                  <w:lang w:eastAsia="zh-CN"/>
                </w:rPr>
                <w:t>日</w:t>
              </w:r>
            </w:smartTag>
            <w:r w:rsidR="00742159">
              <w:rPr>
                <w:rFonts w:hint="eastAsia"/>
                <w:b/>
                <w:lang w:eastAsia="zh-CN"/>
              </w:rPr>
              <w:t>召开的</w:t>
            </w:r>
            <w:r>
              <w:rPr>
                <w:rFonts w:hint="eastAsia"/>
                <w:b/>
                <w:lang w:eastAsia="zh-CN"/>
              </w:rPr>
              <w:t>会议</w:t>
            </w:r>
            <w:r w:rsidR="00742159">
              <w:rPr>
                <w:rFonts w:hint="eastAsia"/>
                <w:b/>
                <w:lang w:eastAsia="zh-CN"/>
              </w:rPr>
              <w:t>上</w:t>
            </w:r>
            <w:r w:rsidR="00E977AA">
              <w:rPr>
                <w:b/>
                <w:lang w:eastAsia="zh-CN"/>
              </w:rPr>
              <w:br/>
            </w:r>
            <w:r w:rsidR="00742159">
              <w:rPr>
                <w:rFonts w:hint="eastAsia"/>
                <w:b/>
                <w:lang w:eastAsia="zh-CN"/>
              </w:rPr>
              <w:t>同意</w:t>
            </w:r>
            <w:r>
              <w:rPr>
                <w:rFonts w:hint="eastAsia"/>
                <w:b/>
                <w:lang w:eastAsia="zh-CN"/>
              </w:rPr>
              <w:t>关于删除</w:t>
            </w:r>
            <w:r w:rsidR="0040509B">
              <w:rPr>
                <w:rFonts w:hint="eastAsia"/>
                <w:b/>
                <w:lang w:eastAsia="zh-CN"/>
              </w:rPr>
              <w:t>ITU-T</w:t>
            </w:r>
            <w:r w:rsidR="000D0CAD">
              <w:rPr>
                <w:rFonts w:hint="eastAsia"/>
                <w:b/>
                <w:lang w:eastAsia="zh-CN"/>
              </w:rPr>
              <w:t xml:space="preserve"> </w:t>
            </w:r>
            <w:r w:rsidR="00E977AA">
              <w:rPr>
                <w:b/>
                <w:szCs w:val="24"/>
                <w:lang w:eastAsia="zh-CN"/>
              </w:rPr>
              <w:t>L.15</w:t>
            </w:r>
            <w:r w:rsidR="00E977AA">
              <w:rPr>
                <w:rFonts w:hint="eastAsia"/>
                <w:b/>
                <w:szCs w:val="24"/>
                <w:lang w:eastAsia="zh-CN"/>
              </w:rPr>
              <w:t>、</w:t>
            </w:r>
            <w:r w:rsidR="00E977AA">
              <w:rPr>
                <w:b/>
                <w:szCs w:val="24"/>
                <w:lang w:eastAsia="zh-CN"/>
              </w:rPr>
              <w:t>L.42</w:t>
            </w:r>
            <w:r w:rsidR="00E977AA">
              <w:rPr>
                <w:rFonts w:hint="eastAsia"/>
                <w:b/>
                <w:szCs w:val="24"/>
                <w:lang w:eastAsia="zh-CN"/>
              </w:rPr>
              <w:t>、</w:t>
            </w:r>
            <w:r w:rsidR="00E977AA">
              <w:rPr>
                <w:b/>
                <w:szCs w:val="24"/>
                <w:lang w:eastAsia="zh-CN"/>
              </w:rPr>
              <w:t>L.52</w:t>
            </w:r>
            <w:r w:rsidR="00E977AA">
              <w:rPr>
                <w:rFonts w:hint="eastAsia"/>
                <w:b/>
                <w:szCs w:val="24"/>
                <w:lang w:eastAsia="zh-CN"/>
              </w:rPr>
              <w:t>和</w:t>
            </w:r>
            <w:r w:rsidR="00E977AA">
              <w:rPr>
                <w:b/>
                <w:szCs w:val="24"/>
                <w:lang w:eastAsia="zh-CN"/>
              </w:rPr>
              <w:t>L.65</w:t>
            </w:r>
            <w:r>
              <w:rPr>
                <w:rFonts w:hint="eastAsia"/>
                <w:b/>
                <w:lang w:eastAsia="zh-CN"/>
              </w:rPr>
              <w:t>建议书的建议</w:t>
            </w:r>
          </w:p>
        </w:tc>
      </w:tr>
    </w:tbl>
    <w:p w:rsidR="000520CE" w:rsidRDefault="000520CE" w:rsidP="003744B8">
      <w:pPr>
        <w:rPr>
          <w:lang w:eastAsia="zh-CN"/>
        </w:rPr>
      </w:pPr>
    </w:p>
    <w:p w:rsidR="000520CE" w:rsidRDefault="000520CE" w:rsidP="003744B8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D0CAD" w:rsidRDefault="000520CE" w:rsidP="003744B8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624E9B" w:rsidRPr="00624E9B">
        <w:rPr>
          <w:rFonts w:ascii="STKaiti" w:eastAsia="STKaiti" w:hAnsi="STKaiti"/>
          <w:lang w:eastAsia="zh-CN"/>
        </w:rPr>
        <w:t>光传</w:t>
      </w:r>
      <w:r w:rsidR="00624E9B" w:rsidRPr="00624E9B">
        <w:rPr>
          <w:rFonts w:ascii="STKaiti" w:eastAsia="STKaiti" w:hAnsi="STKaiti" w:hint="eastAsia"/>
          <w:lang w:eastAsia="zh-CN"/>
        </w:rPr>
        <w:t>输</w:t>
      </w:r>
      <w:r w:rsidR="00624E9B" w:rsidRPr="00624E9B">
        <w:rPr>
          <w:rFonts w:ascii="STKaiti" w:eastAsia="STKaiti" w:hAnsi="STKaiti"/>
          <w:lang w:eastAsia="zh-CN"/>
        </w:rPr>
        <w:t>网络和接入网络基础设施</w:t>
      </w:r>
      <w:r w:rsidR="007421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="000D0CAD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研究组主席的请求，我荣幸地告知您，该研究组在</w:t>
      </w:r>
      <w:smartTag w:uri="urn:schemas-microsoft-com:office:smarttags" w:element="chsdate">
        <w:smartTagPr>
          <w:attr w:name="Year" w:val="2011"/>
          <w:attr w:name="Month" w:val="12"/>
          <w:attr w:name="Day" w:val="16"/>
          <w:attr w:name="IsLunarDate" w:val="False"/>
          <w:attr w:name="IsROCDate" w:val="False"/>
        </w:smartTagPr>
        <w:r w:rsidR="000D0CAD">
          <w:rPr>
            <w:rFonts w:hint="eastAsia"/>
            <w:lang w:eastAsia="zh-CN"/>
          </w:rPr>
          <w:t>2011</w:t>
        </w:r>
        <w:r w:rsidRPr="00CC7918">
          <w:rPr>
            <w:rFonts w:hint="eastAsia"/>
            <w:bCs/>
            <w:lang w:eastAsia="zh-CN"/>
          </w:rPr>
          <w:t>年</w:t>
        </w:r>
        <w:r w:rsidR="00E977AA">
          <w:rPr>
            <w:rFonts w:hint="eastAsia"/>
            <w:bCs/>
            <w:lang w:eastAsia="zh-CN"/>
          </w:rPr>
          <w:t>12</w:t>
        </w:r>
        <w:r w:rsidRPr="00CC7918">
          <w:rPr>
            <w:rFonts w:hint="eastAsia"/>
            <w:bCs/>
            <w:lang w:eastAsia="zh-CN"/>
          </w:rPr>
          <w:t>月</w:t>
        </w:r>
        <w:r w:rsidR="000D0CAD">
          <w:rPr>
            <w:rFonts w:hint="eastAsia"/>
            <w:bCs/>
            <w:lang w:eastAsia="zh-CN"/>
          </w:rPr>
          <w:t>1</w:t>
        </w:r>
        <w:r w:rsidR="00C7612F">
          <w:rPr>
            <w:bCs/>
            <w:lang w:eastAsia="zh-CN"/>
          </w:rPr>
          <w:t>6</w:t>
        </w:r>
        <w:r w:rsidR="00742159">
          <w:rPr>
            <w:rFonts w:hint="eastAsia"/>
            <w:bCs/>
            <w:lang w:eastAsia="zh-CN"/>
          </w:rPr>
          <w:t>日</w:t>
        </w:r>
      </w:smartTag>
      <w:r>
        <w:rPr>
          <w:rFonts w:hint="eastAsia"/>
          <w:lang w:eastAsia="zh-CN"/>
        </w:rPr>
        <w:t>的会议上，同意根据世界电信标准化全会（</w:t>
      </w:r>
      <w:proofErr w:type="spellStart"/>
      <w:r>
        <w:rPr>
          <w:lang w:eastAsia="zh-CN"/>
        </w:rPr>
        <w:t>WTSA</w:t>
      </w:r>
      <w:proofErr w:type="spellEnd"/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="00E977AA">
        <w:rPr>
          <w:rFonts w:hint="eastAsia"/>
          <w:lang w:eastAsia="zh-CN"/>
        </w:rPr>
        <w:t>：</w:t>
      </w:r>
    </w:p>
    <w:p w:rsidR="00E977AA" w:rsidRPr="005E1CC1" w:rsidRDefault="00E977AA" w:rsidP="003744B8">
      <w:pPr>
        <w:rPr>
          <w:szCs w:val="24"/>
          <w:lang w:val="en-US" w:eastAsia="zh-CN"/>
        </w:rPr>
      </w:pPr>
      <w:r w:rsidRPr="005E1CC1">
        <w:rPr>
          <w:lang w:val="en-US" w:eastAsia="zh-CN"/>
        </w:rPr>
        <w:t xml:space="preserve">ITU-T </w:t>
      </w:r>
      <w:r w:rsidRPr="005E1CC1">
        <w:rPr>
          <w:szCs w:val="24"/>
          <w:lang w:val="en-US" w:eastAsia="zh-CN"/>
        </w:rPr>
        <w:t>L.15</w:t>
      </w:r>
      <w:r>
        <w:rPr>
          <w:rFonts w:hint="eastAsia"/>
          <w:szCs w:val="24"/>
          <w:lang w:val="en-US" w:eastAsia="zh-CN"/>
        </w:rPr>
        <w:t>建议书</w:t>
      </w:r>
      <w:r w:rsidR="00BA57C0">
        <w:rPr>
          <w:rFonts w:hint="eastAsia"/>
          <w:szCs w:val="24"/>
          <w:lang w:val="en-US" w:eastAsia="zh-CN"/>
        </w:rPr>
        <w:t>：</w:t>
      </w:r>
      <w:r w:rsidRPr="00852090">
        <w:rPr>
          <w:rFonts w:ascii="STKaiti" w:eastAsia="STKaiti" w:hAnsi="STKaiti" w:hint="eastAsia"/>
          <w:szCs w:val="24"/>
          <w:lang w:val="en-US" w:eastAsia="zh-CN"/>
        </w:rPr>
        <w:t>光本地分配网</w:t>
      </w:r>
      <w:r w:rsidRPr="00852090">
        <w:rPr>
          <w:rFonts w:ascii="STKaiti" w:eastAsia="STKaiti" w:hAnsi="STKaiti"/>
          <w:i/>
          <w:iCs/>
          <w:szCs w:val="24"/>
          <w:lang w:val="en-US" w:eastAsia="zh-CN"/>
        </w:rPr>
        <w:t xml:space="preserve">– </w:t>
      </w:r>
      <w:r w:rsidR="00171726" w:rsidRPr="00852090">
        <w:rPr>
          <w:rFonts w:ascii="STKaiti" w:eastAsia="STKaiti" w:hAnsi="STKaiti" w:hint="eastAsia"/>
          <w:szCs w:val="24"/>
          <w:lang w:val="en-US" w:eastAsia="zh-CN"/>
        </w:rPr>
        <w:t>网络建设需要考虑的因素</w:t>
      </w:r>
      <w:r w:rsidR="00171726" w:rsidRPr="00C028E9">
        <w:rPr>
          <w:rFonts w:hint="eastAsia"/>
          <w:szCs w:val="24"/>
          <w:lang w:val="en-US" w:eastAsia="zh-CN"/>
        </w:rPr>
        <w:t>。</w:t>
      </w:r>
    </w:p>
    <w:p w:rsidR="00E977AA" w:rsidRPr="005E1CC1" w:rsidRDefault="00E977AA" w:rsidP="003744B8">
      <w:pPr>
        <w:rPr>
          <w:szCs w:val="24"/>
          <w:lang w:val="en-US" w:eastAsia="zh-CN"/>
        </w:rPr>
      </w:pPr>
      <w:r w:rsidRPr="005E1CC1">
        <w:rPr>
          <w:lang w:val="en-US" w:eastAsia="zh-CN"/>
        </w:rPr>
        <w:t xml:space="preserve">ITU-T </w:t>
      </w:r>
      <w:r w:rsidRPr="005E1CC1">
        <w:rPr>
          <w:szCs w:val="24"/>
          <w:lang w:val="en-US" w:eastAsia="zh-CN"/>
        </w:rPr>
        <w:t>L.42</w:t>
      </w:r>
      <w:r>
        <w:rPr>
          <w:rFonts w:hint="eastAsia"/>
          <w:szCs w:val="24"/>
          <w:lang w:val="en-US" w:eastAsia="zh-CN"/>
        </w:rPr>
        <w:t>建议书</w:t>
      </w:r>
      <w:r w:rsidR="00BA57C0">
        <w:rPr>
          <w:rFonts w:hint="eastAsia"/>
          <w:szCs w:val="24"/>
          <w:lang w:val="en-US" w:eastAsia="zh-CN"/>
        </w:rPr>
        <w:t>：</w:t>
      </w:r>
      <w:r w:rsidR="009772E6" w:rsidRPr="00852090">
        <w:rPr>
          <w:rFonts w:ascii="STKaiti" w:eastAsia="STKaiti" w:hAnsi="STKaiti" w:hint="eastAsia"/>
          <w:szCs w:val="24"/>
          <w:lang w:val="en-US" w:eastAsia="zh-CN"/>
        </w:rPr>
        <w:t>将光纤解决方案扩展至接入网</w:t>
      </w:r>
      <w:r w:rsidR="00171726">
        <w:rPr>
          <w:rFonts w:hint="eastAsia"/>
          <w:szCs w:val="24"/>
          <w:lang w:val="en-US" w:eastAsia="zh-CN"/>
        </w:rPr>
        <w:t>。</w:t>
      </w:r>
    </w:p>
    <w:p w:rsidR="00E977AA" w:rsidRPr="005E1CC1" w:rsidRDefault="00E977AA" w:rsidP="003744B8">
      <w:pPr>
        <w:rPr>
          <w:szCs w:val="24"/>
          <w:lang w:val="en-US" w:eastAsia="zh-CN"/>
        </w:rPr>
      </w:pPr>
      <w:r w:rsidRPr="005E1CC1">
        <w:rPr>
          <w:lang w:val="en-US" w:eastAsia="zh-CN"/>
        </w:rPr>
        <w:t xml:space="preserve">ITU-T </w:t>
      </w:r>
      <w:r w:rsidRPr="005E1CC1">
        <w:rPr>
          <w:szCs w:val="24"/>
          <w:lang w:val="en-US" w:eastAsia="zh-CN"/>
        </w:rPr>
        <w:t>L.52</w:t>
      </w:r>
      <w:r>
        <w:rPr>
          <w:rFonts w:hint="eastAsia"/>
          <w:szCs w:val="24"/>
          <w:lang w:val="en-US" w:eastAsia="zh-CN"/>
        </w:rPr>
        <w:t>建议书</w:t>
      </w:r>
      <w:r w:rsidR="00BA57C0">
        <w:rPr>
          <w:rFonts w:hint="eastAsia"/>
          <w:szCs w:val="24"/>
          <w:lang w:val="en-US" w:eastAsia="zh-CN"/>
        </w:rPr>
        <w:t>：</w:t>
      </w:r>
      <w:r w:rsidR="00171726" w:rsidRPr="00852090">
        <w:rPr>
          <w:rFonts w:ascii="STKaiti" w:eastAsia="STKaiti" w:hAnsi="STKaiti" w:hint="eastAsia"/>
          <w:szCs w:val="24"/>
          <w:lang w:val="en-US" w:eastAsia="zh-CN"/>
        </w:rPr>
        <w:t>无源光网络（</w:t>
      </w:r>
      <w:proofErr w:type="spellStart"/>
      <w:r w:rsidR="00171726" w:rsidRPr="00852090">
        <w:rPr>
          <w:rFonts w:ascii="STKaiti" w:eastAsia="STKaiti" w:hAnsi="STKaiti"/>
          <w:szCs w:val="24"/>
          <w:lang w:val="en-US" w:eastAsia="zh-CN"/>
        </w:rPr>
        <w:t>PON</w:t>
      </w:r>
      <w:proofErr w:type="spellEnd"/>
      <w:r w:rsidR="00171726" w:rsidRPr="00852090">
        <w:rPr>
          <w:rFonts w:ascii="STKaiti" w:eastAsia="STKaiti" w:hAnsi="STKaiti" w:hint="eastAsia"/>
          <w:szCs w:val="24"/>
          <w:lang w:val="en-US" w:eastAsia="zh-CN"/>
        </w:rPr>
        <w:t>）的部署</w:t>
      </w:r>
      <w:r w:rsidR="00171726">
        <w:rPr>
          <w:rFonts w:hint="eastAsia"/>
          <w:szCs w:val="24"/>
          <w:lang w:val="en-US" w:eastAsia="zh-CN"/>
        </w:rPr>
        <w:t>。</w:t>
      </w:r>
    </w:p>
    <w:p w:rsidR="00E977AA" w:rsidRPr="00E977AA" w:rsidRDefault="00E977AA" w:rsidP="003744B8">
      <w:pPr>
        <w:rPr>
          <w:szCs w:val="24"/>
          <w:lang w:val="en-US" w:eastAsia="zh-CN"/>
        </w:rPr>
      </w:pPr>
      <w:r w:rsidRPr="005E1CC1">
        <w:rPr>
          <w:lang w:val="en-US" w:eastAsia="zh-CN"/>
        </w:rPr>
        <w:t xml:space="preserve">ITU-T </w:t>
      </w:r>
      <w:r w:rsidRPr="005E1CC1">
        <w:rPr>
          <w:szCs w:val="24"/>
          <w:lang w:val="en-US" w:eastAsia="zh-CN"/>
        </w:rPr>
        <w:t>L.65</w:t>
      </w:r>
      <w:r>
        <w:rPr>
          <w:rFonts w:hint="eastAsia"/>
          <w:szCs w:val="24"/>
          <w:lang w:val="en-US" w:eastAsia="zh-CN"/>
        </w:rPr>
        <w:t>建议书</w:t>
      </w:r>
      <w:r w:rsidR="00BA57C0">
        <w:rPr>
          <w:rFonts w:hint="eastAsia"/>
          <w:szCs w:val="24"/>
          <w:lang w:val="en-US" w:eastAsia="zh-CN"/>
        </w:rPr>
        <w:t>：</w:t>
      </w:r>
      <w:r w:rsidR="00603939" w:rsidRPr="00852090">
        <w:rPr>
          <w:rFonts w:ascii="STKaiti" w:eastAsia="STKaiti" w:hAnsi="STKaiti" w:hint="eastAsia"/>
          <w:szCs w:val="24"/>
          <w:lang w:val="en-US" w:eastAsia="zh-CN"/>
        </w:rPr>
        <w:t>接入网的光纤</w:t>
      </w:r>
      <w:r w:rsidR="00C028E9" w:rsidRPr="00852090">
        <w:rPr>
          <w:rFonts w:ascii="STKaiti" w:eastAsia="STKaiti" w:hAnsi="STKaiti" w:hint="eastAsia"/>
          <w:szCs w:val="24"/>
          <w:lang w:val="en-US" w:eastAsia="zh-CN"/>
        </w:rPr>
        <w:t>分配</w:t>
      </w:r>
      <w:r w:rsidR="00171726">
        <w:rPr>
          <w:rFonts w:hint="eastAsia"/>
          <w:szCs w:val="24"/>
          <w:lang w:val="en-US" w:eastAsia="zh-CN"/>
        </w:rPr>
        <w:t>。</w:t>
      </w:r>
    </w:p>
    <w:p w:rsidR="000520CE" w:rsidRDefault="00742159" w:rsidP="003744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共有</w:t>
      </w:r>
      <w:r w:rsidR="00BA57C0">
        <w:rPr>
          <w:rFonts w:hint="eastAsia"/>
          <w:lang w:eastAsia="zh-CN"/>
        </w:rPr>
        <w:t>34</w:t>
      </w:r>
      <w:r w:rsidR="000520CE">
        <w:rPr>
          <w:rFonts w:hint="eastAsia"/>
          <w:lang w:eastAsia="zh-CN"/>
        </w:rPr>
        <w:t>个成员国和</w:t>
      </w:r>
      <w:r w:rsidR="00BA57C0">
        <w:rPr>
          <w:rFonts w:hint="eastAsia"/>
          <w:lang w:eastAsia="zh-CN"/>
        </w:rPr>
        <w:t>64</w:t>
      </w:r>
      <w:r w:rsidR="000520CE">
        <w:rPr>
          <w:rFonts w:hint="eastAsia"/>
          <w:lang w:eastAsia="zh-CN"/>
        </w:rPr>
        <w:t>个部门成员</w:t>
      </w:r>
      <w:r>
        <w:rPr>
          <w:rFonts w:hint="eastAsia"/>
          <w:lang w:eastAsia="zh-CN"/>
        </w:rPr>
        <w:t>出席了该会议，</w:t>
      </w:r>
      <w:r w:rsidR="00675C8F">
        <w:rPr>
          <w:rFonts w:hint="eastAsia"/>
          <w:lang w:eastAsia="zh-CN"/>
        </w:rPr>
        <w:t>他</w:t>
      </w:r>
      <w:r>
        <w:rPr>
          <w:rFonts w:hint="eastAsia"/>
          <w:lang w:eastAsia="zh-CN"/>
        </w:rPr>
        <w:t>们</w:t>
      </w:r>
      <w:r w:rsidR="000520CE">
        <w:rPr>
          <w:rFonts w:hint="eastAsia"/>
          <w:lang w:eastAsia="zh-CN"/>
        </w:rPr>
        <w:t>未对这项意见提出异议。</w:t>
      </w:r>
    </w:p>
    <w:p w:rsidR="000520CE" w:rsidRDefault="000520CE" w:rsidP="003744B8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</w:t>
      </w:r>
      <w:r w:rsidR="007421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包括对删除原因的简要说明</w:t>
      </w:r>
      <w:r w:rsidR="007421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0520CE" w:rsidRDefault="000520CE" w:rsidP="009772E6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smartTag w:uri="urn:schemas-microsoft-com:office:smarttags" w:element="chsdate">
        <w:smartTagPr>
          <w:attr w:name="Year" w:val="2012"/>
          <w:attr w:name="Month" w:val="3"/>
          <w:attr w:name="Day" w:val="22"/>
          <w:attr w:name="IsLunarDate" w:val="False"/>
          <w:attr w:name="IsROCDate" w:val="False"/>
        </w:smartTagPr>
        <w:r w:rsidR="00BA57C0">
          <w:rPr>
            <w:rFonts w:hint="eastAsia"/>
            <w:b/>
            <w:lang w:eastAsia="zh-CN"/>
          </w:rPr>
          <w:t>2012</w:t>
        </w:r>
        <w:r>
          <w:rPr>
            <w:rFonts w:hint="eastAsia"/>
            <w:b/>
            <w:bCs/>
            <w:lang w:eastAsia="zh-CN"/>
          </w:rPr>
          <w:t>年</w:t>
        </w:r>
        <w:r w:rsidR="00BA57C0">
          <w:rPr>
            <w:rFonts w:hint="eastAsia"/>
            <w:b/>
            <w:bCs/>
            <w:lang w:eastAsia="zh-CN"/>
          </w:rPr>
          <w:t>3</w:t>
        </w:r>
        <w:r>
          <w:rPr>
            <w:rFonts w:hint="eastAsia"/>
            <w:b/>
            <w:bCs/>
            <w:lang w:eastAsia="zh-CN"/>
          </w:rPr>
          <w:t>月</w:t>
        </w:r>
        <w:r w:rsidR="00BA57C0">
          <w:rPr>
            <w:rFonts w:hint="eastAsia"/>
            <w:b/>
            <w:bCs/>
            <w:lang w:eastAsia="zh-CN"/>
          </w:rPr>
          <w:t>22</w:t>
        </w:r>
        <w:r>
          <w:rPr>
            <w:rFonts w:hint="eastAsia"/>
            <w:b/>
            <w:bCs/>
            <w:lang w:eastAsia="zh-CN"/>
          </w:rPr>
          <w:t>日</w:t>
        </w:r>
      </w:smartTag>
      <w:r>
        <w:rPr>
          <w:rFonts w:hint="eastAsia"/>
          <w:lang w:eastAsia="zh-CN"/>
        </w:rPr>
        <w:t>协调世界时</w:t>
      </w:r>
      <w:r w:rsidR="00C7612F">
        <w:rPr>
          <w:rFonts w:hint="eastAsia"/>
          <w:lang w:eastAsia="zh-CN"/>
        </w:rPr>
        <w:t>（</w:t>
      </w:r>
      <w:proofErr w:type="spellStart"/>
      <w:r w:rsidR="00C7612F">
        <w:rPr>
          <w:rFonts w:hint="eastAsia"/>
          <w:lang w:eastAsia="zh-CN"/>
        </w:rPr>
        <w:t>UTC</w:t>
      </w:r>
      <w:proofErr w:type="spellEnd"/>
      <w:r w:rsidR="00C7612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24</w:t>
      </w:r>
      <w:r w:rsidR="00C7612F">
        <w:rPr>
          <w:rFonts w:hint="eastAsia"/>
          <w:lang w:eastAsia="zh-CN"/>
        </w:rPr>
        <w:t>:00</w:t>
      </w:r>
      <w:r>
        <w:rPr>
          <w:rFonts w:hint="eastAsia"/>
          <w:lang w:eastAsia="zh-CN"/>
        </w:rPr>
        <w:t>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机构是否</w:t>
      </w:r>
      <w:r w:rsidR="009772E6">
        <w:rPr>
          <w:rFonts w:hint="eastAsia"/>
          <w:lang w:eastAsia="zh-CN"/>
        </w:rPr>
        <w:t>批准</w:t>
      </w:r>
      <w:r w:rsidR="00742159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删除。</w:t>
      </w:r>
    </w:p>
    <w:p w:rsidR="000520CE" w:rsidRPr="00F34A9D" w:rsidRDefault="000520CE" w:rsidP="003744B8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认为不应删除，则应阐明其反对原因</w:t>
      </w:r>
      <w:r w:rsidR="00C7612F">
        <w:rPr>
          <w:rFonts w:hint="eastAsia"/>
          <w:lang w:eastAsia="zh-CN"/>
        </w:rPr>
        <w:t>，以便</w:t>
      </w:r>
      <w:r>
        <w:rPr>
          <w:rFonts w:hint="eastAsia"/>
          <w:lang w:eastAsia="zh-CN"/>
        </w:rPr>
        <w:t>将</w:t>
      </w:r>
      <w:r w:rsidRPr="00F34A9D">
        <w:rPr>
          <w:rFonts w:hint="eastAsia"/>
          <w:lang w:eastAsia="zh-CN"/>
        </w:rPr>
        <w:t>问题退回研究组。</w:t>
      </w:r>
    </w:p>
    <w:p w:rsidR="003744B8" w:rsidRDefault="003744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520CE" w:rsidRDefault="000520CE" w:rsidP="003744B8">
      <w:pPr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="00C7612F">
        <w:rPr>
          <w:rFonts w:hint="eastAsia"/>
          <w:lang w:eastAsia="zh-CN"/>
        </w:rPr>
        <w:t>（</w:t>
      </w:r>
      <w:r w:rsidR="00C7612F">
        <w:rPr>
          <w:rFonts w:hint="eastAsia"/>
          <w:lang w:eastAsia="zh-CN"/>
        </w:rPr>
        <w:t>TSB</w:t>
      </w:r>
      <w:r w:rsidR="00C7612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主任将在上述时限（</w:t>
      </w:r>
      <w:smartTag w:uri="urn:schemas-microsoft-com:office:smarttags" w:element="chsdate">
        <w:smartTagPr>
          <w:attr w:name="Year" w:val="2012"/>
          <w:attr w:name="Month" w:val="3"/>
          <w:attr w:name="Day" w:val="22"/>
          <w:attr w:name="IsLunarDate" w:val="False"/>
          <w:attr w:name="IsROCDate" w:val="False"/>
        </w:smartTagPr>
        <w:r w:rsidR="00BA57C0">
          <w:rPr>
            <w:rFonts w:hint="eastAsia"/>
            <w:lang w:eastAsia="zh-CN"/>
          </w:rPr>
          <w:t>2012</w:t>
        </w:r>
        <w:r w:rsidRPr="00F34A9D">
          <w:rPr>
            <w:rFonts w:hint="eastAsia"/>
            <w:lang w:eastAsia="zh-CN"/>
          </w:rPr>
          <w:t>年</w:t>
        </w:r>
        <w:r w:rsidR="00BA57C0">
          <w:rPr>
            <w:rFonts w:hint="eastAsia"/>
            <w:lang w:eastAsia="zh-CN"/>
          </w:rPr>
          <w:t>3</w:t>
        </w:r>
        <w:r w:rsidRPr="00F34A9D">
          <w:rPr>
            <w:rFonts w:hint="eastAsia"/>
            <w:lang w:eastAsia="zh-CN"/>
          </w:rPr>
          <w:t>月</w:t>
        </w:r>
        <w:r w:rsidR="00BA57C0">
          <w:rPr>
            <w:rFonts w:hint="eastAsia"/>
            <w:lang w:eastAsia="zh-CN"/>
          </w:rPr>
          <w:t>22</w:t>
        </w:r>
        <w:r w:rsidRPr="00F34A9D">
          <w:rPr>
            <w:rFonts w:hint="eastAsia"/>
            <w:lang w:eastAsia="zh-CN"/>
          </w:rPr>
          <w:t>日</w:t>
        </w:r>
      </w:smartTag>
      <w:r>
        <w:rPr>
          <w:rFonts w:hint="eastAsia"/>
          <w:lang w:eastAsia="zh-CN"/>
        </w:rPr>
        <w:t>）</w:t>
      </w:r>
      <w:r w:rsidR="00742159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后，以通函的形式通报磋商结果。此信息还将在</w:t>
      </w:r>
      <w:r w:rsidR="00742159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国际电联操作公报》中公布。</w:t>
      </w:r>
    </w:p>
    <w:p w:rsidR="000520CE" w:rsidRDefault="000520CE" w:rsidP="003744B8">
      <w:pPr>
        <w:spacing w:before="240"/>
        <w:ind w:firstLine="490"/>
        <w:rPr>
          <w:lang w:eastAsia="zh-CN"/>
        </w:rPr>
      </w:pPr>
    </w:p>
    <w:p w:rsidR="000520CE" w:rsidRPr="004663B4" w:rsidRDefault="000520CE" w:rsidP="003744B8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3744B8">
      <w:pPr>
        <w:rPr>
          <w:lang w:eastAsia="zh-CN"/>
        </w:rPr>
      </w:pPr>
    </w:p>
    <w:p w:rsidR="0005363C" w:rsidRDefault="0005363C" w:rsidP="003744B8">
      <w:pPr>
        <w:rPr>
          <w:lang w:eastAsia="zh-CN"/>
        </w:rPr>
      </w:pPr>
    </w:p>
    <w:p w:rsidR="00451D51" w:rsidRDefault="00451D51" w:rsidP="003744B8">
      <w:pPr>
        <w:rPr>
          <w:lang w:eastAsia="zh-CN"/>
        </w:rPr>
      </w:pPr>
    </w:p>
    <w:p w:rsidR="0005363C" w:rsidRDefault="0005363C" w:rsidP="003744B8">
      <w:pPr>
        <w:rPr>
          <w:lang w:eastAsia="zh-CN"/>
        </w:rPr>
      </w:pPr>
    </w:p>
    <w:p w:rsidR="000520CE" w:rsidRDefault="000520CE" w:rsidP="003744B8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3744B8">
      <w:pPr>
        <w:rPr>
          <w:lang w:eastAsia="zh-CN"/>
        </w:rPr>
      </w:pPr>
    </w:p>
    <w:p w:rsidR="00451D51" w:rsidRDefault="00451D51" w:rsidP="003744B8">
      <w:pPr>
        <w:rPr>
          <w:lang w:eastAsia="zh-CN"/>
        </w:rPr>
      </w:pPr>
    </w:p>
    <w:p w:rsidR="003744B8" w:rsidRDefault="003744B8" w:rsidP="003744B8">
      <w:pPr>
        <w:rPr>
          <w:lang w:eastAsia="zh-CN"/>
        </w:rPr>
      </w:pPr>
    </w:p>
    <w:p w:rsidR="003744B8" w:rsidRDefault="003744B8" w:rsidP="003744B8">
      <w:pPr>
        <w:rPr>
          <w:lang w:eastAsia="zh-CN"/>
        </w:rPr>
      </w:pPr>
    </w:p>
    <w:p w:rsidR="00451D51" w:rsidRDefault="00451D51" w:rsidP="003744B8">
      <w:pPr>
        <w:rPr>
          <w:lang w:eastAsia="zh-CN"/>
        </w:rPr>
      </w:pPr>
    </w:p>
    <w:p w:rsidR="0005363C" w:rsidRDefault="0005363C" w:rsidP="003744B8">
      <w:pPr>
        <w:rPr>
          <w:lang w:eastAsia="zh-CN"/>
        </w:rPr>
      </w:pPr>
    </w:p>
    <w:p w:rsidR="000520CE" w:rsidRDefault="000520CE" w:rsidP="003744B8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F11C9E" w:rsidRPr="00217A35" w:rsidRDefault="00F11C9E" w:rsidP="002D5A1A">
      <w:pPr>
        <w:pStyle w:val="AnnexNo"/>
        <w:rPr>
          <w:lang w:eastAsia="zh-CN"/>
        </w:rPr>
      </w:pPr>
      <w:r>
        <w:rPr>
          <w:b/>
          <w:bCs/>
          <w:lang w:eastAsia="zh-CN"/>
        </w:rPr>
        <w:br w:type="page"/>
      </w:r>
      <w:bookmarkStart w:id="1" w:name="_Toc245140783"/>
      <w:bookmarkStart w:id="2" w:name="_Toc245261791"/>
      <w:r w:rsidR="00BA57C0" w:rsidRPr="004420A6">
        <w:rPr>
          <w:rFonts w:eastAsia="SimSun" w:hint="eastAsia"/>
          <w:lang w:val="en-US" w:eastAsia="zh-CN"/>
        </w:rPr>
        <w:lastRenderedPageBreak/>
        <w:t>（</w:t>
      </w:r>
      <w:r w:rsidR="00BA57C0" w:rsidRPr="004420A6">
        <w:rPr>
          <w:rFonts w:eastAsia="SimSun" w:hint="eastAsia"/>
          <w:lang w:eastAsia="zh-CN"/>
        </w:rPr>
        <w:t>电信标准化局第</w:t>
      </w:r>
      <w:r w:rsidR="00BA57C0">
        <w:rPr>
          <w:lang w:eastAsia="zh-CN"/>
        </w:rPr>
        <w:t>246</w:t>
      </w:r>
      <w:r w:rsidR="00BA57C0" w:rsidRPr="004420A6">
        <w:rPr>
          <w:rFonts w:eastAsia="SimSun" w:hint="eastAsia"/>
          <w:lang w:eastAsia="zh-CN"/>
        </w:rPr>
        <w:t>号通函）</w:t>
      </w:r>
      <w:r w:rsidR="002D5A1A">
        <w:rPr>
          <w:rFonts w:eastAsiaTheme="minorEastAsia" w:hint="eastAsia"/>
          <w:lang w:eastAsia="zh-CN"/>
        </w:rPr>
        <w:br/>
      </w:r>
      <w:r w:rsidR="00BA57C0" w:rsidRPr="00675C8F">
        <w:rPr>
          <w:rFonts w:eastAsia="SimSun" w:hint="eastAsia"/>
          <w:lang w:eastAsia="zh-CN"/>
        </w:rPr>
        <w:t>附件</w:t>
      </w:r>
      <w:r w:rsidR="00BA57C0" w:rsidRPr="00675C8F">
        <w:rPr>
          <w:lang w:eastAsia="zh-CN"/>
        </w:rPr>
        <w:t xml:space="preserve"> 1</w:t>
      </w:r>
    </w:p>
    <w:p w:rsidR="00F11C9E" w:rsidRPr="00C3243E" w:rsidRDefault="00F11C9E" w:rsidP="00C3243E">
      <w:pPr>
        <w:pStyle w:val="AnnexNo"/>
        <w:rPr>
          <w:rFonts w:ascii="SimSun" w:eastAsia="SimSun" w:hAnsi="SimSun" w:cs="SimSun"/>
          <w:b/>
          <w:bCs/>
          <w:lang w:eastAsia="zh-CN"/>
        </w:rPr>
      </w:pPr>
      <w:r w:rsidRPr="00C3243E">
        <w:rPr>
          <w:rFonts w:ascii="SimSun" w:eastAsia="SimSun" w:hAnsi="SimSun" w:cs="SimSun" w:hint="eastAsia"/>
          <w:b/>
          <w:bCs/>
          <w:lang w:eastAsia="zh-CN"/>
        </w:rPr>
        <w:t>删除</w:t>
      </w:r>
      <w:bookmarkEnd w:id="1"/>
      <w:bookmarkEnd w:id="2"/>
      <w:r w:rsidRPr="00C3243E">
        <w:rPr>
          <w:b/>
          <w:bCs/>
          <w:lang w:eastAsia="zh-CN"/>
        </w:rPr>
        <w:t xml:space="preserve">ITU-T </w:t>
      </w:r>
      <w:r w:rsidR="00BA57C0" w:rsidRPr="00C3243E">
        <w:rPr>
          <w:b/>
          <w:bCs/>
          <w:lang w:eastAsia="zh-CN"/>
        </w:rPr>
        <w:t>L.15</w:t>
      </w:r>
      <w:r w:rsidR="00BA57C0" w:rsidRPr="00C3243E">
        <w:rPr>
          <w:rFonts w:ascii="SimSun" w:eastAsia="SimSun" w:hAnsi="SimSun" w:hint="eastAsia"/>
          <w:b/>
          <w:bCs/>
          <w:lang w:eastAsia="zh-CN"/>
        </w:rPr>
        <w:t>、</w:t>
      </w:r>
      <w:r w:rsidR="00BA57C0" w:rsidRPr="00C3243E">
        <w:rPr>
          <w:b/>
          <w:bCs/>
          <w:lang w:eastAsia="zh-CN"/>
        </w:rPr>
        <w:t>L.42</w:t>
      </w:r>
      <w:r w:rsidR="00BA57C0" w:rsidRPr="00C3243E">
        <w:rPr>
          <w:rFonts w:ascii="SimSun" w:eastAsia="SimSun" w:hAnsi="SimSun" w:hint="eastAsia"/>
          <w:b/>
          <w:bCs/>
          <w:lang w:eastAsia="zh-CN"/>
        </w:rPr>
        <w:t>、</w:t>
      </w:r>
      <w:r w:rsidR="00BA57C0" w:rsidRPr="00C3243E">
        <w:rPr>
          <w:b/>
          <w:bCs/>
          <w:lang w:eastAsia="zh-CN"/>
        </w:rPr>
        <w:t>L.52</w:t>
      </w:r>
      <w:r w:rsidR="00BA57C0" w:rsidRPr="00C3243E">
        <w:rPr>
          <w:rFonts w:ascii="SimSun" w:eastAsia="SimSun" w:hAnsi="SimSun" w:hint="eastAsia"/>
          <w:b/>
          <w:bCs/>
          <w:lang w:eastAsia="zh-CN"/>
        </w:rPr>
        <w:t>和</w:t>
      </w:r>
      <w:r w:rsidR="00BA57C0" w:rsidRPr="00C3243E">
        <w:rPr>
          <w:b/>
          <w:bCs/>
          <w:lang w:eastAsia="zh-CN"/>
        </w:rPr>
        <w:t>L.65</w:t>
      </w:r>
      <w:r w:rsidRPr="00C3243E">
        <w:rPr>
          <w:rFonts w:ascii="SimSun" w:eastAsia="SimSun" w:hAnsi="SimSun" w:cs="SimSun" w:hint="eastAsia"/>
          <w:b/>
          <w:bCs/>
          <w:lang w:eastAsia="zh-CN"/>
        </w:rPr>
        <w:t>建议书</w:t>
      </w:r>
    </w:p>
    <w:p w:rsidR="00BA57C0" w:rsidRPr="005E1CC1" w:rsidRDefault="00BA57C0" w:rsidP="003744B8">
      <w:pPr>
        <w:rPr>
          <w:szCs w:val="24"/>
          <w:lang w:val="en-US" w:eastAsia="zh-CN"/>
        </w:rPr>
      </w:pPr>
      <w:r w:rsidRPr="002970A7">
        <w:rPr>
          <w:b/>
          <w:lang w:val="en-US" w:eastAsia="zh-CN"/>
        </w:rPr>
        <w:t xml:space="preserve">ITU-T </w:t>
      </w:r>
      <w:r w:rsidRPr="002970A7">
        <w:rPr>
          <w:b/>
          <w:szCs w:val="24"/>
          <w:lang w:val="en-US" w:eastAsia="zh-CN"/>
        </w:rPr>
        <w:t>L.15</w:t>
      </w:r>
      <w:r>
        <w:rPr>
          <w:rFonts w:hint="eastAsia"/>
          <w:b/>
          <w:szCs w:val="24"/>
          <w:lang w:val="en-US" w:eastAsia="zh-CN"/>
        </w:rPr>
        <w:t>建议书</w:t>
      </w:r>
      <w:r>
        <w:rPr>
          <w:rFonts w:hint="eastAsia"/>
          <w:szCs w:val="24"/>
          <w:lang w:val="en-US" w:eastAsia="zh-CN"/>
        </w:rPr>
        <w:t>：</w:t>
      </w:r>
      <w:r w:rsidRPr="002D5A1A">
        <w:rPr>
          <w:rFonts w:ascii="STKaiti" w:eastAsia="STKaiti" w:hAnsi="STKaiti" w:hint="eastAsia"/>
          <w:szCs w:val="24"/>
          <w:lang w:val="en-US" w:eastAsia="zh-CN"/>
        </w:rPr>
        <w:t>光本地分配网</w:t>
      </w:r>
      <w:r w:rsidRPr="002D5A1A">
        <w:rPr>
          <w:rFonts w:ascii="STKaiti" w:eastAsia="STKaiti" w:hAnsi="STKaiti"/>
          <w:i/>
          <w:iCs/>
          <w:szCs w:val="24"/>
          <w:lang w:val="en-US" w:eastAsia="zh-CN"/>
        </w:rPr>
        <w:t xml:space="preserve"> – </w:t>
      </w:r>
      <w:r w:rsidRPr="002D5A1A">
        <w:rPr>
          <w:rFonts w:ascii="STKaiti" w:eastAsia="STKaiti" w:hAnsi="STKaiti" w:hint="eastAsia"/>
          <w:szCs w:val="24"/>
          <w:lang w:val="en-US" w:eastAsia="zh-CN"/>
        </w:rPr>
        <w:t>网络建设需要考虑的因素</w:t>
      </w:r>
      <w:r w:rsidRPr="00603939">
        <w:rPr>
          <w:rFonts w:hint="eastAsia"/>
          <w:szCs w:val="24"/>
          <w:lang w:val="en-US" w:eastAsia="zh-CN"/>
        </w:rPr>
        <w:t>：</w:t>
      </w:r>
    </w:p>
    <w:p w:rsidR="00BA57C0" w:rsidRDefault="00BA57C0" w:rsidP="003744B8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涉及利用单模光缆建设的光分配网；</w:t>
      </w:r>
    </w:p>
    <w:p w:rsidR="00BA57C0" w:rsidRDefault="00BA57C0" w:rsidP="009772E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772E6">
        <w:rPr>
          <w:rFonts w:ascii="SimSun" w:eastAsia="SimSun" w:hAnsi="SimSun" w:hint="eastAsia"/>
          <w:lang w:eastAsia="zh-CN"/>
        </w:rPr>
        <w:t>阐述了一直以来</w:t>
      </w:r>
      <w:r w:rsidR="00C37462">
        <w:rPr>
          <w:rFonts w:ascii="SimSun" w:eastAsia="SimSun" w:hAnsi="SimSun" w:hint="eastAsia"/>
          <w:lang w:eastAsia="zh-CN"/>
        </w:rPr>
        <w:t>用于满足不同系统目标的物理网络架构；</w:t>
      </w:r>
    </w:p>
    <w:p w:rsidR="00BA57C0" w:rsidRDefault="00BA57C0" w:rsidP="003744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37462">
        <w:rPr>
          <w:rFonts w:ascii="SimSun" w:eastAsia="SimSun" w:hAnsi="SimSun" w:hint="eastAsia"/>
          <w:lang w:eastAsia="zh-CN"/>
        </w:rPr>
        <w:t>考虑到了不同客户服务区的环境条件；</w:t>
      </w:r>
    </w:p>
    <w:p w:rsidR="00BA57C0" w:rsidRDefault="00BA57C0" w:rsidP="003744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37462">
        <w:rPr>
          <w:rFonts w:ascii="SimSun" w:eastAsia="SimSun" w:hAnsi="SimSun" w:hint="eastAsia"/>
          <w:lang w:eastAsia="zh-CN"/>
        </w:rPr>
        <w:t>参引了与第</w:t>
      </w:r>
      <w:r w:rsidR="00C37462">
        <w:rPr>
          <w:lang w:eastAsia="zh-CN"/>
        </w:rPr>
        <w:t>XV</w:t>
      </w:r>
      <w:r w:rsidR="00C37462">
        <w:rPr>
          <w:rFonts w:ascii="SimSun" w:eastAsia="SimSun" w:hAnsi="SimSun" w:hint="eastAsia"/>
          <w:lang w:eastAsia="zh-CN"/>
        </w:rPr>
        <w:t>研究组工作有关的系统相关要求；</w:t>
      </w:r>
    </w:p>
    <w:p w:rsidR="00BA57C0" w:rsidRDefault="00BA57C0" w:rsidP="003744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37462">
        <w:rPr>
          <w:rFonts w:ascii="SimSun" w:eastAsia="SimSun" w:hAnsi="SimSun" w:hint="eastAsia"/>
          <w:lang w:eastAsia="zh-CN"/>
        </w:rPr>
        <w:t>涉及用于网络建设的无源光组件；</w:t>
      </w:r>
    </w:p>
    <w:p w:rsidR="00BA57C0" w:rsidRDefault="00BA57C0" w:rsidP="003744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37462">
        <w:rPr>
          <w:rFonts w:ascii="SimSun" w:eastAsia="SimSun" w:hAnsi="SimSun" w:hint="eastAsia"/>
          <w:lang w:eastAsia="zh-CN"/>
        </w:rPr>
        <w:t>涉及安装和维护问题；</w:t>
      </w:r>
    </w:p>
    <w:p w:rsidR="00BA57C0" w:rsidRDefault="00BA57C0" w:rsidP="009772E6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37462">
        <w:rPr>
          <w:rFonts w:ascii="SimSun" w:eastAsia="SimSun" w:hAnsi="SimSun" w:hint="eastAsia"/>
          <w:lang w:eastAsia="zh-CN"/>
        </w:rPr>
        <w:t>考虑了</w:t>
      </w:r>
      <w:r w:rsidR="009772E6">
        <w:rPr>
          <w:rFonts w:ascii="SimSun" w:eastAsia="SimSun" w:hAnsi="SimSun" w:hint="eastAsia"/>
          <w:lang w:eastAsia="zh-CN"/>
        </w:rPr>
        <w:t>供电</w:t>
      </w:r>
      <w:r w:rsidR="00C37462">
        <w:rPr>
          <w:rFonts w:ascii="SimSun" w:eastAsia="SimSun" w:hAnsi="SimSun" w:hint="eastAsia"/>
          <w:lang w:eastAsia="zh-CN"/>
        </w:rPr>
        <w:t>问题；</w:t>
      </w:r>
    </w:p>
    <w:p w:rsidR="00BA57C0" w:rsidRDefault="00BA57C0" w:rsidP="003744B8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E3472">
        <w:rPr>
          <w:rFonts w:ascii="SimSun" w:eastAsia="SimSun" w:hAnsi="SimSun" w:hint="eastAsia"/>
          <w:lang w:eastAsia="zh-CN"/>
        </w:rPr>
        <w:t>考虑了光</w:t>
      </w:r>
      <w:r w:rsidR="00C37462">
        <w:rPr>
          <w:rFonts w:ascii="SimSun" w:eastAsia="SimSun" w:hAnsi="SimSun" w:hint="eastAsia"/>
          <w:lang w:eastAsia="zh-CN"/>
        </w:rPr>
        <w:t>安全性要求。</w:t>
      </w:r>
    </w:p>
    <w:p w:rsidR="00BA57C0" w:rsidRDefault="00BA57C0" w:rsidP="009772E6">
      <w:pPr>
        <w:rPr>
          <w:i/>
          <w:iCs/>
          <w:szCs w:val="24"/>
          <w:lang w:val="en-US" w:eastAsia="zh-CN"/>
        </w:rPr>
      </w:pPr>
      <w:r w:rsidRPr="002970A7">
        <w:rPr>
          <w:b/>
          <w:bCs/>
          <w:lang w:val="en-US" w:eastAsia="zh-CN"/>
        </w:rPr>
        <w:t xml:space="preserve">ITU-T </w:t>
      </w:r>
      <w:r w:rsidRPr="002970A7">
        <w:rPr>
          <w:b/>
          <w:bCs/>
          <w:szCs w:val="24"/>
          <w:lang w:val="en-US" w:eastAsia="zh-CN"/>
        </w:rPr>
        <w:t>L.42</w:t>
      </w:r>
      <w:r w:rsidR="00C37462">
        <w:rPr>
          <w:rFonts w:hint="eastAsia"/>
          <w:b/>
          <w:bCs/>
          <w:szCs w:val="24"/>
          <w:lang w:val="en-US" w:eastAsia="zh-CN"/>
        </w:rPr>
        <w:t>建议书</w:t>
      </w:r>
      <w:r w:rsidR="00C37462">
        <w:rPr>
          <w:rFonts w:hint="eastAsia"/>
          <w:szCs w:val="24"/>
          <w:lang w:val="en-US" w:eastAsia="zh-CN"/>
        </w:rPr>
        <w:t>：</w:t>
      </w:r>
      <w:r w:rsidR="00C37462" w:rsidRPr="002D5A1A">
        <w:rPr>
          <w:rFonts w:ascii="STKaiti" w:eastAsia="STKaiti" w:hAnsi="STKaiti" w:hint="eastAsia"/>
          <w:szCs w:val="24"/>
          <w:lang w:val="en-US" w:eastAsia="zh-CN"/>
        </w:rPr>
        <w:t>将光纤解决方案扩展至接入网</w:t>
      </w:r>
      <w:r w:rsidR="009E3472">
        <w:rPr>
          <w:rFonts w:hint="eastAsia"/>
          <w:szCs w:val="24"/>
          <w:lang w:val="en-US" w:eastAsia="zh-CN"/>
        </w:rPr>
        <w:t>，描述了将在光纤到户（</w:t>
      </w:r>
      <w:proofErr w:type="spellStart"/>
      <w:r w:rsidR="009E3472" w:rsidRPr="005F6382">
        <w:rPr>
          <w:szCs w:val="24"/>
          <w:lang w:val="en-US" w:eastAsia="zh-CN"/>
        </w:rPr>
        <w:t>FTTH</w:t>
      </w:r>
      <w:proofErr w:type="spellEnd"/>
      <w:r w:rsidR="009E3472">
        <w:rPr>
          <w:rFonts w:hint="eastAsia"/>
          <w:szCs w:val="24"/>
          <w:lang w:val="en-US" w:eastAsia="zh-CN"/>
        </w:rPr>
        <w:t>）的设计和</w:t>
      </w:r>
      <w:r w:rsidR="00603939">
        <w:rPr>
          <w:rFonts w:hint="eastAsia"/>
          <w:szCs w:val="24"/>
          <w:lang w:val="en-US" w:eastAsia="zh-CN"/>
        </w:rPr>
        <w:t>建设</w:t>
      </w:r>
      <w:r w:rsidR="009E3472">
        <w:rPr>
          <w:rFonts w:hint="eastAsia"/>
          <w:szCs w:val="24"/>
          <w:lang w:val="en-US" w:eastAsia="zh-CN"/>
        </w:rPr>
        <w:t>中使用的光</w:t>
      </w:r>
      <w:r w:rsidR="00C514CB">
        <w:rPr>
          <w:rFonts w:hint="eastAsia"/>
          <w:szCs w:val="24"/>
          <w:lang w:val="en-US" w:eastAsia="zh-CN"/>
        </w:rPr>
        <w:t>接入网。该建议书主要涉及接入网的架构以及光网络向光接入网的升级。</w:t>
      </w:r>
    </w:p>
    <w:p w:rsidR="00BA57C0" w:rsidRDefault="00BA57C0" w:rsidP="003744B8">
      <w:pPr>
        <w:rPr>
          <w:i/>
          <w:iCs/>
          <w:szCs w:val="24"/>
          <w:lang w:val="en-US" w:eastAsia="zh-CN"/>
        </w:rPr>
      </w:pPr>
      <w:r w:rsidRPr="002970A7">
        <w:rPr>
          <w:b/>
          <w:bCs/>
          <w:lang w:val="en-US" w:eastAsia="zh-CN"/>
        </w:rPr>
        <w:t xml:space="preserve">ITU-T </w:t>
      </w:r>
      <w:r w:rsidRPr="002970A7">
        <w:rPr>
          <w:b/>
          <w:bCs/>
          <w:szCs w:val="24"/>
          <w:lang w:val="en-US" w:eastAsia="zh-CN"/>
        </w:rPr>
        <w:t>L.52</w:t>
      </w:r>
      <w:r w:rsidR="00C514CB">
        <w:rPr>
          <w:rFonts w:hint="eastAsia"/>
          <w:b/>
          <w:bCs/>
          <w:szCs w:val="24"/>
          <w:lang w:val="en-US" w:eastAsia="zh-CN"/>
        </w:rPr>
        <w:t>建议书</w:t>
      </w:r>
      <w:r w:rsidR="00C514CB">
        <w:rPr>
          <w:rFonts w:hint="eastAsia"/>
          <w:szCs w:val="24"/>
          <w:lang w:val="en-US" w:eastAsia="zh-CN"/>
        </w:rPr>
        <w:t>：</w:t>
      </w:r>
      <w:r w:rsidR="00C514CB" w:rsidRPr="002D5A1A">
        <w:rPr>
          <w:rFonts w:ascii="STKaiti" w:eastAsia="STKaiti" w:hAnsi="STKaiti" w:hint="eastAsia"/>
          <w:szCs w:val="24"/>
          <w:lang w:val="en-US" w:eastAsia="zh-CN"/>
        </w:rPr>
        <w:t>无源光网络</w:t>
      </w:r>
      <w:r w:rsidR="00C514CB" w:rsidRPr="0079687D">
        <w:rPr>
          <w:rFonts w:asciiTheme="majorBidi" w:eastAsia="STKaiti" w:hAnsiTheme="majorBidi" w:cstheme="majorBidi"/>
          <w:szCs w:val="24"/>
          <w:lang w:val="en-US" w:eastAsia="zh-CN"/>
        </w:rPr>
        <w:t>（</w:t>
      </w:r>
      <w:bookmarkStart w:id="3" w:name="_GoBack"/>
      <w:bookmarkEnd w:id="3"/>
      <w:proofErr w:type="spellStart"/>
      <w:r w:rsidR="00C514CB" w:rsidRPr="0079687D">
        <w:rPr>
          <w:rFonts w:asciiTheme="majorBidi" w:eastAsia="STKaiti" w:hAnsiTheme="majorBidi" w:cstheme="majorBidi"/>
          <w:szCs w:val="24"/>
          <w:lang w:val="en-US" w:eastAsia="zh-CN"/>
        </w:rPr>
        <w:t>PON</w:t>
      </w:r>
      <w:proofErr w:type="spellEnd"/>
      <w:r w:rsidR="00C514CB" w:rsidRPr="0079687D">
        <w:rPr>
          <w:rFonts w:asciiTheme="majorBidi" w:eastAsia="STKaiti" w:hAnsiTheme="majorBidi" w:cstheme="majorBidi"/>
          <w:szCs w:val="24"/>
          <w:lang w:val="en-US" w:eastAsia="zh-CN"/>
        </w:rPr>
        <w:t>）</w:t>
      </w:r>
      <w:r w:rsidR="00C514CB" w:rsidRPr="002D5A1A">
        <w:rPr>
          <w:rFonts w:ascii="STKaiti" w:eastAsia="STKaiti" w:hAnsi="STKaiti" w:hint="eastAsia"/>
          <w:szCs w:val="24"/>
          <w:lang w:val="en-US" w:eastAsia="zh-CN"/>
        </w:rPr>
        <w:t>的部署</w:t>
      </w:r>
      <w:r w:rsidR="00C514CB">
        <w:rPr>
          <w:rFonts w:hint="eastAsia"/>
          <w:szCs w:val="24"/>
          <w:lang w:val="en-US" w:eastAsia="zh-CN"/>
        </w:rPr>
        <w:t>，描述了光纤到户（</w:t>
      </w:r>
      <w:proofErr w:type="spellStart"/>
      <w:r w:rsidR="00C514CB" w:rsidRPr="005F6382">
        <w:rPr>
          <w:szCs w:val="24"/>
          <w:lang w:val="en-US" w:eastAsia="zh-CN"/>
        </w:rPr>
        <w:t>FTTH</w:t>
      </w:r>
      <w:proofErr w:type="spellEnd"/>
      <w:r w:rsidR="00C514CB">
        <w:rPr>
          <w:rFonts w:hint="eastAsia"/>
          <w:szCs w:val="24"/>
          <w:lang w:val="en-US" w:eastAsia="zh-CN"/>
        </w:rPr>
        <w:t>）</w:t>
      </w:r>
      <w:r w:rsidR="009772E6">
        <w:rPr>
          <w:rFonts w:hint="eastAsia"/>
          <w:szCs w:val="24"/>
          <w:lang w:val="en-US" w:eastAsia="zh-CN"/>
        </w:rPr>
        <w:t>使用</w:t>
      </w:r>
      <w:r w:rsidR="00C514CB">
        <w:rPr>
          <w:rFonts w:hint="eastAsia"/>
          <w:szCs w:val="24"/>
          <w:lang w:val="en-US" w:eastAsia="zh-CN"/>
        </w:rPr>
        <w:t>的光接入网的设计和</w:t>
      </w:r>
      <w:r w:rsidR="00603939">
        <w:rPr>
          <w:rFonts w:hint="eastAsia"/>
          <w:szCs w:val="24"/>
          <w:lang w:val="en-US" w:eastAsia="zh-CN"/>
        </w:rPr>
        <w:t>建设</w:t>
      </w:r>
      <w:r w:rsidR="00C514CB">
        <w:rPr>
          <w:rFonts w:hint="eastAsia"/>
          <w:szCs w:val="24"/>
          <w:lang w:val="en-US" w:eastAsia="zh-CN"/>
        </w:rPr>
        <w:t>中</w:t>
      </w:r>
      <w:r w:rsidR="00603939">
        <w:rPr>
          <w:rFonts w:hint="eastAsia"/>
          <w:szCs w:val="24"/>
          <w:lang w:val="en-US" w:eastAsia="zh-CN"/>
        </w:rPr>
        <w:t>无源光网络（</w:t>
      </w:r>
      <w:proofErr w:type="spellStart"/>
      <w:r w:rsidR="00603939" w:rsidRPr="002970A7">
        <w:rPr>
          <w:szCs w:val="24"/>
          <w:lang w:val="en-US" w:eastAsia="zh-CN"/>
        </w:rPr>
        <w:t>PON</w:t>
      </w:r>
      <w:proofErr w:type="spellEnd"/>
      <w:r w:rsidR="00603939">
        <w:rPr>
          <w:rFonts w:hint="eastAsia"/>
          <w:szCs w:val="24"/>
          <w:lang w:val="en-US" w:eastAsia="zh-CN"/>
        </w:rPr>
        <w:t>）的部署。</w:t>
      </w:r>
    </w:p>
    <w:p w:rsidR="00BA57C0" w:rsidRDefault="00BA57C0" w:rsidP="009772E6">
      <w:pPr>
        <w:rPr>
          <w:szCs w:val="24"/>
          <w:lang w:val="en-US" w:eastAsia="zh-CN"/>
        </w:rPr>
      </w:pPr>
      <w:r w:rsidRPr="002970A7">
        <w:rPr>
          <w:b/>
          <w:bCs/>
          <w:lang w:val="en-US" w:eastAsia="zh-CN"/>
        </w:rPr>
        <w:t xml:space="preserve">ITU-T </w:t>
      </w:r>
      <w:r w:rsidRPr="002970A7">
        <w:rPr>
          <w:b/>
          <w:bCs/>
          <w:szCs w:val="24"/>
          <w:lang w:val="en-US" w:eastAsia="zh-CN"/>
        </w:rPr>
        <w:t>L.65</w:t>
      </w:r>
      <w:r w:rsidR="00603939">
        <w:rPr>
          <w:rFonts w:hint="eastAsia"/>
          <w:b/>
          <w:bCs/>
          <w:szCs w:val="24"/>
          <w:lang w:val="en-US" w:eastAsia="zh-CN"/>
        </w:rPr>
        <w:t>建议书</w:t>
      </w:r>
      <w:r w:rsidR="00603939">
        <w:rPr>
          <w:rFonts w:hint="eastAsia"/>
          <w:szCs w:val="24"/>
          <w:lang w:val="en-US" w:eastAsia="zh-CN"/>
        </w:rPr>
        <w:t>：</w:t>
      </w:r>
      <w:r w:rsidR="00603939" w:rsidRPr="002D5A1A">
        <w:rPr>
          <w:rFonts w:ascii="STKaiti" w:eastAsia="STKaiti" w:hAnsi="STKaiti" w:hint="eastAsia"/>
          <w:szCs w:val="24"/>
          <w:lang w:val="en-US" w:eastAsia="zh-CN"/>
        </w:rPr>
        <w:t>接入网的光纤</w:t>
      </w:r>
      <w:r w:rsidR="00C028E9" w:rsidRPr="002D5A1A">
        <w:rPr>
          <w:rFonts w:ascii="STKaiti" w:eastAsia="STKaiti" w:hAnsi="STKaiti" w:hint="eastAsia"/>
          <w:szCs w:val="24"/>
          <w:lang w:val="en-US" w:eastAsia="zh-CN"/>
        </w:rPr>
        <w:t>分配</w:t>
      </w:r>
      <w:r w:rsidR="00603939">
        <w:rPr>
          <w:rFonts w:hint="eastAsia"/>
          <w:szCs w:val="24"/>
          <w:lang w:val="en-US" w:eastAsia="zh-CN"/>
        </w:rPr>
        <w:t>，</w:t>
      </w:r>
      <w:r w:rsidR="00F2713B">
        <w:rPr>
          <w:rFonts w:hint="eastAsia"/>
          <w:szCs w:val="24"/>
          <w:lang w:val="en-US" w:eastAsia="zh-CN"/>
        </w:rPr>
        <w:t>涉及</w:t>
      </w:r>
      <w:r w:rsidR="009772E6">
        <w:rPr>
          <w:rFonts w:hint="eastAsia"/>
          <w:szCs w:val="24"/>
          <w:lang w:val="en-US" w:eastAsia="zh-CN"/>
        </w:rPr>
        <w:t>根据不断增长的</w:t>
      </w:r>
      <w:r w:rsidR="00F2713B">
        <w:rPr>
          <w:rFonts w:hint="eastAsia"/>
          <w:szCs w:val="24"/>
          <w:lang w:val="en-US" w:eastAsia="zh-CN"/>
        </w:rPr>
        <w:t>客户数量，光纤</w:t>
      </w:r>
      <w:r w:rsidR="00C028E9">
        <w:rPr>
          <w:rFonts w:hint="eastAsia"/>
          <w:szCs w:val="24"/>
          <w:lang w:val="en-US" w:eastAsia="zh-CN"/>
        </w:rPr>
        <w:t>分配</w:t>
      </w:r>
      <w:r w:rsidR="009772E6">
        <w:rPr>
          <w:rFonts w:hint="eastAsia"/>
          <w:szCs w:val="24"/>
          <w:lang w:val="en-US" w:eastAsia="zh-CN"/>
        </w:rPr>
        <w:t>经历</w:t>
      </w:r>
      <w:r w:rsidR="00F2713B">
        <w:rPr>
          <w:rFonts w:hint="eastAsia"/>
          <w:szCs w:val="24"/>
          <w:lang w:val="en-US" w:eastAsia="zh-CN"/>
        </w:rPr>
        <w:t>的四个阶段，即启动阶段、发展阶段、成熟阶段和最终阶段，以便立即、有效且经济地实现光纤接入网的设计、建设和维护</w:t>
      </w:r>
      <w:r w:rsidR="00F2713B" w:rsidRPr="00F2713B">
        <w:rPr>
          <w:rFonts w:hint="eastAsia"/>
          <w:szCs w:val="24"/>
          <w:lang w:val="en-US" w:eastAsia="zh-CN"/>
        </w:rPr>
        <w:t>。</w:t>
      </w:r>
    </w:p>
    <w:p w:rsidR="00BA57C0" w:rsidRPr="00F2181D" w:rsidRDefault="00F2713B" w:rsidP="00C3243E">
      <w:pPr>
        <w:pStyle w:val="Heading3"/>
        <w:rPr>
          <w:lang w:eastAsia="zh-CN"/>
        </w:rPr>
      </w:pPr>
      <w:r>
        <w:rPr>
          <w:rFonts w:hint="eastAsia"/>
          <w:lang w:eastAsia="zh-CN"/>
        </w:rPr>
        <w:t>删除上述四份建议书的理由</w:t>
      </w:r>
    </w:p>
    <w:p w:rsidR="00BA57C0" w:rsidRDefault="009772E6" w:rsidP="009772E6">
      <w:pPr>
        <w:spacing w:beforeLines="5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上述四份建议书所包含的材料现已过时，</w:t>
      </w:r>
      <w:r w:rsidR="00C028E9">
        <w:rPr>
          <w:rFonts w:hint="eastAsia"/>
          <w:szCs w:val="24"/>
          <w:lang w:eastAsia="zh-CN"/>
        </w:rPr>
        <w:t>已</w:t>
      </w:r>
      <w:r>
        <w:rPr>
          <w:rFonts w:hint="eastAsia"/>
          <w:szCs w:val="24"/>
          <w:lang w:eastAsia="zh-CN"/>
        </w:rPr>
        <w:t>被</w:t>
      </w:r>
      <w:r w:rsidR="00C028E9">
        <w:rPr>
          <w:szCs w:val="24"/>
          <w:lang w:eastAsia="zh-CN"/>
        </w:rPr>
        <w:t>ITU-T L.90</w:t>
      </w:r>
      <w:r w:rsidR="00C028E9">
        <w:rPr>
          <w:rFonts w:hint="eastAsia"/>
          <w:szCs w:val="24"/>
          <w:lang w:eastAsia="zh-CN"/>
        </w:rPr>
        <w:t>建议书（原</w:t>
      </w:r>
      <w:proofErr w:type="spellStart"/>
      <w:r w:rsidR="00C028E9" w:rsidRPr="00AC4C6D">
        <w:rPr>
          <w:szCs w:val="24"/>
          <w:lang w:eastAsia="zh-CN"/>
        </w:rPr>
        <w:t>L.oanbs</w:t>
      </w:r>
      <w:proofErr w:type="spellEnd"/>
      <w:r w:rsidR="00C028E9">
        <w:rPr>
          <w:rFonts w:hint="eastAsia"/>
          <w:szCs w:val="24"/>
          <w:lang w:eastAsia="zh-CN"/>
        </w:rPr>
        <w:t>建议书）所取代，该建议书于</w:t>
      </w:r>
      <w:r w:rsidR="00C028E9" w:rsidRPr="00AC4C6D">
        <w:rPr>
          <w:szCs w:val="24"/>
          <w:lang w:eastAsia="zh-CN"/>
        </w:rPr>
        <w:t>2011</w:t>
      </w:r>
      <w:r w:rsidR="00C028E9">
        <w:rPr>
          <w:rFonts w:hint="eastAsia"/>
          <w:szCs w:val="24"/>
          <w:lang w:eastAsia="zh-CN"/>
        </w:rPr>
        <w:t>年</w:t>
      </w:r>
      <w:r w:rsidR="00C028E9">
        <w:rPr>
          <w:rFonts w:hint="eastAsia"/>
          <w:szCs w:val="24"/>
          <w:lang w:eastAsia="zh-CN"/>
        </w:rPr>
        <w:t>12</w:t>
      </w:r>
      <w:r w:rsidR="00C028E9">
        <w:rPr>
          <w:rFonts w:hint="eastAsia"/>
          <w:szCs w:val="24"/>
          <w:lang w:eastAsia="zh-CN"/>
        </w:rPr>
        <w:t>月</w:t>
      </w:r>
      <w:r w:rsidR="00C028E9">
        <w:rPr>
          <w:rFonts w:hint="eastAsia"/>
          <w:szCs w:val="24"/>
          <w:lang w:eastAsia="zh-CN"/>
        </w:rPr>
        <w:t>16</w:t>
      </w:r>
      <w:r w:rsidR="00C028E9">
        <w:rPr>
          <w:rFonts w:hint="eastAsia"/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得到</w:t>
      </w:r>
      <w:r w:rsidR="00C028E9" w:rsidRPr="00AC4C6D">
        <w:rPr>
          <w:szCs w:val="24"/>
          <w:lang w:eastAsia="zh-CN"/>
        </w:rPr>
        <w:t>ITU</w:t>
      </w:r>
      <w:r w:rsidR="00C028E9" w:rsidRPr="00AC4C6D">
        <w:rPr>
          <w:szCs w:val="24"/>
          <w:lang w:eastAsia="zh-CN"/>
        </w:rPr>
        <w:noBreakHyphen/>
        <w:t>T</w:t>
      </w:r>
      <w:r w:rsidR="00C028E9">
        <w:rPr>
          <w:rFonts w:hint="eastAsia"/>
          <w:szCs w:val="24"/>
          <w:lang w:eastAsia="zh-CN"/>
        </w:rPr>
        <w:t>第</w:t>
      </w:r>
      <w:r w:rsidR="00C028E9" w:rsidRPr="00AC4C6D">
        <w:rPr>
          <w:szCs w:val="24"/>
          <w:lang w:eastAsia="zh-CN"/>
        </w:rPr>
        <w:t>15</w:t>
      </w:r>
      <w:r w:rsidR="00C028E9">
        <w:rPr>
          <w:rFonts w:hint="eastAsia"/>
          <w:szCs w:val="24"/>
          <w:lang w:eastAsia="zh-CN"/>
        </w:rPr>
        <w:t>研究组同意。</w:t>
      </w:r>
    </w:p>
    <w:p w:rsidR="00BA57C0" w:rsidRPr="000665BA" w:rsidRDefault="00BA57C0" w:rsidP="003744B8">
      <w:pPr>
        <w:rPr>
          <w:szCs w:val="24"/>
          <w:lang w:eastAsia="zh-CN"/>
        </w:rPr>
      </w:pPr>
    </w:p>
    <w:p w:rsidR="00BA57C0" w:rsidRDefault="00BA57C0" w:rsidP="003744B8">
      <w:pPr>
        <w:spacing w:beforeLines="50"/>
        <w:rPr>
          <w:szCs w:val="24"/>
          <w:lang w:val="en-US" w:eastAsia="zh-CN"/>
        </w:rPr>
      </w:pPr>
    </w:p>
    <w:p w:rsidR="00B15807" w:rsidRPr="002970A7" w:rsidRDefault="00B15807" w:rsidP="003744B8">
      <w:pPr>
        <w:spacing w:beforeLines="50"/>
        <w:rPr>
          <w:szCs w:val="24"/>
          <w:lang w:val="en-US" w:eastAsia="zh-CN"/>
        </w:rPr>
      </w:pPr>
    </w:p>
    <w:p w:rsidR="00BA57C0" w:rsidRPr="003145E2" w:rsidRDefault="00BA57C0" w:rsidP="003744B8">
      <w:pPr>
        <w:spacing w:beforeLines="50"/>
        <w:jc w:val="center"/>
        <w:rPr>
          <w:szCs w:val="24"/>
          <w:lang w:eastAsia="zh-CN"/>
        </w:rPr>
      </w:pPr>
      <w:r w:rsidRPr="00217A35">
        <w:rPr>
          <w:lang w:eastAsia="zh-CN"/>
        </w:rPr>
        <w:t>_____________</w:t>
      </w:r>
    </w:p>
    <w:p w:rsidR="00F11C9E" w:rsidRPr="00217A35" w:rsidRDefault="00F11C9E" w:rsidP="003744B8">
      <w:pPr>
        <w:pStyle w:val="enumlev1"/>
        <w:tabs>
          <w:tab w:val="clear" w:pos="794"/>
        </w:tabs>
        <w:ind w:left="0" w:firstLine="0"/>
        <w:rPr>
          <w:lang w:eastAsia="zh-CN"/>
        </w:rPr>
      </w:pPr>
    </w:p>
    <w:sectPr w:rsidR="00F11C9E" w:rsidRPr="00217A35" w:rsidSect="00BE14D2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07" w:rsidRDefault="00B15807">
      <w:r>
        <w:separator/>
      </w:r>
    </w:p>
  </w:endnote>
  <w:endnote w:type="continuationSeparator" w:id="0">
    <w:p w:rsidR="00B15807" w:rsidRDefault="00B1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07" w:rsidRPr="0079687D" w:rsidRDefault="0079687D" w:rsidP="0079687D">
    <w:pPr>
      <w:pStyle w:val="Footer"/>
      <w:rPr>
        <w:lang w:val="fr-CH"/>
      </w:rPr>
    </w:pPr>
    <w:r w:rsidRPr="0079687D">
      <w:rPr>
        <w:lang w:val="fr-CH"/>
      </w:rPr>
      <w:t>ITU-T\BUREAU\</w:t>
    </w:r>
    <w:proofErr w:type="spellStart"/>
    <w:r w:rsidRPr="0079687D">
      <w:rPr>
        <w:lang w:val="fr-CH"/>
      </w:rPr>
      <w:t>CIRC</w:t>
    </w:r>
    <w:proofErr w:type="spellEnd"/>
    <w:r w:rsidRPr="0079687D">
      <w:rPr>
        <w:lang w:val="fr-CH"/>
      </w:rPr>
      <w:t>\246</w:t>
    </w:r>
    <w:r>
      <w:rPr>
        <w:lang w:val="fr-CH"/>
      </w:rPr>
      <w:t>C</w:t>
    </w:r>
    <w:r w:rsidRPr="0079687D">
      <w:rPr>
        <w:lang w:val="fr-CH"/>
      </w:rPr>
      <w:t>.DOC</w:t>
    </w:r>
    <w:r w:rsidRPr="0079687D">
      <w:rPr>
        <w:lang w:val="fr-CH"/>
      </w:rPr>
      <w:tab/>
    </w:r>
    <w:r w:rsidRPr="0079687D">
      <w:rPr>
        <w:lang w:val="fr-CH"/>
      </w:rPr>
      <w:tab/>
    </w:r>
    <w:r w:rsidRPr="0079687D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07" w:rsidRDefault="00B15807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B15807" w:rsidRDefault="00B15807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 xml:space="preserve">Telegram ITU </w:t>
    </w:r>
    <w:proofErr w:type="spellStart"/>
    <w:r>
      <w:rPr>
        <w:rFonts w:ascii="Futura Lt BT" w:hAnsi="Futura Lt BT"/>
        <w:sz w:val="18"/>
      </w:rPr>
      <w:t>GENEVE</w:t>
    </w:r>
    <w:proofErr w:type="spellEnd"/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B15807" w:rsidRDefault="00B15807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07" w:rsidRDefault="00B15807">
      <w:r>
        <w:separator/>
      </w:r>
    </w:p>
  </w:footnote>
  <w:footnote w:type="continuationSeparator" w:id="0">
    <w:p w:rsidR="00B15807" w:rsidRDefault="00B1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07" w:rsidRPr="0005363C" w:rsidRDefault="00B15807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79687D">
      <w:rPr>
        <w:noProof/>
        <w:sz w:val="18"/>
        <w:szCs w:val="18"/>
      </w:rPr>
      <w:t>3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E"/>
    <w:rsid w:val="0001602B"/>
    <w:rsid w:val="000369DD"/>
    <w:rsid w:val="00043B90"/>
    <w:rsid w:val="00043C2F"/>
    <w:rsid w:val="000520CE"/>
    <w:rsid w:val="0005363C"/>
    <w:rsid w:val="00061A44"/>
    <w:rsid w:val="00065D52"/>
    <w:rsid w:val="00090E72"/>
    <w:rsid w:val="000B5238"/>
    <w:rsid w:val="000D0CAD"/>
    <w:rsid w:val="00171726"/>
    <w:rsid w:val="00197763"/>
    <w:rsid w:val="00234A9B"/>
    <w:rsid w:val="00285277"/>
    <w:rsid w:val="002B7197"/>
    <w:rsid w:val="002D5A1A"/>
    <w:rsid w:val="002E05E3"/>
    <w:rsid w:val="003720EF"/>
    <w:rsid w:val="003744B8"/>
    <w:rsid w:val="003B1829"/>
    <w:rsid w:val="0040509B"/>
    <w:rsid w:val="00407D8C"/>
    <w:rsid w:val="004220A1"/>
    <w:rsid w:val="004420A6"/>
    <w:rsid w:val="00443FA9"/>
    <w:rsid w:val="00451D51"/>
    <w:rsid w:val="004C2711"/>
    <w:rsid w:val="005369DC"/>
    <w:rsid w:val="005B735F"/>
    <w:rsid w:val="005D1C14"/>
    <w:rsid w:val="00603939"/>
    <w:rsid w:val="00624E9B"/>
    <w:rsid w:val="00627AE8"/>
    <w:rsid w:val="0063445E"/>
    <w:rsid w:val="00664CC9"/>
    <w:rsid w:val="0066644A"/>
    <w:rsid w:val="00675C8F"/>
    <w:rsid w:val="006A0912"/>
    <w:rsid w:val="006A7C14"/>
    <w:rsid w:val="006B690D"/>
    <w:rsid w:val="006D1B24"/>
    <w:rsid w:val="006D22B1"/>
    <w:rsid w:val="00731F49"/>
    <w:rsid w:val="00742159"/>
    <w:rsid w:val="0079687D"/>
    <w:rsid w:val="007C7164"/>
    <w:rsid w:val="007D1D8C"/>
    <w:rsid w:val="007F75EE"/>
    <w:rsid w:val="0081204F"/>
    <w:rsid w:val="00852090"/>
    <w:rsid w:val="008F7F42"/>
    <w:rsid w:val="009128F1"/>
    <w:rsid w:val="0091570E"/>
    <w:rsid w:val="00956D38"/>
    <w:rsid w:val="00961C6C"/>
    <w:rsid w:val="009772E6"/>
    <w:rsid w:val="00981CE5"/>
    <w:rsid w:val="009E3472"/>
    <w:rsid w:val="00A16AB0"/>
    <w:rsid w:val="00A50575"/>
    <w:rsid w:val="00A559D7"/>
    <w:rsid w:val="00A83DB0"/>
    <w:rsid w:val="00A94FB0"/>
    <w:rsid w:val="00AA2288"/>
    <w:rsid w:val="00B07291"/>
    <w:rsid w:val="00B15807"/>
    <w:rsid w:val="00B30BCA"/>
    <w:rsid w:val="00B73F4D"/>
    <w:rsid w:val="00BA57C0"/>
    <w:rsid w:val="00BB5392"/>
    <w:rsid w:val="00BB5429"/>
    <w:rsid w:val="00BE1051"/>
    <w:rsid w:val="00BE14D2"/>
    <w:rsid w:val="00BE339D"/>
    <w:rsid w:val="00C028E9"/>
    <w:rsid w:val="00C3243E"/>
    <w:rsid w:val="00C37462"/>
    <w:rsid w:val="00C514CB"/>
    <w:rsid w:val="00C7008A"/>
    <w:rsid w:val="00C712E7"/>
    <w:rsid w:val="00C7612F"/>
    <w:rsid w:val="00CC5977"/>
    <w:rsid w:val="00CE17A9"/>
    <w:rsid w:val="00D05DE6"/>
    <w:rsid w:val="00D32E89"/>
    <w:rsid w:val="00D34F86"/>
    <w:rsid w:val="00D941B0"/>
    <w:rsid w:val="00DE48E5"/>
    <w:rsid w:val="00E11DF6"/>
    <w:rsid w:val="00E35907"/>
    <w:rsid w:val="00E440CC"/>
    <w:rsid w:val="00E83E1C"/>
    <w:rsid w:val="00E977AA"/>
    <w:rsid w:val="00EE2189"/>
    <w:rsid w:val="00F11C9E"/>
    <w:rsid w:val="00F2713B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Emphasis">
    <w:name w:val="Emphasis"/>
    <w:uiPriority w:val="20"/>
    <w:qFormat/>
    <w:rsid w:val="00F11C9E"/>
    <w:rPr>
      <w:b w:val="0"/>
      <w:bCs w:val="0"/>
      <w:i w:val="0"/>
      <w:iCs w:val="0"/>
      <w:color w:val="CC0033"/>
    </w:rPr>
  </w:style>
  <w:style w:type="paragraph" w:customStyle="1" w:styleId="AnnexNo">
    <w:name w:val="Annex_No"/>
    <w:basedOn w:val="Normal"/>
    <w:next w:val="Normal"/>
    <w:rsid w:val="00F11C9E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Normal"/>
    <w:rsid w:val="00F11C9E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enumlev1">
    <w:name w:val="enumlev1"/>
    <w:basedOn w:val="Normal"/>
    <w:rsid w:val="00F11C9E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F11C9E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styleId="FollowedHyperlink">
    <w:name w:val="FollowedHyperlink"/>
    <w:rsid w:val="0091570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59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97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Emphasis">
    <w:name w:val="Emphasis"/>
    <w:uiPriority w:val="20"/>
    <w:qFormat/>
    <w:rsid w:val="00F11C9E"/>
    <w:rPr>
      <w:b w:val="0"/>
      <w:bCs w:val="0"/>
      <w:i w:val="0"/>
      <w:iCs w:val="0"/>
      <w:color w:val="CC0033"/>
    </w:rPr>
  </w:style>
  <w:style w:type="paragraph" w:customStyle="1" w:styleId="AnnexNo">
    <w:name w:val="Annex_No"/>
    <w:basedOn w:val="Normal"/>
    <w:next w:val="Normal"/>
    <w:rsid w:val="00F11C9E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Normal"/>
    <w:rsid w:val="00F11C9E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enumlev1">
    <w:name w:val="enumlev1"/>
    <w:basedOn w:val="Normal"/>
    <w:rsid w:val="00F11C9E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F11C9E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styleId="FollowedHyperlink">
    <w:name w:val="FollowedHyperlink"/>
    <w:rsid w:val="0091570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C59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597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2019-9344-42FB-952B-A2180B7F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53</TotalTime>
  <Pages>3</Pages>
  <Words>1050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1469</CharactersWithSpaces>
  <SharedDoc>false</SharedDoc>
  <HLinks>
    <vt:vector size="12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RC</cp:lastModifiedBy>
  <cp:revision>10</cp:revision>
  <cp:lastPrinted>2012-01-11T14:47:00Z</cp:lastPrinted>
  <dcterms:created xsi:type="dcterms:W3CDTF">2012-01-09T16:28:00Z</dcterms:created>
  <dcterms:modified xsi:type="dcterms:W3CDTF">2012-01-11T15:08:00Z</dcterms:modified>
</cp:coreProperties>
</file>