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25696A">
      <w:pPr>
        <w:pStyle w:val="Index1"/>
        <w:tabs>
          <w:tab w:val="clear" w:pos="794"/>
          <w:tab w:val="clear" w:pos="1191"/>
          <w:tab w:val="clear" w:pos="1588"/>
          <w:tab w:val="clear" w:pos="1985"/>
          <w:tab w:val="left" w:pos="5387"/>
        </w:tabs>
        <w:rPr>
          <w:lang w:eastAsia="zh-CN"/>
        </w:rPr>
      </w:pPr>
      <w:r>
        <w:rPr>
          <w:lang w:eastAsia="zh-CN"/>
        </w:rPr>
        <w:tab/>
      </w:r>
      <w:r w:rsidR="0025696A">
        <w:rPr>
          <w:rFonts w:hint="eastAsia"/>
          <w:sz w:val="23"/>
          <w:szCs w:val="23"/>
          <w:lang w:eastAsia="zh-CN"/>
        </w:rPr>
        <w:t>2012</w:t>
      </w:r>
      <w:r w:rsidR="0025696A" w:rsidRPr="0033229B">
        <w:rPr>
          <w:rFonts w:hint="eastAsia"/>
          <w:szCs w:val="24"/>
          <w:lang w:eastAsia="zh-CN"/>
        </w:rPr>
        <w:t>年</w:t>
      </w:r>
      <w:r w:rsidR="0025696A">
        <w:rPr>
          <w:rFonts w:hint="eastAsia"/>
          <w:szCs w:val="24"/>
          <w:lang w:eastAsia="zh-CN"/>
        </w:rPr>
        <w:t>2</w:t>
      </w:r>
      <w:r w:rsidR="0025696A" w:rsidRPr="0033229B">
        <w:rPr>
          <w:rFonts w:hint="eastAsia"/>
          <w:szCs w:val="24"/>
          <w:lang w:eastAsia="zh-CN"/>
        </w:rPr>
        <w:t>月</w:t>
      </w:r>
      <w:r w:rsidR="0025696A">
        <w:rPr>
          <w:rFonts w:hint="eastAsia"/>
          <w:szCs w:val="24"/>
          <w:lang w:eastAsia="zh-CN"/>
        </w:rPr>
        <w:t>14</w:t>
      </w:r>
      <w:r w:rsidR="0025696A" w:rsidRPr="0033229B">
        <w:rPr>
          <w:rFonts w:hint="eastAsia"/>
          <w:szCs w:val="24"/>
          <w:lang w:eastAsia="zh-CN"/>
        </w:rPr>
        <w:t>日，日内瓦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Default="0025696A" w:rsidP="0025696A">
            <w:pPr>
              <w:tabs>
                <w:tab w:val="left" w:pos="4111"/>
              </w:tabs>
              <w:spacing w:before="0"/>
              <w:ind w:left="57"/>
              <w:rPr>
                <w:b/>
                <w:lang w:eastAsia="zh-CN"/>
              </w:rPr>
            </w:pPr>
            <w:r>
              <w:rPr>
                <w:rFonts w:ascii="Futura Lt BT" w:hAnsi="Futura Lt BT" w:hint="eastAsia"/>
                <w:b/>
                <w:bCs/>
                <w:iCs/>
                <w:lang w:eastAsia="zh-CN"/>
              </w:rPr>
              <w:t>电信标准化局第</w:t>
            </w:r>
            <w:r>
              <w:rPr>
                <w:rFonts w:hint="eastAsia"/>
                <w:b/>
                <w:lang w:eastAsia="zh-CN"/>
              </w:rPr>
              <w:t>253</w:t>
            </w:r>
            <w:r>
              <w:rPr>
                <w:rFonts w:ascii="Futura Lt BT" w:hAnsi="Futura Lt BT" w:hint="eastAsia"/>
                <w:b/>
                <w:bCs/>
                <w:iCs/>
                <w:lang w:val="fr-CH" w:eastAsia="zh-CN"/>
              </w:rPr>
              <w:t>号</w:t>
            </w:r>
            <w:r>
              <w:rPr>
                <w:rFonts w:hint="eastAsia"/>
                <w:b/>
                <w:lang w:eastAsia="zh-CN"/>
              </w:rPr>
              <w:t>通函</w:t>
            </w:r>
          </w:p>
          <w:p w:rsidR="0063445E" w:rsidRPr="00841612" w:rsidRDefault="0025696A" w:rsidP="0025696A">
            <w:pPr>
              <w:tabs>
                <w:tab w:val="left" w:pos="4111"/>
              </w:tabs>
              <w:spacing w:before="0"/>
              <w:rPr>
                <w:b/>
                <w:szCs w:val="24"/>
                <w:lang w:eastAsia="zh-CN"/>
              </w:rPr>
            </w:pPr>
            <w:r>
              <w:rPr>
                <w:lang w:eastAsia="zh-CN"/>
              </w:rPr>
              <w:t xml:space="preserve">FG </w:t>
            </w:r>
            <w:r w:rsidRPr="00661964">
              <w:rPr>
                <w:rFonts w:hint="eastAsia"/>
                <w:lang w:eastAsia="zh-CN"/>
              </w:rPr>
              <w:t>Innovation</w:t>
            </w:r>
            <w:r>
              <w:rPr>
                <w:lang w:eastAsia="zh-CN"/>
              </w:rPr>
              <w:t>/VM</w:t>
            </w:r>
          </w:p>
          <w:p w:rsidR="005C26FD" w:rsidRPr="00841612" w:rsidRDefault="0025696A" w:rsidP="00841612">
            <w:pPr>
              <w:tabs>
                <w:tab w:val="left" w:pos="4111"/>
              </w:tabs>
              <w:spacing w:before="80"/>
              <w:rPr>
                <w:szCs w:val="24"/>
                <w:lang w:val="en-US" w:eastAsia="zh-CN"/>
              </w:rPr>
            </w:pPr>
            <w:r>
              <w:rPr>
                <w:szCs w:val="24"/>
                <w:lang w:eastAsia="zh-CN"/>
              </w:rPr>
              <w:br/>
              <w:t xml:space="preserve">+41 22 730 </w:t>
            </w:r>
            <w:r>
              <w:rPr>
                <w:rFonts w:hint="eastAsia"/>
                <w:szCs w:val="24"/>
                <w:lang w:eastAsia="zh-CN"/>
              </w:rPr>
              <w:t>5591</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25696A" w:rsidRDefault="0025696A" w:rsidP="00692CD9">
            <w:pPr>
              <w:tabs>
                <w:tab w:val="clear" w:pos="794"/>
                <w:tab w:val="left" w:pos="284"/>
                <w:tab w:val="left" w:pos="4111"/>
              </w:tabs>
              <w:spacing w:before="0"/>
              <w:ind w:left="9"/>
              <w:rPr>
                <w:lang w:eastAsia="zh-CN"/>
              </w:rPr>
            </w:pPr>
            <w:bookmarkStart w:id="2" w:name="Addressee_E"/>
            <w:bookmarkEnd w:id="2"/>
            <w:r>
              <w:rPr>
                <w:rFonts w:hint="eastAsia"/>
                <w:lang w:eastAsia="zh-CN"/>
              </w:rPr>
              <w:t>-</w:t>
            </w:r>
            <w:r>
              <w:rPr>
                <w:rFonts w:hint="eastAsia"/>
                <w:lang w:eastAsia="zh-CN"/>
              </w:rPr>
              <w:tab/>
            </w:r>
            <w:r>
              <w:rPr>
                <w:rFonts w:hint="eastAsia"/>
                <w:lang w:eastAsia="zh-CN"/>
              </w:rPr>
              <w:t>致国际电联各成员国主管部门；</w:t>
            </w:r>
          </w:p>
          <w:p w:rsidR="0025696A" w:rsidRDefault="0025696A" w:rsidP="0025696A">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63445E" w:rsidRDefault="0025696A" w:rsidP="00E72784">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Pr>
                <w:rFonts w:hint="eastAsia"/>
                <w:lang w:eastAsia="zh-CN"/>
              </w:rPr>
              <w:t>致</w:t>
            </w:r>
            <w:r w:rsidRPr="0017497B">
              <w:rPr>
                <w:lang w:eastAsia="zh-CN"/>
              </w:rPr>
              <w:t>ITU-T</w:t>
            </w:r>
            <w:r>
              <w:rPr>
                <w:rFonts w:hint="eastAsia"/>
                <w:lang w:eastAsia="zh-CN"/>
              </w:rPr>
              <w:t>学术</w:t>
            </w:r>
            <w:r w:rsidRPr="0017497B">
              <w:rPr>
                <w:rFonts w:hint="eastAsia"/>
                <w:lang w:eastAsia="zh-CN"/>
              </w:rPr>
              <w:t>成员</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955AAD" w:rsidP="00160A43">
            <w:pPr>
              <w:tabs>
                <w:tab w:val="left" w:pos="4111"/>
              </w:tabs>
              <w:spacing w:before="0"/>
              <w:rPr>
                <w:lang w:eastAsia="zh-CN"/>
              </w:rPr>
            </w:pPr>
            <w:hyperlink r:id="rId9" w:history="1">
              <w:r w:rsidR="0025696A" w:rsidRPr="00506865">
                <w:rPr>
                  <w:rStyle w:val="Hyperlink"/>
                </w:rPr>
                <w:t>tsbfginnovation@itu.int</w:t>
              </w:r>
            </w:hyperlink>
          </w:p>
          <w:p w:rsidR="007568DA" w:rsidRPr="00841612" w:rsidRDefault="007568DA" w:rsidP="005C26FD">
            <w:pPr>
              <w:tabs>
                <w:tab w:val="left" w:pos="4111"/>
              </w:tabs>
              <w:spacing w:before="40"/>
              <w:rPr>
                <w:szCs w:val="24"/>
                <w:lang w:eastAsia="zh-CN"/>
              </w:rPr>
            </w:pPr>
          </w:p>
        </w:tc>
        <w:tc>
          <w:tcPr>
            <w:tcW w:w="4436" w:type="dxa"/>
          </w:tcPr>
          <w:p w:rsidR="0025696A" w:rsidRDefault="0025696A" w:rsidP="0025696A">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692CD9">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所有研究组正副主席；</w:t>
            </w:r>
          </w:p>
          <w:p w:rsidR="0025696A" w:rsidRDefault="0025696A" w:rsidP="00692CD9">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电信发展局主任；</w:t>
            </w:r>
          </w:p>
          <w:p w:rsidR="0063445E" w:rsidRDefault="00A73B72" w:rsidP="00692CD9">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5696A">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25696A" w:rsidRDefault="0025696A" w:rsidP="00692CD9">
            <w:pPr>
              <w:tabs>
                <w:tab w:val="clear" w:pos="794"/>
                <w:tab w:val="left" w:pos="4111"/>
              </w:tabs>
              <w:spacing w:before="0"/>
              <w:ind w:left="34" w:right="28"/>
              <w:rPr>
                <w:b/>
                <w:bCs/>
                <w:lang w:eastAsia="zh-CN"/>
              </w:rPr>
            </w:pPr>
            <w:r>
              <w:rPr>
                <w:rFonts w:hint="eastAsia"/>
                <w:b/>
                <w:bCs/>
                <w:lang w:eastAsia="zh-CN"/>
              </w:rPr>
              <w:t>创建</w:t>
            </w:r>
            <w:r w:rsidR="00C854F6">
              <w:rPr>
                <w:rFonts w:hint="eastAsia"/>
                <w:b/>
                <w:bCs/>
                <w:lang w:eastAsia="zh-CN"/>
              </w:rPr>
              <w:t>一个</w:t>
            </w:r>
            <w:r>
              <w:rPr>
                <w:rFonts w:hint="eastAsia"/>
                <w:b/>
                <w:bCs/>
                <w:lang w:eastAsia="zh-CN"/>
              </w:rPr>
              <w:t>新的“缩小创新到标准之间</w:t>
            </w:r>
            <w:r w:rsidR="00C854F6">
              <w:rPr>
                <w:rFonts w:hint="eastAsia"/>
                <w:b/>
                <w:bCs/>
                <w:lang w:eastAsia="zh-CN"/>
              </w:rPr>
              <w:t>距离</w:t>
            </w:r>
            <w:r w:rsidR="00D55A40">
              <w:rPr>
                <w:rFonts w:asciiTheme="minorEastAsia" w:eastAsiaTheme="minorEastAsia" w:hAnsiTheme="minorEastAsia" w:hint="eastAsia"/>
                <w:b/>
                <w:bCs/>
                <w:lang w:eastAsia="zh-CN"/>
              </w:rPr>
              <w:t>”</w:t>
            </w:r>
            <w:r w:rsidR="00C854F6">
              <w:rPr>
                <w:rFonts w:hint="eastAsia"/>
                <w:b/>
                <w:bCs/>
                <w:lang w:eastAsia="zh-CN"/>
              </w:rPr>
              <w:t>焦点组</w:t>
            </w:r>
            <w:r w:rsidR="00692CD9">
              <w:rPr>
                <w:rFonts w:hint="eastAsia"/>
                <w:b/>
                <w:bCs/>
                <w:lang w:eastAsia="zh-CN"/>
              </w:rPr>
              <w:t>；</w:t>
            </w:r>
          </w:p>
          <w:p w:rsidR="0063445E" w:rsidRDefault="00C854F6" w:rsidP="00E72784">
            <w:pPr>
              <w:tabs>
                <w:tab w:val="left" w:pos="4111"/>
              </w:tabs>
              <w:spacing w:before="0"/>
              <w:ind w:left="57" w:right="28"/>
              <w:rPr>
                <w:lang w:eastAsia="zh-CN"/>
              </w:rPr>
            </w:pPr>
            <w:r>
              <w:rPr>
                <w:rFonts w:hint="eastAsia"/>
                <w:b/>
                <w:lang w:eastAsia="zh-CN"/>
              </w:rPr>
              <w:t>创新焦点组（</w:t>
            </w:r>
            <w:r w:rsidR="0025696A" w:rsidRPr="00E03E08">
              <w:rPr>
                <w:b/>
                <w:lang w:eastAsia="zh-CN"/>
              </w:rPr>
              <w:t>FG</w:t>
            </w:r>
            <w:r w:rsidR="0025696A">
              <w:rPr>
                <w:b/>
                <w:lang w:eastAsia="zh-CN"/>
              </w:rPr>
              <w:t xml:space="preserve"> </w:t>
            </w:r>
            <w:r w:rsidR="0025696A">
              <w:rPr>
                <w:rFonts w:hint="eastAsia"/>
                <w:b/>
                <w:lang w:eastAsia="zh-CN"/>
              </w:rPr>
              <w:t>Innovation</w:t>
            </w:r>
            <w:r>
              <w:rPr>
                <w:rFonts w:hint="eastAsia"/>
                <w:b/>
                <w:lang w:eastAsia="zh-CN"/>
              </w:rPr>
              <w:t>）</w:t>
            </w:r>
            <w:r w:rsidR="0025696A">
              <w:rPr>
                <w:rFonts w:hint="eastAsia"/>
                <w:b/>
                <w:lang w:eastAsia="zh-CN"/>
              </w:rPr>
              <w:t>第一次会议</w:t>
            </w:r>
            <w:r>
              <w:rPr>
                <w:rFonts w:hint="eastAsia"/>
                <w:b/>
                <w:lang w:eastAsia="zh-CN"/>
              </w:rPr>
              <w:t>（</w:t>
            </w:r>
            <w:r w:rsidR="0025696A">
              <w:rPr>
                <w:rFonts w:hint="eastAsia"/>
                <w:b/>
                <w:lang w:eastAsia="zh-CN"/>
              </w:rPr>
              <w:t>瑞士，日内瓦</w:t>
            </w:r>
            <w:r>
              <w:rPr>
                <w:rFonts w:hint="eastAsia"/>
                <w:b/>
                <w:lang w:eastAsia="zh-CN"/>
              </w:rPr>
              <w:t>）</w:t>
            </w:r>
            <w:r w:rsidR="00E72784">
              <w:rPr>
                <w:b/>
                <w:lang w:eastAsia="zh-CN"/>
              </w:rPr>
              <w:br/>
            </w:r>
            <w:r>
              <w:rPr>
                <w:rFonts w:hint="eastAsia"/>
                <w:b/>
                <w:lang w:eastAsia="zh-CN"/>
              </w:rPr>
              <w:t>和</w:t>
            </w:r>
            <w:r w:rsidR="0025696A">
              <w:rPr>
                <w:rFonts w:hint="eastAsia"/>
                <w:b/>
                <w:lang w:eastAsia="zh-CN"/>
              </w:rPr>
              <w:t>ICT</w:t>
            </w:r>
            <w:r w:rsidR="0025696A">
              <w:rPr>
                <w:rFonts w:hint="eastAsia"/>
                <w:b/>
                <w:lang w:eastAsia="zh-CN"/>
              </w:rPr>
              <w:t>创新讲习班，</w:t>
            </w:r>
            <w:r w:rsidR="0025696A">
              <w:rPr>
                <w:rFonts w:hint="eastAsia"/>
                <w:b/>
                <w:lang w:eastAsia="zh-CN"/>
              </w:rPr>
              <w:t>2012</w:t>
            </w:r>
            <w:r w:rsidR="0025696A">
              <w:rPr>
                <w:rFonts w:hint="eastAsia"/>
                <w:b/>
                <w:lang w:eastAsia="zh-CN"/>
              </w:rPr>
              <w:t>年</w:t>
            </w:r>
            <w:r>
              <w:rPr>
                <w:rFonts w:hint="eastAsia"/>
                <w:b/>
                <w:lang w:eastAsia="zh-CN"/>
              </w:rPr>
              <w:t>3</w:t>
            </w:r>
            <w:r>
              <w:rPr>
                <w:rFonts w:hint="eastAsia"/>
                <w:b/>
                <w:lang w:eastAsia="zh-CN"/>
              </w:rPr>
              <w:t>月</w:t>
            </w:r>
            <w:r w:rsidR="0025696A">
              <w:rPr>
                <w:rFonts w:hint="eastAsia"/>
                <w:b/>
                <w:lang w:eastAsia="zh-CN"/>
              </w:rPr>
              <w:t>19-21</w:t>
            </w:r>
            <w:r w:rsidR="0025696A">
              <w:rPr>
                <w:rFonts w:hint="eastAsia"/>
                <w:b/>
                <w:lang w:eastAsia="zh-CN"/>
              </w:rPr>
              <w:t>日</w:t>
            </w:r>
          </w:p>
        </w:tc>
      </w:tr>
    </w:tbl>
    <w:p w:rsidR="0025696A" w:rsidRDefault="0025696A" w:rsidP="0025696A">
      <w:pPr>
        <w:spacing w:before="100" w:after="2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25696A" w:rsidRDefault="0025696A" w:rsidP="003F297C">
      <w:pPr>
        <w:rPr>
          <w:lang w:eastAsia="zh-CN"/>
        </w:rPr>
      </w:pPr>
      <w:bookmarkStart w:id="4" w:name="suitetext"/>
      <w:bookmarkStart w:id="5" w:name="text"/>
      <w:bookmarkEnd w:id="4"/>
      <w:bookmarkEnd w:id="5"/>
      <w:r>
        <w:rPr>
          <w:lang w:eastAsia="zh-CN"/>
        </w:rPr>
        <w:t>1</w:t>
      </w:r>
      <w:r>
        <w:rPr>
          <w:lang w:eastAsia="zh-CN"/>
        </w:rPr>
        <w:tab/>
      </w:r>
      <w:r>
        <w:rPr>
          <w:rFonts w:hAnsi="SimSun" w:hint="eastAsia"/>
          <w:lang w:eastAsia="zh-CN"/>
        </w:rPr>
        <w:t>我很高兴地宣布，</w:t>
      </w:r>
      <w:r>
        <w:rPr>
          <w:lang w:eastAsia="zh-CN"/>
        </w:rPr>
        <w:t>ITU-T</w:t>
      </w:r>
      <w:r>
        <w:rPr>
          <w:rFonts w:hAnsi="SimSun" w:hint="eastAsia"/>
          <w:lang w:eastAsia="zh-CN"/>
        </w:rPr>
        <w:t>电信标准化顾问组（</w:t>
      </w:r>
      <w:r>
        <w:rPr>
          <w:szCs w:val="24"/>
          <w:lang w:eastAsia="zh-CN"/>
        </w:rPr>
        <w:t>TSAG</w:t>
      </w:r>
      <w:r>
        <w:rPr>
          <w:rFonts w:hAnsi="SimSun" w:hint="eastAsia"/>
          <w:lang w:eastAsia="zh-CN"/>
        </w:rPr>
        <w:t>）在其</w:t>
      </w:r>
      <w:r>
        <w:rPr>
          <w:rFonts w:hAnsi="SimSun"/>
          <w:lang w:eastAsia="zh-CN"/>
        </w:rPr>
        <w:t>201</w:t>
      </w:r>
      <w:r>
        <w:rPr>
          <w:rFonts w:hAnsi="SimSun" w:hint="eastAsia"/>
          <w:lang w:eastAsia="zh-CN"/>
        </w:rPr>
        <w:t>2</w:t>
      </w:r>
      <w:r>
        <w:rPr>
          <w:rFonts w:hAnsi="SimSun" w:hint="eastAsia"/>
          <w:lang w:eastAsia="zh-CN"/>
        </w:rPr>
        <w:t>年</w:t>
      </w:r>
      <w:r>
        <w:rPr>
          <w:rFonts w:hAnsi="SimSun" w:hint="eastAsia"/>
          <w:lang w:eastAsia="zh-CN"/>
        </w:rPr>
        <w:t>1</w:t>
      </w:r>
      <w:r>
        <w:rPr>
          <w:rFonts w:hAnsi="SimSun" w:hint="eastAsia"/>
          <w:lang w:eastAsia="zh-CN"/>
        </w:rPr>
        <w:t>月</w:t>
      </w:r>
      <w:r>
        <w:rPr>
          <w:rFonts w:hAnsi="SimSun" w:hint="eastAsia"/>
          <w:lang w:eastAsia="zh-CN"/>
        </w:rPr>
        <w:t>10</w:t>
      </w:r>
      <w:r>
        <w:rPr>
          <w:rFonts w:hAnsi="SimSun"/>
          <w:lang w:eastAsia="zh-CN"/>
        </w:rPr>
        <w:t>-1</w:t>
      </w:r>
      <w:r>
        <w:rPr>
          <w:rFonts w:hAnsi="SimSun" w:hint="eastAsia"/>
          <w:lang w:eastAsia="zh-CN"/>
        </w:rPr>
        <w:t>3</w:t>
      </w:r>
      <w:r>
        <w:rPr>
          <w:rFonts w:hAnsi="SimSun" w:hint="eastAsia"/>
          <w:lang w:eastAsia="zh-CN"/>
        </w:rPr>
        <w:t>日</w:t>
      </w:r>
      <w:r w:rsidR="00C854F6">
        <w:rPr>
          <w:rFonts w:hAnsi="SimSun" w:hint="eastAsia"/>
          <w:lang w:eastAsia="zh-CN"/>
        </w:rPr>
        <w:t>于</w:t>
      </w:r>
      <w:r>
        <w:rPr>
          <w:rFonts w:hAnsi="SimSun" w:hint="eastAsia"/>
          <w:lang w:eastAsia="zh-CN"/>
        </w:rPr>
        <w:t>日内瓦举行的会议上，成立了</w:t>
      </w:r>
      <w:r>
        <w:rPr>
          <w:lang w:eastAsia="zh-CN"/>
        </w:rPr>
        <w:t>ITU-T</w:t>
      </w:r>
      <w:r>
        <w:rPr>
          <w:rFonts w:hint="eastAsia"/>
          <w:lang w:eastAsia="zh-CN"/>
        </w:rPr>
        <w:t>“</w:t>
      </w:r>
      <w:r w:rsidR="00DC7C15">
        <w:rPr>
          <w:rFonts w:hint="eastAsia"/>
          <w:lang w:eastAsia="zh-CN"/>
        </w:rPr>
        <w:t>缩小创新到标准之间</w:t>
      </w:r>
      <w:r w:rsidR="00C854F6">
        <w:rPr>
          <w:rFonts w:hint="eastAsia"/>
          <w:lang w:eastAsia="zh-CN"/>
        </w:rPr>
        <w:t>距离</w:t>
      </w:r>
      <w:r w:rsidR="003F297C">
        <w:rPr>
          <w:rFonts w:hint="eastAsia"/>
          <w:lang w:eastAsia="zh-CN"/>
        </w:rPr>
        <w:t>（</w:t>
      </w:r>
      <w:r w:rsidR="003F297C" w:rsidRPr="00E9001C">
        <w:rPr>
          <w:lang w:eastAsia="zh-CN"/>
        </w:rPr>
        <w:t xml:space="preserve">FG </w:t>
      </w:r>
      <w:r w:rsidR="003F297C">
        <w:rPr>
          <w:rFonts w:eastAsiaTheme="minorEastAsia" w:hint="eastAsia"/>
          <w:lang w:eastAsia="zh-CN"/>
        </w:rPr>
        <w:t>Innovation</w:t>
      </w:r>
      <w:r w:rsidR="003F297C">
        <w:rPr>
          <w:rFonts w:hint="eastAsia"/>
          <w:lang w:eastAsia="zh-CN"/>
        </w:rPr>
        <w:t>）</w:t>
      </w:r>
      <w:r w:rsidR="00C854F6">
        <w:rPr>
          <w:rFonts w:hint="eastAsia"/>
          <w:lang w:eastAsia="zh-CN"/>
        </w:rPr>
        <w:t>焦点组</w:t>
      </w:r>
      <w:r>
        <w:rPr>
          <w:rFonts w:hint="eastAsia"/>
          <w:lang w:eastAsia="zh-CN"/>
        </w:rPr>
        <w:t>”</w:t>
      </w:r>
      <w:r>
        <w:rPr>
          <w:rFonts w:hAnsi="SimSun" w:hint="eastAsia"/>
          <w:lang w:eastAsia="zh-CN"/>
        </w:rPr>
        <w:t>（</w:t>
      </w:r>
      <w:r>
        <w:rPr>
          <w:rFonts w:eastAsiaTheme="minorEastAsia" w:hint="eastAsia"/>
          <w:lang w:val="en-US" w:eastAsia="zh-CN"/>
        </w:rPr>
        <w:t>创新</w:t>
      </w:r>
      <w:r w:rsidR="00C854F6">
        <w:rPr>
          <w:rFonts w:eastAsiaTheme="minorEastAsia" w:hint="eastAsia"/>
          <w:lang w:val="en-US" w:eastAsia="zh-CN"/>
        </w:rPr>
        <w:t>焦点组</w:t>
      </w:r>
      <w:r>
        <w:rPr>
          <w:rFonts w:hAnsi="SimSun" w:hint="eastAsia"/>
          <w:lang w:eastAsia="zh-CN"/>
        </w:rPr>
        <w:t>）。</w:t>
      </w:r>
    </w:p>
    <w:p w:rsidR="0025696A" w:rsidRPr="00FB3025" w:rsidRDefault="0025696A" w:rsidP="003B17C5">
      <w:pPr>
        <w:shd w:val="clear" w:color="auto" w:fill="FFFFFF"/>
        <w:jc w:val="both"/>
        <w:rPr>
          <w:color w:val="000000"/>
          <w:lang w:eastAsia="zh-CN"/>
        </w:rPr>
      </w:pPr>
      <w:r w:rsidRPr="00DC7B55">
        <w:rPr>
          <w:lang w:eastAsia="zh-CN"/>
        </w:rPr>
        <w:t>2</w:t>
      </w:r>
      <w:r w:rsidRPr="00DC7B55">
        <w:rPr>
          <w:lang w:eastAsia="zh-CN"/>
        </w:rPr>
        <w:tab/>
      </w:r>
      <w:r>
        <w:rPr>
          <w:rFonts w:hint="eastAsia"/>
          <w:lang w:eastAsia="zh-CN"/>
        </w:rPr>
        <w:t>该焦点组为</w:t>
      </w:r>
      <w:r w:rsidR="00C854F6">
        <w:rPr>
          <w:rFonts w:hint="eastAsia"/>
          <w:lang w:eastAsia="zh-CN"/>
        </w:rPr>
        <w:t>认可与确定可能受益于标准化工作的</w:t>
      </w:r>
      <w:r>
        <w:rPr>
          <w:rFonts w:hint="eastAsia"/>
          <w:lang w:eastAsia="zh-CN"/>
        </w:rPr>
        <w:t>发展中国家</w:t>
      </w:r>
      <w:r w:rsidR="00C854F6">
        <w:rPr>
          <w:rFonts w:hint="eastAsia"/>
          <w:lang w:eastAsia="zh-CN"/>
        </w:rPr>
        <w:t>的</w:t>
      </w:r>
      <w:r>
        <w:rPr>
          <w:rFonts w:hint="eastAsia"/>
          <w:lang w:eastAsia="zh-CN"/>
        </w:rPr>
        <w:t>新兴创新提供了一个</w:t>
      </w:r>
      <w:r w:rsidR="00C854F6">
        <w:rPr>
          <w:rFonts w:hint="eastAsia"/>
          <w:lang w:eastAsia="zh-CN"/>
        </w:rPr>
        <w:t>初步</w:t>
      </w:r>
      <w:r>
        <w:rPr>
          <w:rFonts w:hint="eastAsia"/>
          <w:lang w:eastAsia="zh-CN"/>
        </w:rPr>
        <w:t>平台</w:t>
      </w:r>
      <w:r w:rsidR="00C854F6">
        <w:rPr>
          <w:rFonts w:hint="eastAsia"/>
          <w:lang w:eastAsia="zh-CN"/>
        </w:rPr>
        <w:t>。</w:t>
      </w:r>
      <w:r>
        <w:rPr>
          <w:rFonts w:hint="eastAsia"/>
          <w:lang w:eastAsia="zh-CN"/>
        </w:rPr>
        <w:t>主要目标是支持</w:t>
      </w:r>
      <w:r>
        <w:rPr>
          <w:color w:val="000000"/>
          <w:lang w:eastAsia="zh-CN"/>
        </w:rPr>
        <w:t>ITU-T</w:t>
      </w:r>
      <w:r>
        <w:rPr>
          <w:rFonts w:hint="eastAsia"/>
          <w:color w:val="000000"/>
          <w:lang w:eastAsia="zh-CN"/>
        </w:rPr>
        <w:t>研究组</w:t>
      </w:r>
      <w:r w:rsidR="00C854F6">
        <w:rPr>
          <w:rFonts w:hint="eastAsia"/>
          <w:color w:val="000000"/>
          <w:lang w:eastAsia="zh-CN"/>
        </w:rPr>
        <w:t>为进一步支持创新和缩小数字鸿沟（</w:t>
      </w:r>
      <w:r w:rsidR="00C854F6">
        <w:rPr>
          <w:rFonts w:hint="eastAsia"/>
          <w:color w:val="000000"/>
          <w:lang w:eastAsia="zh-CN"/>
        </w:rPr>
        <w:t>2010</w:t>
      </w:r>
      <w:r w:rsidR="00C854F6">
        <w:rPr>
          <w:rFonts w:hint="eastAsia"/>
          <w:color w:val="000000"/>
          <w:lang w:eastAsia="zh-CN"/>
        </w:rPr>
        <w:t>年全权代表大会的第</w:t>
      </w:r>
      <w:r w:rsidR="00C854F6">
        <w:rPr>
          <w:rFonts w:hint="eastAsia"/>
          <w:color w:val="000000"/>
          <w:lang w:eastAsia="zh-CN"/>
        </w:rPr>
        <w:t>71</w:t>
      </w:r>
      <w:r w:rsidR="00C854F6">
        <w:rPr>
          <w:rFonts w:hint="eastAsia"/>
          <w:color w:val="000000"/>
          <w:lang w:eastAsia="zh-CN"/>
        </w:rPr>
        <w:t>号决议）而开展</w:t>
      </w:r>
      <w:r>
        <w:rPr>
          <w:rFonts w:hint="eastAsia"/>
          <w:color w:val="000000"/>
          <w:lang w:eastAsia="zh-CN"/>
        </w:rPr>
        <w:t>的各项活动。</w:t>
      </w:r>
    </w:p>
    <w:p w:rsidR="0025696A" w:rsidRDefault="0025696A" w:rsidP="003B17C5">
      <w:pPr>
        <w:rPr>
          <w:lang w:eastAsia="zh-CN"/>
        </w:rPr>
      </w:pPr>
      <w:r>
        <w:rPr>
          <w:lang w:eastAsia="zh-CN"/>
        </w:rPr>
        <w:t>3</w:t>
      </w:r>
      <w:r>
        <w:rPr>
          <w:lang w:eastAsia="zh-CN"/>
        </w:rPr>
        <w:tab/>
      </w:r>
      <w:r>
        <w:rPr>
          <w:rFonts w:hAnsi="SimSun" w:hint="eastAsia"/>
          <w:lang w:eastAsia="zh-CN"/>
        </w:rPr>
        <w:t>焦点组将根据</w:t>
      </w:r>
      <w:r>
        <w:rPr>
          <w:lang w:eastAsia="zh-CN"/>
        </w:rPr>
        <w:t>ITU-T</w:t>
      </w:r>
      <w:r>
        <w:rPr>
          <w:rFonts w:hAnsi="SimSun" w:hint="eastAsia"/>
          <w:lang w:eastAsia="zh-CN"/>
        </w:rPr>
        <w:t xml:space="preserve"> </w:t>
      </w:r>
      <w:r>
        <w:rPr>
          <w:lang w:eastAsia="zh-CN"/>
        </w:rPr>
        <w:t>A.7</w:t>
      </w:r>
      <w:r>
        <w:rPr>
          <w:rFonts w:hAnsi="SimSun" w:hint="eastAsia"/>
          <w:lang w:eastAsia="zh-CN"/>
        </w:rPr>
        <w:t>建议书确定的程序开展工作，</w:t>
      </w:r>
      <w:r>
        <w:rPr>
          <w:rFonts w:hAnsi="SimSun" w:hint="eastAsia"/>
          <w:lang w:eastAsia="zh-CN"/>
        </w:rPr>
        <w:t>TSAG</w:t>
      </w:r>
      <w:r w:rsidR="00C854F6">
        <w:rPr>
          <w:rFonts w:hAnsi="SimSun" w:hint="eastAsia"/>
          <w:lang w:eastAsia="zh-CN"/>
        </w:rPr>
        <w:t>为</w:t>
      </w:r>
      <w:r>
        <w:rPr>
          <w:rFonts w:hAnsi="SimSun" w:hint="eastAsia"/>
          <w:lang w:eastAsia="zh-CN"/>
        </w:rPr>
        <w:t>是其主管组。经认可的</w:t>
      </w:r>
      <w:r w:rsidR="00C854F6">
        <w:rPr>
          <w:rFonts w:hAnsi="SimSun" w:hint="eastAsia"/>
          <w:lang w:eastAsia="zh-CN"/>
        </w:rPr>
        <w:t>创新焦点组</w:t>
      </w:r>
      <w:r>
        <w:rPr>
          <w:rFonts w:hint="eastAsia"/>
          <w:lang w:eastAsia="zh-CN"/>
        </w:rPr>
        <w:t>的</w:t>
      </w:r>
      <w:r>
        <w:rPr>
          <w:rFonts w:hAnsi="SimSun" w:hint="eastAsia"/>
          <w:lang w:eastAsia="zh-CN"/>
        </w:rPr>
        <w:t>职责范围见</w:t>
      </w:r>
      <w:r>
        <w:rPr>
          <w:rFonts w:hAnsi="SimSun" w:hint="eastAsia"/>
          <w:b/>
          <w:bCs/>
          <w:lang w:eastAsia="zh-CN"/>
        </w:rPr>
        <w:t>附件</w:t>
      </w:r>
      <w:r>
        <w:rPr>
          <w:b/>
          <w:lang w:eastAsia="zh-CN"/>
        </w:rPr>
        <w:t>1</w:t>
      </w:r>
      <w:r>
        <w:rPr>
          <w:rFonts w:hAnsi="SimSun" w:hint="eastAsia"/>
          <w:bCs/>
          <w:lang w:eastAsia="zh-CN"/>
        </w:rPr>
        <w:t>。诺基亚西门子网络公司的</w:t>
      </w:r>
      <w:r>
        <w:rPr>
          <w:szCs w:val="24"/>
          <w:lang w:val="en-US" w:eastAsia="zh-CN"/>
        </w:rPr>
        <w:t>Ajay Ranjan Mishra</w:t>
      </w:r>
      <w:r>
        <w:rPr>
          <w:rFonts w:hint="eastAsia"/>
          <w:szCs w:val="24"/>
          <w:lang w:val="en-US" w:eastAsia="zh-CN"/>
        </w:rPr>
        <w:t>先生将</w:t>
      </w:r>
      <w:r w:rsidR="008B4D3F">
        <w:rPr>
          <w:rFonts w:hint="eastAsia"/>
          <w:szCs w:val="24"/>
          <w:lang w:val="en-US" w:eastAsia="zh-CN"/>
        </w:rPr>
        <w:t>出</w:t>
      </w:r>
      <w:r>
        <w:rPr>
          <w:rFonts w:hint="eastAsia"/>
          <w:szCs w:val="24"/>
          <w:lang w:val="en-US" w:eastAsia="zh-CN"/>
        </w:rPr>
        <w:t>任该焦点组的主席，我坚信</w:t>
      </w:r>
      <w:r w:rsidR="00752154">
        <w:rPr>
          <w:rFonts w:hint="eastAsia"/>
          <w:szCs w:val="24"/>
          <w:lang w:val="en-US" w:eastAsia="zh-CN"/>
        </w:rPr>
        <w:t>，</w:t>
      </w:r>
      <w:r>
        <w:rPr>
          <w:rFonts w:hint="eastAsia"/>
          <w:szCs w:val="24"/>
          <w:lang w:val="en-US" w:eastAsia="zh-CN"/>
        </w:rPr>
        <w:t>通过成立这样一个焦点组，</w:t>
      </w:r>
      <w:r>
        <w:rPr>
          <w:lang w:eastAsia="zh-CN"/>
        </w:rPr>
        <w:t>ITU-T</w:t>
      </w:r>
      <w:r w:rsidR="00752154">
        <w:rPr>
          <w:rFonts w:hint="eastAsia"/>
          <w:lang w:eastAsia="zh-CN"/>
        </w:rPr>
        <w:t>将能够满足</w:t>
      </w:r>
      <w:r>
        <w:rPr>
          <w:rFonts w:hint="eastAsia"/>
          <w:lang w:eastAsia="zh-CN"/>
        </w:rPr>
        <w:t>成员的期待，并证明</w:t>
      </w:r>
      <w:r w:rsidR="008B4D3F">
        <w:rPr>
          <w:lang w:eastAsia="zh-CN"/>
        </w:rPr>
        <w:t>ITU-T</w:t>
      </w:r>
      <w:r>
        <w:rPr>
          <w:rFonts w:hint="eastAsia"/>
          <w:lang w:eastAsia="zh-CN"/>
        </w:rPr>
        <w:t>有能力探讨需</w:t>
      </w:r>
      <w:r w:rsidR="008B4D3F">
        <w:rPr>
          <w:rFonts w:hint="eastAsia"/>
          <w:lang w:eastAsia="zh-CN"/>
        </w:rPr>
        <w:t>引起紧</w:t>
      </w:r>
      <w:r>
        <w:rPr>
          <w:rFonts w:hint="eastAsia"/>
          <w:lang w:eastAsia="zh-CN"/>
        </w:rPr>
        <w:t>迫</w:t>
      </w:r>
      <w:r w:rsidR="008B4D3F">
        <w:rPr>
          <w:rFonts w:hint="eastAsia"/>
          <w:lang w:eastAsia="zh-CN"/>
        </w:rPr>
        <w:t>关</w:t>
      </w:r>
      <w:r>
        <w:rPr>
          <w:rFonts w:hint="eastAsia"/>
          <w:lang w:eastAsia="zh-CN"/>
        </w:rPr>
        <w:t>注的议题。</w:t>
      </w:r>
    </w:p>
    <w:p w:rsidR="0025696A" w:rsidRDefault="0025696A" w:rsidP="00202E3F">
      <w:pPr>
        <w:spacing w:before="240"/>
        <w:rPr>
          <w:lang w:eastAsia="zh-CN"/>
        </w:rPr>
      </w:pPr>
      <w:r w:rsidRPr="00152B7E">
        <w:rPr>
          <w:lang w:eastAsia="zh-CN"/>
        </w:rPr>
        <w:t>4</w:t>
      </w:r>
      <w:r w:rsidRPr="00152B7E">
        <w:rPr>
          <w:lang w:eastAsia="zh-CN"/>
        </w:rPr>
        <w:tab/>
      </w:r>
      <w:r w:rsidR="00C854F6">
        <w:rPr>
          <w:rFonts w:hAnsi="SimSun" w:hint="eastAsia"/>
          <w:lang w:eastAsia="zh-CN"/>
        </w:rPr>
        <w:t>创新焦点组</w:t>
      </w:r>
      <w:r>
        <w:rPr>
          <w:rFonts w:hAnsi="SimSun" w:hint="eastAsia"/>
          <w:lang w:eastAsia="zh-CN"/>
        </w:rPr>
        <w:t>对国际电联成员国、部门成员和部门准成员和学术机构开放，也</w:t>
      </w:r>
      <w:r w:rsidR="00752154">
        <w:rPr>
          <w:rFonts w:hAnsi="SimSun" w:hint="eastAsia"/>
          <w:lang w:eastAsia="zh-CN"/>
        </w:rPr>
        <w:t>欢迎来自</w:t>
      </w:r>
      <w:r>
        <w:rPr>
          <w:rFonts w:hAnsi="SimSun" w:hint="eastAsia"/>
          <w:lang w:eastAsia="zh-CN"/>
        </w:rPr>
        <w:t>国际电联成员国并愿意</w:t>
      </w:r>
      <w:r w:rsidR="00752154">
        <w:rPr>
          <w:rFonts w:hAnsi="SimSun" w:hint="eastAsia"/>
          <w:lang w:eastAsia="zh-CN"/>
        </w:rPr>
        <w:t>做出贡献</w:t>
      </w:r>
      <w:r>
        <w:rPr>
          <w:rFonts w:hAnsi="SimSun" w:hint="eastAsia"/>
          <w:lang w:eastAsia="zh-CN"/>
        </w:rPr>
        <w:t>的个人</w:t>
      </w:r>
      <w:r w:rsidR="00752154">
        <w:rPr>
          <w:rFonts w:hAnsi="SimSun" w:hint="eastAsia"/>
          <w:lang w:eastAsia="zh-CN"/>
        </w:rPr>
        <w:t>的</w:t>
      </w:r>
      <w:r>
        <w:rPr>
          <w:rFonts w:hAnsi="SimSun" w:hint="eastAsia"/>
          <w:lang w:eastAsia="zh-CN"/>
        </w:rPr>
        <w:t>参与，其中</w:t>
      </w:r>
      <w:r w:rsidR="00752154">
        <w:rPr>
          <w:rFonts w:hAnsi="SimSun" w:hint="eastAsia"/>
          <w:lang w:eastAsia="zh-CN"/>
        </w:rPr>
        <w:t>亦</w:t>
      </w:r>
      <w:r>
        <w:rPr>
          <w:rFonts w:hAnsi="SimSun" w:hint="eastAsia"/>
          <w:lang w:eastAsia="zh-CN"/>
        </w:rPr>
        <w:t>包括相关标准制定组织的成员或代表。</w:t>
      </w:r>
    </w:p>
    <w:p w:rsidR="0025696A" w:rsidRDefault="0025696A" w:rsidP="009B2534">
      <w:pPr>
        <w:rPr>
          <w:lang w:eastAsia="zh-CN"/>
        </w:rPr>
      </w:pPr>
      <w:r>
        <w:rPr>
          <w:lang w:val="en-US" w:eastAsia="zh-CN"/>
        </w:rPr>
        <w:t>5</w:t>
      </w:r>
      <w:r>
        <w:rPr>
          <w:lang w:val="en-US" w:eastAsia="zh-CN"/>
        </w:rPr>
        <w:tab/>
      </w:r>
      <w:r w:rsidR="00C854F6">
        <w:rPr>
          <w:rFonts w:hint="eastAsia"/>
          <w:lang w:eastAsia="zh-CN"/>
        </w:rPr>
        <w:t>创新焦点组</w:t>
      </w:r>
      <w:r>
        <w:rPr>
          <w:rFonts w:hint="eastAsia"/>
          <w:lang w:eastAsia="zh-CN"/>
        </w:rPr>
        <w:t>的首次会议</w:t>
      </w:r>
      <w:r w:rsidR="00752154">
        <w:rPr>
          <w:rFonts w:hint="eastAsia"/>
          <w:lang w:eastAsia="zh-CN"/>
        </w:rPr>
        <w:t>订</w:t>
      </w:r>
      <w:r>
        <w:rPr>
          <w:rFonts w:hint="eastAsia"/>
          <w:lang w:eastAsia="zh-CN"/>
        </w:rPr>
        <w:t>于</w:t>
      </w:r>
      <w:r w:rsidRPr="0039405B">
        <w:rPr>
          <w:rFonts w:hint="eastAsia"/>
          <w:b/>
          <w:bCs/>
          <w:u w:val="single"/>
          <w:lang w:eastAsia="zh-CN"/>
        </w:rPr>
        <w:t>2012</w:t>
      </w:r>
      <w:r w:rsidRPr="0039405B">
        <w:rPr>
          <w:rFonts w:hint="eastAsia"/>
          <w:b/>
          <w:bCs/>
          <w:u w:val="single"/>
          <w:lang w:eastAsia="zh-CN"/>
        </w:rPr>
        <w:t>年</w:t>
      </w:r>
      <w:r w:rsidRPr="0039405B">
        <w:rPr>
          <w:rFonts w:hint="eastAsia"/>
          <w:b/>
          <w:bCs/>
          <w:u w:val="single"/>
          <w:lang w:eastAsia="zh-CN"/>
        </w:rPr>
        <w:t>3</w:t>
      </w:r>
      <w:r w:rsidRPr="0039405B">
        <w:rPr>
          <w:rFonts w:hint="eastAsia"/>
          <w:b/>
          <w:bCs/>
          <w:u w:val="single"/>
          <w:lang w:eastAsia="zh-CN"/>
        </w:rPr>
        <w:t>月</w:t>
      </w:r>
      <w:r w:rsidRPr="0039405B">
        <w:rPr>
          <w:rFonts w:hint="eastAsia"/>
          <w:b/>
          <w:bCs/>
          <w:u w:val="single"/>
          <w:lang w:eastAsia="zh-CN"/>
        </w:rPr>
        <w:t>19</w:t>
      </w:r>
      <w:r w:rsidRPr="0039405B">
        <w:rPr>
          <w:rFonts w:hint="eastAsia"/>
          <w:b/>
          <w:bCs/>
          <w:u w:val="single"/>
          <w:lang w:eastAsia="zh-CN"/>
        </w:rPr>
        <w:t>日和</w:t>
      </w:r>
      <w:r w:rsidRPr="0039405B">
        <w:rPr>
          <w:rFonts w:hint="eastAsia"/>
          <w:b/>
          <w:bCs/>
          <w:u w:val="single"/>
          <w:lang w:eastAsia="zh-CN"/>
        </w:rPr>
        <w:t>21</w:t>
      </w:r>
      <w:r w:rsidRPr="0039405B">
        <w:rPr>
          <w:rFonts w:hint="eastAsia"/>
          <w:b/>
          <w:bCs/>
          <w:u w:val="single"/>
          <w:lang w:eastAsia="zh-CN"/>
        </w:rPr>
        <w:t>日</w:t>
      </w:r>
      <w:r w:rsidR="00752154">
        <w:rPr>
          <w:rFonts w:hint="eastAsia"/>
          <w:b/>
          <w:bCs/>
          <w:u w:val="single"/>
          <w:lang w:eastAsia="zh-CN"/>
        </w:rPr>
        <w:t>（含）</w:t>
      </w:r>
      <w:r>
        <w:rPr>
          <w:rFonts w:hint="eastAsia"/>
          <w:lang w:eastAsia="zh-CN"/>
        </w:rPr>
        <w:t>在瑞士日内瓦的国际电信联盟总部召开。</w:t>
      </w:r>
      <w:r w:rsidRPr="00A95847">
        <w:rPr>
          <w:rFonts w:hint="eastAsia"/>
          <w:b/>
          <w:bCs/>
          <w:u w:val="single"/>
          <w:lang w:eastAsia="zh-CN"/>
        </w:rPr>
        <w:t>2012</w:t>
      </w:r>
      <w:r w:rsidRPr="00A95847">
        <w:rPr>
          <w:rFonts w:hint="eastAsia"/>
          <w:b/>
          <w:bCs/>
          <w:u w:val="single"/>
          <w:lang w:eastAsia="zh-CN"/>
        </w:rPr>
        <w:t>年</w:t>
      </w:r>
      <w:r w:rsidRPr="00A95847">
        <w:rPr>
          <w:rFonts w:hint="eastAsia"/>
          <w:b/>
          <w:bCs/>
          <w:u w:val="single"/>
          <w:lang w:eastAsia="zh-CN"/>
        </w:rPr>
        <w:t>3</w:t>
      </w:r>
      <w:r w:rsidRPr="00A95847">
        <w:rPr>
          <w:rFonts w:hint="eastAsia"/>
          <w:b/>
          <w:bCs/>
          <w:u w:val="single"/>
          <w:lang w:eastAsia="zh-CN"/>
        </w:rPr>
        <w:t>月</w:t>
      </w:r>
      <w:r w:rsidRPr="00A95847">
        <w:rPr>
          <w:rFonts w:hint="eastAsia"/>
          <w:b/>
          <w:bCs/>
          <w:u w:val="single"/>
          <w:lang w:eastAsia="zh-CN"/>
        </w:rPr>
        <w:t>20</w:t>
      </w:r>
      <w:r w:rsidRPr="00A95847">
        <w:rPr>
          <w:rFonts w:hint="eastAsia"/>
          <w:b/>
          <w:bCs/>
          <w:u w:val="single"/>
          <w:lang w:eastAsia="zh-CN"/>
        </w:rPr>
        <w:t>和</w:t>
      </w:r>
      <w:r w:rsidRPr="00A95847">
        <w:rPr>
          <w:rFonts w:hint="eastAsia"/>
          <w:b/>
          <w:bCs/>
          <w:u w:val="single"/>
          <w:lang w:eastAsia="zh-CN"/>
        </w:rPr>
        <w:t>21</w:t>
      </w:r>
      <w:r w:rsidRPr="00A95847">
        <w:rPr>
          <w:rFonts w:hint="eastAsia"/>
          <w:b/>
          <w:bCs/>
          <w:u w:val="single"/>
          <w:lang w:eastAsia="zh-CN"/>
        </w:rPr>
        <w:t>日</w:t>
      </w:r>
      <w:r>
        <w:rPr>
          <w:rFonts w:hint="eastAsia"/>
          <w:lang w:eastAsia="zh-CN"/>
        </w:rPr>
        <w:t>将举</w:t>
      </w:r>
      <w:r w:rsidR="00752154">
        <w:rPr>
          <w:rFonts w:hint="eastAsia"/>
          <w:lang w:eastAsia="zh-CN"/>
        </w:rPr>
        <w:t>办</w:t>
      </w:r>
      <w:r>
        <w:rPr>
          <w:rFonts w:hint="eastAsia"/>
          <w:lang w:eastAsia="zh-CN"/>
        </w:rPr>
        <w:t>一个有关</w:t>
      </w:r>
      <w:r>
        <w:rPr>
          <w:rFonts w:hint="eastAsia"/>
          <w:lang w:eastAsia="zh-CN"/>
        </w:rPr>
        <w:t>ICT</w:t>
      </w:r>
      <w:r>
        <w:rPr>
          <w:rFonts w:hint="eastAsia"/>
          <w:lang w:eastAsia="zh-CN"/>
        </w:rPr>
        <w:t>创新的讲习班，该讲习班的详细日程包含在</w:t>
      </w:r>
      <w:r w:rsidRPr="0039405B">
        <w:rPr>
          <w:rFonts w:hint="eastAsia"/>
          <w:b/>
          <w:bCs/>
          <w:lang w:eastAsia="zh-CN"/>
        </w:rPr>
        <w:t>附件</w:t>
      </w:r>
      <w:r w:rsidRPr="0039405B">
        <w:rPr>
          <w:rFonts w:hint="eastAsia"/>
          <w:b/>
          <w:bCs/>
          <w:lang w:eastAsia="zh-CN"/>
        </w:rPr>
        <w:t>3</w:t>
      </w:r>
      <w:r>
        <w:rPr>
          <w:rFonts w:hint="eastAsia"/>
          <w:lang w:eastAsia="zh-CN"/>
        </w:rPr>
        <w:t>中。</w:t>
      </w:r>
    </w:p>
    <w:p w:rsidR="00E72784" w:rsidRDefault="00E7278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5696A" w:rsidRPr="00EE186F" w:rsidRDefault="0025696A" w:rsidP="00202E3F">
      <w:pPr>
        <w:rPr>
          <w:lang w:eastAsia="zh-CN"/>
        </w:rPr>
      </w:pPr>
      <w:r>
        <w:rPr>
          <w:lang w:eastAsia="zh-CN"/>
        </w:rPr>
        <w:lastRenderedPageBreak/>
        <w:t>6</w:t>
      </w:r>
      <w:r>
        <w:rPr>
          <w:lang w:eastAsia="zh-CN"/>
        </w:rPr>
        <w:tab/>
      </w:r>
      <w:r w:rsidR="00752154">
        <w:rPr>
          <w:rFonts w:hint="eastAsia"/>
          <w:lang w:eastAsia="zh-CN"/>
        </w:rPr>
        <w:t>在</w:t>
      </w:r>
      <w:r>
        <w:rPr>
          <w:rFonts w:hint="eastAsia"/>
          <w:lang w:eastAsia="zh-CN"/>
        </w:rPr>
        <w:t>3</w:t>
      </w:r>
      <w:r>
        <w:rPr>
          <w:rFonts w:hint="eastAsia"/>
          <w:lang w:eastAsia="zh-CN"/>
        </w:rPr>
        <w:t>月</w:t>
      </w:r>
      <w:r>
        <w:rPr>
          <w:rFonts w:hint="eastAsia"/>
          <w:lang w:eastAsia="zh-CN"/>
        </w:rPr>
        <w:t>20</w:t>
      </w:r>
      <w:r>
        <w:rPr>
          <w:rFonts w:hint="eastAsia"/>
          <w:lang w:eastAsia="zh-CN"/>
        </w:rPr>
        <w:t>日下午的工作会议</w:t>
      </w:r>
      <w:r w:rsidR="00752154">
        <w:rPr>
          <w:rFonts w:hint="eastAsia"/>
          <w:lang w:eastAsia="zh-CN"/>
        </w:rPr>
        <w:t>上，</w:t>
      </w:r>
      <w:r>
        <w:rPr>
          <w:rFonts w:hint="eastAsia"/>
          <w:lang w:eastAsia="zh-CN"/>
        </w:rPr>
        <w:t>将请各位与会者围绕该讲习班的</w:t>
      </w:r>
      <w:r w:rsidR="00752154">
        <w:rPr>
          <w:rFonts w:hint="eastAsia"/>
          <w:lang w:eastAsia="zh-CN"/>
        </w:rPr>
        <w:t>重要</w:t>
      </w:r>
      <w:r>
        <w:rPr>
          <w:rFonts w:hint="eastAsia"/>
          <w:lang w:eastAsia="zh-CN"/>
        </w:rPr>
        <w:t>问题和事项进行积极的讨论</w:t>
      </w:r>
      <w:r w:rsidR="00752154">
        <w:rPr>
          <w:rFonts w:hint="eastAsia"/>
          <w:lang w:eastAsia="zh-CN"/>
        </w:rPr>
        <w:t>。鉴于</w:t>
      </w:r>
      <w:r>
        <w:rPr>
          <w:rFonts w:hint="eastAsia"/>
          <w:lang w:eastAsia="zh-CN"/>
        </w:rPr>
        <w:t>讲习班的创新性质，该节会议将采用</w:t>
      </w:r>
      <w:r w:rsidR="00752154">
        <w:rPr>
          <w:rFonts w:hint="eastAsia"/>
          <w:lang w:eastAsia="zh-CN"/>
        </w:rPr>
        <w:t>“世界咖啡屋”（</w:t>
      </w:r>
      <w:r w:rsidRPr="00EE186F">
        <w:rPr>
          <w:shd w:val="clear" w:color="auto" w:fill="FFFFFF"/>
          <w:lang w:eastAsia="zh-CN"/>
        </w:rPr>
        <w:t>world café</w:t>
      </w:r>
      <w:r w:rsidR="00752154">
        <w:rPr>
          <w:rFonts w:hint="eastAsia"/>
          <w:shd w:val="clear" w:color="auto" w:fill="FFFFFF"/>
          <w:lang w:eastAsia="zh-CN"/>
        </w:rPr>
        <w:t>）</w:t>
      </w:r>
      <w:r w:rsidR="00202E3F">
        <w:rPr>
          <w:rFonts w:hint="eastAsia"/>
          <w:shd w:val="clear" w:color="auto" w:fill="FFFFFF"/>
          <w:lang w:eastAsia="zh-CN"/>
        </w:rPr>
        <w:t>深度畅谈</w:t>
      </w:r>
      <w:r>
        <w:rPr>
          <w:rFonts w:hint="eastAsia"/>
          <w:shd w:val="clear" w:color="auto" w:fill="FFFFFF"/>
          <w:lang w:eastAsia="zh-CN"/>
        </w:rPr>
        <w:t>方</w:t>
      </w:r>
      <w:r w:rsidR="00752154">
        <w:rPr>
          <w:rFonts w:hint="eastAsia"/>
          <w:shd w:val="clear" w:color="auto" w:fill="FFFFFF"/>
          <w:lang w:eastAsia="zh-CN"/>
        </w:rPr>
        <w:t>式</w:t>
      </w:r>
      <w:r>
        <w:rPr>
          <w:rFonts w:hint="eastAsia"/>
          <w:shd w:val="clear" w:color="auto" w:fill="FFFFFF"/>
          <w:lang w:eastAsia="zh-CN"/>
        </w:rPr>
        <w:t>进行，这</w:t>
      </w:r>
      <w:r w:rsidR="00752154">
        <w:rPr>
          <w:rFonts w:hint="eastAsia"/>
          <w:shd w:val="clear" w:color="auto" w:fill="FFFFFF"/>
          <w:lang w:eastAsia="zh-CN"/>
        </w:rPr>
        <w:t>是开展富有活</w:t>
      </w:r>
      <w:r w:rsidR="00202E3F">
        <w:rPr>
          <w:rFonts w:hint="eastAsia"/>
          <w:shd w:val="clear" w:color="auto" w:fill="FFFFFF"/>
          <w:lang w:eastAsia="zh-CN"/>
        </w:rPr>
        <w:t>力、</w:t>
      </w:r>
      <w:r w:rsidR="00752154">
        <w:rPr>
          <w:rFonts w:hint="eastAsia"/>
          <w:shd w:val="clear" w:color="auto" w:fill="FFFFFF"/>
          <w:lang w:eastAsia="zh-CN"/>
        </w:rPr>
        <w:t>碰撞出</w:t>
      </w:r>
      <w:r w:rsidR="00202E3F">
        <w:rPr>
          <w:rFonts w:hint="eastAsia"/>
          <w:shd w:val="clear" w:color="auto" w:fill="FFFFFF"/>
          <w:lang w:eastAsia="zh-CN"/>
        </w:rPr>
        <w:t>思</w:t>
      </w:r>
      <w:r w:rsidR="00752154">
        <w:rPr>
          <w:rFonts w:hint="eastAsia"/>
          <w:shd w:val="clear" w:color="auto" w:fill="FFFFFF"/>
          <w:lang w:eastAsia="zh-CN"/>
        </w:rPr>
        <w:t>想火花的</w:t>
      </w:r>
      <w:r>
        <w:rPr>
          <w:rFonts w:hint="eastAsia"/>
          <w:shd w:val="clear" w:color="auto" w:fill="FFFFFF"/>
          <w:lang w:eastAsia="zh-CN"/>
        </w:rPr>
        <w:t>对话式会议的有效方式。这一共享</w:t>
      </w:r>
      <w:r w:rsidR="00752154">
        <w:rPr>
          <w:rFonts w:hint="eastAsia"/>
          <w:shd w:val="clear" w:color="auto" w:fill="FFFFFF"/>
          <w:lang w:eastAsia="zh-CN"/>
        </w:rPr>
        <w:t>式</w:t>
      </w:r>
      <w:r>
        <w:rPr>
          <w:rFonts w:hint="eastAsia"/>
          <w:shd w:val="clear" w:color="auto" w:fill="FFFFFF"/>
          <w:lang w:eastAsia="zh-CN"/>
        </w:rPr>
        <w:t>对话</w:t>
      </w:r>
      <w:r w:rsidR="00752154">
        <w:rPr>
          <w:rFonts w:hint="eastAsia"/>
          <w:shd w:val="clear" w:color="auto" w:fill="FFFFFF"/>
          <w:lang w:eastAsia="zh-CN"/>
        </w:rPr>
        <w:t>会议的有效方式。这一共享式对话方式将促进对等同行间的</w:t>
      </w:r>
      <w:r>
        <w:rPr>
          <w:rFonts w:hint="eastAsia"/>
          <w:shd w:val="clear" w:color="auto" w:fill="FFFFFF"/>
          <w:lang w:eastAsia="zh-CN"/>
        </w:rPr>
        <w:t>交流，刺激创新，同时也是一种</w:t>
      </w:r>
      <w:r w:rsidR="00752154">
        <w:rPr>
          <w:rFonts w:hint="eastAsia"/>
          <w:shd w:val="clear" w:color="auto" w:fill="FFFFFF"/>
          <w:lang w:eastAsia="zh-CN"/>
        </w:rPr>
        <w:t>增进相关</w:t>
      </w:r>
      <w:r>
        <w:rPr>
          <w:rFonts w:hint="eastAsia"/>
          <w:shd w:val="clear" w:color="auto" w:fill="FFFFFF"/>
          <w:lang w:eastAsia="zh-CN"/>
        </w:rPr>
        <w:t>领域世界级专家</w:t>
      </w:r>
      <w:r w:rsidR="00752154">
        <w:rPr>
          <w:rFonts w:hint="eastAsia"/>
          <w:shd w:val="clear" w:color="auto" w:fill="FFFFFF"/>
          <w:lang w:eastAsia="zh-CN"/>
        </w:rPr>
        <w:t>之间相互了解</w:t>
      </w:r>
      <w:r>
        <w:rPr>
          <w:rFonts w:hint="eastAsia"/>
          <w:shd w:val="clear" w:color="auto" w:fill="FFFFFF"/>
          <w:lang w:eastAsia="zh-CN"/>
        </w:rPr>
        <w:t>的良好方式</w:t>
      </w:r>
      <w:r w:rsidR="00752154">
        <w:rPr>
          <w:rFonts w:hint="eastAsia"/>
          <w:shd w:val="clear" w:color="auto" w:fill="FFFFFF"/>
          <w:lang w:eastAsia="zh-CN"/>
        </w:rPr>
        <w:t>。</w:t>
      </w:r>
      <w:r w:rsidR="00752154">
        <w:rPr>
          <w:rFonts w:hint="eastAsia"/>
          <w:lang w:eastAsia="zh-CN"/>
        </w:rPr>
        <w:t>“世界咖啡屋”</w:t>
      </w:r>
      <w:r>
        <w:rPr>
          <w:rFonts w:hint="eastAsia"/>
          <w:lang w:eastAsia="zh-CN"/>
        </w:rPr>
        <w:t>的讨论</w:t>
      </w:r>
      <w:r w:rsidR="00752154">
        <w:rPr>
          <w:rFonts w:hint="eastAsia"/>
          <w:lang w:eastAsia="zh-CN"/>
        </w:rPr>
        <w:t>结</w:t>
      </w:r>
      <w:r>
        <w:rPr>
          <w:rFonts w:hint="eastAsia"/>
          <w:lang w:eastAsia="zh-CN"/>
        </w:rPr>
        <w:t>果将被实时收集并</w:t>
      </w:r>
      <w:r w:rsidR="00752154">
        <w:rPr>
          <w:rFonts w:hint="eastAsia"/>
          <w:lang w:eastAsia="zh-CN"/>
        </w:rPr>
        <w:t>与</w:t>
      </w:r>
      <w:r>
        <w:rPr>
          <w:rFonts w:hint="eastAsia"/>
          <w:lang w:eastAsia="zh-CN"/>
        </w:rPr>
        <w:t>各位与会者分享。</w:t>
      </w:r>
    </w:p>
    <w:p w:rsidR="0025696A" w:rsidRDefault="0025696A" w:rsidP="00202E3F">
      <w:pPr>
        <w:rPr>
          <w:rFonts w:eastAsia="MS Mincho"/>
          <w:lang w:eastAsia="zh-CN"/>
        </w:rPr>
      </w:pPr>
      <w:r>
        <w:t>7</w:t>
      </w:r>
      <w:r>
        <w:tab/>
      </w:r>
      <w:r w:rsidR="00202E3F">
        <w:rPr>
          <w:rFonts w:hint="eastAsia"/>
          <w:lang w:eastAsia="zh-CN"/>
        </w:rPr>
        <w:t>此</w:t>
      </w:r>
      <w:r>
        <w:rPr>
          <w:rFonts w:hint="eastAsia"/>
          <w:lang w:eastAsia="zh-CN"/>
        </w:rPr>
        <w:t>焦点组的会议将与</w:t>
      </w:r>
      <w:r w:rsidRPr="006E2381">
        <w:t>M2M Service Layer</w:t>
      </w:r>
      <w:r w:rsidR="00752154">
        <w:rPr>
          <w:rFonts w:hint="eastAsia"/>
          <w:lang w:eastAsia="zh-CN"/>
        </w:rPr>
        <w:t>焦点组</w:t>
      </w:r>
      <w:r>
        <w:t>（</w:t>
      </w:r>
      <w:r>
        <w:t>FG M2M</w:t>
      </w:r>
      <w:r>
        <w:t>）</w:t>
      </w:r>
      <w:r>
        <w:rPr>
          <w:rFonts w:hint="eastAsia"/>
          <w:lang w:eastAsia="zh-CN"/>
        </w:rPr>
        <w:t>的会议在同一个星期举</w:t>
      </w:r>
      <w:r w:rsidR="00752154">
        <w:rPr>
          <w:rFonts w:hint="eastAsia"/>
          <w:lang w:eastAsia="zh-CN"/>
        </w:rPr>
        <w:t>办</w:t>
      </w:r>
      <w:r>
        <w:rPr>
          <w:rFonts w:hint="eastAsia"/>
          <w:lang w:eastAsia="zh-CN"/>
        </w:rPr>
        <w:t>，有关</w:t>
      </w:r>
      <w:r>
        <w:t>M2M Service Layer</w:t>
      </w:r>
      <w:r w:rsidR="00752154">
        <w:rPr>
          <w:rFonts w:hint="eastAsia"/>
          <w:lang w:eastAsia="zh-CN"/>
        </w:rPr>
        <w:t>焦点组</w:t>
      </w:r>
      <w:r>
        <w:rPr>
          <w:rFonts w:hint="eastAsia"/>
          <w:lang w:eastAsia="zh-CN"/>
        </w:rPr>
        <w:t>会议的详情，</w:t>
      </w:r>
      <w:r w:rsidR="00752154">
        <w:rPr>
          <w:rFonts w:hint="eastAsia"/>
          <w:lang w:eastAsia="zh-CN"/>
        </w:rPr>
        <w:t>见</w:t>
      </w:r>
      <w:r>
        <w:rPr>
          <w:rFonts w:hint="eastAsia"/>
          <w:lang w:eastAsia="zh-CN"/>
        </w:rPr>
        <w:t>网站</w:t>
      </w:r>
      <w:r w:rsidR="00752154">
        <w:rPr>
          <w:rFonts w:hint="eastAsia"/>
          <w:lang w:eastAsia="zh-CN"/>
        </w:rPr>
        <w:t>：</w:t>
      </w:r>
      <w:hyperlink r:id="rId10" w:history="1">
        <w:r w:rsidRPr="00EE407B">
          <w:rPr>
            <w:rStyle w:val="Hyperlink"/>
          </w:rPr>
          <w:t>http://itu.int/en/ITU-T/focusgroups/m2m/</w:t>
        </w:r>
      </w:hyperlink>
      <w:r>
        <w:rPr>
          <w:rFonts w:hint="eastAsia"/>
          <w:lang w:eastAsia="zh-CN"/>
        </w:rPr>
        <w:t>。</w:t>
      </w:r>
    </w:p>
    <w:p w:rsidR="0025696A" w:rsidRDefault="0025696A" w:rsidP="009B2534">
      <w:pPr>
        <w:rPr>
          <w:lang w:eastAsia="zh-CN"/>
        </w:rPr>
      </w:pPr>
      <w:r>
        <w:rPr>
          <w:lang w:eastAsia="zh-CN"/>
        </w:rPr>
        <w:t>8</w:t>
      </w:r>
      <w:r>
        <w:rPr>
          <w:lang w:eastAsia="zh-CN"/>
        </w:rPr>
        <w:tab/>
      </w:r>
      <w:r>
        <w:rPr>
          <w:rFonts w:hint="eastAsia"/>
          <w:lang w:eastAsia="zh-CN"/>
        </w:rPr>
        <w:t>2012</w:t>
      </w:r>
      <w:r>
        <w:rPr>
          <w:rFonts w:hint="eastAsia"/>
          <w:lang w:eastAsia="zh-CN"/>
        </w:rPr>
        <w:t>年</w:t>
      </w:r>
      <w:r>
        <w:rPr>
          <w:rFonts w:hint="eastAsia"/>
          <w:lang w:eastAsia="zh-CN"/>
        </w:rPr>
        <w:t>3</w:t>
      </w:r>
      <w:r>
        <w:rPr>
          <w:rFonts w:hint="eastAsia"/>
          <w:lang w:eastAsia="zh-CN"/>
        </w:rPr>
        <w:t>月</w:t>
      </w:r>
      <w:r>
        <w:rPr>
          <w:rFonts w:hint="eastAsia"/>
          <w:lang w:eastAsia="zh-CN"/>
        </w:rPr>
        <w:t>19</w:t>
      </w:r>
      <w:r>
        <w:rPr>
          <w:rFonts w:hint="eastAsia"/>
          <w:lang w:eastAsia="zh-CN"/>
        </w:rPr>
        <w:t>日和</w:t>
      </w:r>
      <w:r>
        <w:rPr>
          <w:rFonts w:hint="eastAsia"/>
          <w:lang w:eastAsia="zh-CN"/>
        </w:rPr>
        <w:t>21</w:t>
      </w:r>
      <w:r>
        <w:rPr>
          <w:rFonts w:hint="eastAsia"/>
          <w:lang w:eastAsia="zh-CN"/>
        </w:rPr>
        <w:t>日举行的</w:t>
      </w:r>
      <w:r w:rsidR="00752154">
        <w:rPr>
          <w:rFonts w:hint="eastAsia"/>
          <w:lang w:eastAsia="zh-CN"/>
        </w:rPr>
        <w:t>焦点组</w:t>
      </w:r>
      <w:r>
        <w:rPr>
          <w:rFonts w:hint="eastAsia"/>
          <w:lang w:eastAsia="zh-CN"/>
        </w:rPr>
        <w:t>会议的全体会议以及</w:t>
      </w:r>
      <w:r>
        <w:rPr>
          <w:rFonts w:hint="eastAsia"/>
          <w:lang w:eastAsia="zh-CN"/>
        </w:rPr>
        <w:t>2012</w:t>
      </w:r>
      <w:r>
        <w:rPr>
          <w:rFonts w:hint="eastAsia"/>
          <w:lang w:eastAsia="zh-CN"/>
        </w:rPr>
        <w:t>年</w:t>
      </w:r>
      <w:r>
        <w:rPr>
          <w:rFonts w:hint="eastAsia"/>
          <w:lang w:eastAsia="zh-CN"/>
        </w:rPr>
        <w:t>3</w:t>
      </w:r>
      <w:r>
        <w:rPr>
          <w:rFonts w:hint="eastAsia"/>
          <w:lang w:eastAsia="zh-CN"/>
        </w:rPr>
        <w:t>月</w:t>
      </w:r>
      <w:r>
        <w:rPr>
          <w:rFonts w:hint="eastAsia"/>
          <w:lang w:eastAsia="zh-CN"/>
        </w:rPr>
        <w:t>20</w:t>
      </w:r>
      <w:r>
        <w:rPr>
          <w:rFonts w:hint="eastAsia"/>
          <w:lang w:eastAsia="zh-CN"/>
        </w:rPr>
        <w:t>日和</w:t>
      </w:r>
      <w:r>
        <w:rPr>
          <w:rFonts w:hint="eastAsia"/>
          <w:lang w:eastAsia="zh-CN"/>
        </w:rPr>
        <w:t>21</w:t>
      </w:r>
      <w:r>
        <w:rPr>
          <w:rFonts w:hint="eastAsia"/>
          <w:lang w:eastAsia="zh-CN"/>
        </w:rPr>
        <w:t>日举行的有关</w:t>
      </w:r>
      <w:r>
        <w:rPr>
          <w:rFonts w:hint="eastAsia"/>
          <w:lang w:eastAsia="zh-CN"/>
        </w:rPr>
        <w:t>ICT</w:t>
      </w:r>
      <w:r>
        <w:rPr>
          <w:rFonts w:hint="eastAsia"/>
          <w:lang w:eastAsia="zh-CN"/>
        </w:rPr>
        <w:t>创新的讲习班，都将提供远程参会的方式。有关远程参会的更多信息，请参见焦点组的网页：</w:t>
      </w:r>
      <w:hyperlink r:id="rId11" w:history="1">
        <w:r w:rsidRPr="00732F1C">
          <w:rPr>
            <w:rStyle w:val="Hyperlink"/>
            <w:lang w:eastAsia="zh-CN"/>
          </w:rPr>
          <w:t>http://itu.int/en/ITU-T/focusgroups/innovation/</w:t>
        </w:r>
      </w:hyperlink>
      <w:r>
        <w:rPr>
          <w:rFonts w:hint="eastAsia"/>
          <w:lang w:eastAsia="zh-CN"/>
        </w:rPr>
        <w:t>。</w:t>
      </w:r>
    </w:p>
    <w:p w:rsidR="0025696A" w:rsidRDefault="0025696A" w:rsidP="003D4887">
      <w:pPr>
        <w:ind w:right="-57"/>
        <w:rPr>
          <w:lang w:eastAsia="zh-CN"/>
        </w:rPr>
      </w:pPr>
      <w:r>
        <w:t>9</w:t>
      </w:r>
      <w:r>
        <w:tab/>
      </w:r>
      <w:r>
        <w:rPr>
          <w:rFonts w:hAnsi="SimSun" w:hint="eastAsia"/>
          <w:bCs/>
          <w:lang w:eastAsia="zh-CN"/>
        </w:rPr>
        <w:t>会议的讨论议</w:t>
      </w:r>
      <w:r w:rsidR="00752154">
        <w:rPr>
          <w:rFonts w:hAnsi="SimSun" w:hint="eastAsia"/>
          <w:bCs/>
          <w:lang w:eastAsia="zh-CN"/>
        </w:rPr>
        <w:t>题</w:t>
      </w:r>
      <w:r>
        <w:rPr>
          <w:rFonts w:hAnsi="SimSun" w:hint="eastAsia"/>
          <w:bCs/>
          <w:lang w:eastAsia="zh-CN"/>
        </w:rPr>
        <w:t>将在焦点组网页上</w:t>
      </w:r>
      <w:r w:rsidR="00752154">
        <w:rPr>
          <w:rFonts w:hAnsi="SimSun" w:hint="eastAsia"/>
          <w:bCs/>
          <w:lang w:eastAsia="zh-CN"/>
        </w:rPr>
        <w:t>发布</w:t>
      </w:r>
      <w:r>
        <w:rPr>
          <w:rFonts w:hAnsi="SimSun" w:hint="eastAsia"/>
          <w:bCs/>
          <w:lang w:eastAsia="zh-CN"/>
        </w:rPr>
        <w:t>：</w:t>
      </w:r>
      <w:hyperlink r:id="rId12" w:history="1">
        <w:r w:rsidRPr="00732F1C">
          <w:rPr>
            <w:rStyle w:val="Hyperlink"/>
          </w:rPr>
          <w:t>http://itu.int/en/ITU-T/focusgroups/innovation/</w:t>
        </w:r>
      </w:hyperlink>
      <w:r>
        <w:rPr>
          <w:rFonts w:hint="eastAsia"/>
          <w:lang w:eastAsia="zh-CN"/>
        </w:rPr>
        <w:t>。焦点组管理层</w:t>
      </w:r>
      <w:r w:rsidR="00752154">
        <w:rPr>
          <w:rFonts w:hint="eastAsia"/>
          <w:lang w:eastAsia="zh-CN"/>
        </w:rPr>
        <w:t>起草</w:t>
      </w:r>
      <w:r>
        <w:rPr>
          <w:rFonts w:hint="eastAsia"/>
          <w:lang w:eastAsia="zh-CN"/>
        </w:rPr>
        <w:t>了一</w:t>
      </w:r>
      <w:r w:rsidR="005B1751">
        <w:rPr>
          <w:rFonts w:hint="eastAsia"/>
          <w:lang w:eastAsia="zh-CN"/>
        </w:rPr>
        <w:t>份</w:t>
      </w:r>
      <w:r>
        <w:rPr>
          <w:rFonts w:hint="eastAsia"/>
          <w:lang w:eastAsia="zh-CN"/>
        </w:rPr>
        <w:t>议程草案，见</w:t>
      </w:r>
      <w:r w:rsidRPr="00C9616F">
        <w:rPr>
          <w:rFonts w:hint="eastAsia"/>
          <w:b/>
          <w:bCs/>
          <w:lang w:eastAsia="zh-CN"/>
        </w:rPr>
        <w:t>附件</w:t>
      </w:r>
      <w:r w:rsidRPr="00C9616F">
        <w:rPr>
          <w:rFonts w:hint="eastAsia"/>
          <w:b/>
          <w:bCs/>
          <w:lang w:eastAsia="zh-CN"/>
        </w:rPr>
        <w:t>2</w:t>
      </w:r>
      <w:r w:rsidR="005B1751">
        <w:rPr>
          <w:rFonts w:hint="eastAsia"/>
          <w:lang w:eastAsia="zh-CN"/>
        </w:rPr>
        <w:t>。有关会议以及所收到的文稿信息，亦</w:t>
      </w:r>
      <w:r>
        <w:rPr>
          <w:rFonts w:hint="eastAsia"/>
          <w:lang w:eastAsia="zh-CN"/>
        </w:rPr>
        <w:t>见焦点组网页。</w:t>
      </w:r>
    </w:p>
    <w:p w:rsidR="0025696A" w:rsidRDefault="0025696A" w:rsidP="00E72784">
      <w:pPr>
        <w:ind w:firstLineChars="200" w:firstLine="480"/>
        <w:rPr>
          <w:lang w:eastAsia="zh-CN"/>
        </w:rPr>
      </w:pPr>
      <w:r>
        <w:rPr>
          <w:rFonts w:ascii="SimSun" w:hAnsi="SimSun" w:cs="SimSun" w:hint="eastAsia"/>
          <w:lang w:eastAsia="zh-CN"/>
        </w:rPr>
        <w:t>会议将于</w:t>
      </w:r>
      <w:r>
        <w:rPr>
          <w:lang w:eastAsia="zh-CN"/>
        </w:rPr>
        <w:t>201</w:t>
      </w:r>
      <w:r>
        <w:rPr>
          <w:rFonts w:hint="eastAsia"/>
          <w:lang w:eastAsia="zh-CN"/>
        </w:rPr>
        <w:t>2</w:t>
      </w:r>
      <w:r>
        <w:rPr>
          <w:rFonts w:ascii="SimSun" w:hAnsi="SimSun" w:cs="SimSun" w:hint="eastAsia"/>
          <w:lang w:eastAsia="zh-CN"/>
        </w:rPr>
        <w:t>年</w:t>
      </w:r>
      <w:r>
        <w:rPr>
          <w:rFonts w:hint="eastAsia"/>
          <w:lang w:eastAsia="zh-CN"/>
        </w:rPr>
        <w:t>3</w:t>
      </w:r>
      <w:r>
        <w:rPr>
          <w:rFonts w:ascii="SimSun" w:hAnsi="SimSun" w:cs="SimSun" w:hint="eastAsia"/>
          <w:lang w:eastAsia="zh-CN"/>
        </w:rPr>
        <w:t>月</w:t>
      </w:r>
      <w:r>
        <w:rPr>
          <w:lang w:eastAsia="zh-CN"/>
        </w:rPr>
        <w:t>1</w:t>
      </w:r>
      <w:r>
        <w:rPr>
          <w:rFonts w:hint="eastAsia"/>
          <w:lang w:eastAsia="zh-CN"/>
        </w:rPr>
        <w:t>9</w:t>
      </w:r>
      <w:r>
        <w:rPr>
          <w:rFonts w:ascii="SimSun" w:hAnsi="SimSun" w:cs="SimSun" w:hint="eastAsia"/>
          <w:lang w:eastAsia="zh-CN"/>
        </w:rPr>
        <w:t>日</w:t>
      </w:r>
      <w:r>
        <w:rPr>
          <w:rFonts w:hint="eastAsia"/>
          <w:lang w:eastAsia="zh-CN"/>
        </w:rPr>
        <w:t>14</w:t>
      </w:r>
      <w:r w:rsidR="005B1751">
        <w:rPr>
          <w:rFonts w:hint="eastAsia"/>
          <w:lang w:eastAsia="zh-CN"/>
        </w:rPr>
        <w:t>时</w:t>
      </w:r>
      <w:r>
        <w:rPr>
          <w:rFonts w:ascii="SimSun" w:hAnsi="SimSun" w:cs="SimSun" w:hint="eastAsia"/>
          <w:lang w:eastAsia="zh-CN"/>
        </w:rPr>
        <w:t>开始。与会者的注册登记将</w:t>
      </w:r>
      <w:r w:rsidR="005B1751">
        <w:rPr>
          <w:rFonts w:ascii="SimSun" w:hAnsi="SimSun" w:cs="SimSun" w:hint="eastAsia"/>
          <w:lang w:eastAsia="zh-CN"/>
        </w:rPr>
        <w:t>自</w:t>
      </w:r>
      <w:r w:rsidRPr="00C9616F">
        <w:rPr>
          <w:rFonts w:hint="eastAsia"/>
          <w:lang w:eastAsia="zh-CN"/>
        </w:rPr>
        <w:t>13:30</w:t>
      </w:r>
      <w:r>
        <w:rPr>
          <w:rFonts w:hint="eastAsia"/>
          <w:lang w:eastAsia="zh-CN"/>
        </w:rPr>
        <w:t>在</w:t>
      </w:r>
      <w:r w:rsidRPr="00E4033E">
        <w:rPr>
          <w:lang w:eastAsia="zh-CN"/>
        </w:rPr>
        <w:t>Montbrillant</w:t>
      </w:r>
      <w:r>
        <w:rPr>
          <w:rFonts w:hint="eastAsia"/>
          <w:lang w:eastAsia="zh-CN"/>
        </w:rPr>
        <w:t>大楼入口处</w:t>
      </w:r>
      <w:r w:rsidR="005B1751">
        <w:rPr>
          <w:rFonts w:hint="eastAsia"/>
          <w:lang w:eastAsia="zh-CN"/>
        </w:rPr>
        <w:t>开始</w:t>
      </w:r>
      <w:r>
        <w:rPr>
          <w:rFonts w:hint="eastAsia"/>
          <w:lang w:eastAsia="zh-CN"/>
        </w:rPr>
        <w:t>，会议</w:t>
      </w:r>
      <w:r w:rsidR="005B1751">
        <w:rPr>
          <w:rFonts w:hint="eastAsia"/>
          <w:lang w:eastAsia="zh-CN"/>
        </w:rPr>
        <w:t>厅</w:t>
      </w:r>
      <w:r>
        <w:rPr>
          <w:rFonts w:hint="eastAsia"/>
          <w:lang w:eastAsia="zh-CN"/>
        </w:rPr>
        <w:t>安排的详细信息见国际电联总部入口处的大屏幕显示</w:t>
      </w:r>
      <w:r w:rsidR="005B1751">
        <w:rPr>
          <w:rFonts w:hint="eastAsia"/>
          <w:lang w:eastAsia="zh-CN"/>
        </w:rPr>
        <w:t>。</w:t>
      </w:r>
      <w:r>
        <w:rPr>
          <w:rFonts w:hint="eastAsia"/>
          <w:lang w:eastAsia="zh-CN"/>
        </w:rPr>
        <w:t>参加本次会议不收取任何注册费。</w:t>
      </w:r>
    </w:p>
    <w:p w:rsidR="0025696A" w:rsidRDefault="0025696A" w:rsidP="00A042FD">
      <w:pPr>
        <w:ind w:firstLineChars="200" w:firstLine="480"/>
        <w:rPr>
          <w:lang w:eastAsia="zh-CN"/>
        </w:rPr>
      </w:pPr>
      <w:r>
        <w:rPr>
          <w:rFonts w:ascii="SimSun" w:hAnsi="SimSun" w:cs="SimSun" w:hint="eastAsia"/>
          <w:lang w:eastAsia="zh-CN"/>
        </w:rPr>
        <w:t>讨论将仅用英文进行</w:t>
      </w:r>
      <w:r w:rsidR="00A042FD">
        <w:rPr>
          <w:rFonts w:ascii="SimSun" w:hAnsi="SimSun" w:cs="SimSun" w:hint="eastAsia"/>
          <w:lang w:eastAsia="zh-CN"/>
        </w:rPr>
        <w:t>。</w:t>
      </w:r>
    </w:p>
    <w:p w:rsidR="0025696A" w:rsidRDefault="0025696A" w:rsidP="00A042FD">
      <w:pPr>
        <w:ind w:firstLineChars="200" w:firstLine="480"/>
        <w:rPr>
          <w:lang w:eastAsia="zh-CN"/>
        </w:rPr>
      </w:pPr>
      <w:r>
        <w:rPr>
          <w:rFonts w:hint="eastAsia"/>
          <w:lang w:eastAsia="zh-CN"/>
        </w:rPr>
        <w:t>本次会议文件将公开提供。请您在文件</w:t>
      </w:r>
      <w:r w:rsidR="005B1751">
        <w:rPr>
          <w:rFonts w:hint="eastAsia"/>
          <w:lang w:eastAsia="zh-CN"/>
        </w:rPr>
        <w:t>起草</w:t>
      </w:r>
      <w:r>
        <w:rPr>
          <w:rFonts w:hint="eastAsia"/>
          <w:lang w:eastAsia="zh-CN"/>
        </w:rPr>
        <w:t>过程中使用</w:t>
      </w:r>
      <w:r>
        <w:rPr>
          <w:rFonts w:hint="eastAsia"/>
          <w:lang w:val="en-US" w:eastAsia="zh-CN"/>
        </w:rPr>
        <w:t>焦点组</w:t>
      </w:r>
      <w:r>
        <w:rPr>
          <w:rFonts w:hint="eastAsia"/>
          <w:lang w:eastAsia="zh-CN"/>
        </w:rPr>
        <w:t>网页为焦点组文件提供的基本模板。与会者须采用如下电子方式向电信标准化局提交</w:t>
      </w:r>
      <w:r w:rsidR="00A042FD">
        <w:rPr>
          <w:rFonts w:eastAsiaTheme="minorEastAsia" w:hint="eastAsia"/>
          <w:lang w:val="en-US" w:eastAsia="zh-CN"/>
        </w:rPr>
        <w:t>创新焦点组</w:t>
      </w:r>
      <w:r>
        <w:rPr>
          <w:rFonts w:hint="eastAsia"/>
          <w:lang w:eastAsia="zh-CN"/>
        </w:rPr>
        <w:t>的输入文件：</w:t>
      </w:r>
    </w:p>
    <w:p w:rsidR="0025696A" w:rsidRPr="00226C24" w:rsidRDefault="00E72784" w:rsidP="00C854F6">
      <w:pPr>
        <w:tabs>
          <w:tab w:val="left" w:pos="1418"/>
          <w:tab w:val="left" w:pos="1702"/>
          <w:tab w:val="left" w:pos="2160"/>
        </w:tabs>
        <w:ind w:right="92"/>
        <w:rPr>
          <w:lang w:val="en-US" w:eastAsia="zh-CN"/>
        </w:rPr>
      </w:pPr>
      <w:r w:rsidRPr="00957EA0">
        <w:rPr>
          <w:lang w:eastAsia="zh-CN"/>
        </w:rPr>
        <w:t>–</w:t>
      </w:r>
      <w:r w:rsidRPr="00957EA0">
        <w:rPr>
          <w:lang w:eastAsia="zh-CN"/>
        </w:rPr>
        <w:tab/>
      </w:r>
      <w:r w:rsidR="0025696A">
        <w:rPr>
          <w:rFonts w:hint="eastAsia"/>
          <w:lang w:val="en-US" w:eastAsia="zh-CN"/>
        </w:rPr>
        <w:t>通过</w:t>
      </w:r>
      <w:hyperlink r:id="rId13" w:history="1">
        <w:r w:rsidR="0025696A" w:rsidRPr="001645CB">
          <w:rPr>
            <w:rStyle w:val="Hyperlink"/>
            <w:lang w:val="en-US" w:eastAsia="zh-CN"/>
          </w:rPr>
          <w:t>tsbfginnovation@itu.int</w:t>
        </w:r>
      </w:hyperlink>
      <w:r w:rsidR="0025696A">
        <w:rPr>
          <w:rFonts w:hint="eastAsia"/>
          <w:lang w:val="en-US" w:eastAsia="zh-CN"/>
        </w:rPr>
        <w:t>联系</w:t>
      </w:r>
      <w:r w:rsidR="0025696A">
        <w:rPr>
          <w:rFonts w:hint="eastAsia"/>
          <w:lang w:eastAsia="zh-CN"/>
        </w:rPr>
        <w:t>电信标准化局</w:t>
      </w:r>
      <w:r w:rsidR="0025696A">
        <w:rPr>
          <w:rFonts w:hint="eastAsia"/>
          <w:lang w:val="en-US" w:eastAsia="zh-CN"/>
        </w:rPr>
        <w:t>，以获得每份文件的编号（</w:t>
      </w:r>
      <w:r w:rsidR="0025696A">
        <w:rPr>
          <w:lang w:val="en-US" w:eastAsia="zh-CN"/>
        </w:rPr>
        <w:t>nnnn</w:t>
      </w:r>
      <w:r w:rsidR="0025696A">
        <w:rPr>
          <w:rFonts w:hint="eastAsia"/>
          <w:lang w:val="en-US" w:eastAsia="zh-CN"/>
        </w:rPr>
        <w:t>）</w:t>
      </w:r>
    </w:p>
    <w:p w:rsidR="0025696A" w:rsidRDefault="00E72784" w:rsidP="00C854F6">
      <w:pPr>
        <w:tabs>
          <w:tab w:val="clear" w:pos="794"/>
          <w:tab w:val="left" w:pos="851"/>
          <w:tab w:val="left" w:pos="1418"/>
          <w:tab w:val="left" w:pos="1702"/>
          <w:tab w:val="left" w:pos="2160"/>
        </w:tabs>
        <w:ind w:left="851" w:right="92" w:hanging="851"/>
        <w:rPr>
          <w:lang w:val="en-US"/>
        </w:rPr>
      </w:pPr>
      <w:r w:rsidRPr="00957EA0">
        <w:t>–</w:t>
      </w:r>
      <w:r w:rsidRPr="00957EA0">
        <w:tab/>
      </w:r>
      <w:r w:rsidR="0025696A">
        <w:rPr>
          <w:rFonts w:hint="eastAsia"/>
          <w:lang w:val="en-US" w:eastAsia="zh-CN"/>
        </w:rPr>
        <w:t>采用下述文档名称编制文件：</w:t>
      </w:r>
      <w:r w:rsidR="0025696A">
        <w:rPr>
          <w:lang w:val="en-US"/>
        </w:rPr>
        <w:t>innovation</w:t>
      </w:r>
      <w:r w:rsidR="0025696A" w:rsidRPr="00226C24">
        <w:rPr>
          <w:lang w:val="en-US"/>
        </w:rPr>
        <w:t>-</w:t>
      </w:r>
      <w:r w:rsidR="0025696A">
        <w:rPr>
          <w:lang w:val="en-US"/>
        </w:rPr>
        <w:t>i</w:t>
      </w:r>
      <w:r w:rsidR="0025696A" w:rsidRPr="00226C24">
        <w:rPr>
          <w:lang w:val="en-US"/>
        </w:rPr>
        <w:t>-nnnn</w:t>
      </w:r>
      <w:r w:rsidR="0025696A">
        <w:rPr>
          <w:rFonts w:hint="eastAsia"/>
          <w:lang w:val="en-US" w:eastAsia="zh-CN"/>
        </w:rPr>
        <w:t>（加上适当的文档扩展名）</w:t>
      </w:r>
    </w:p>
    <w:p w:rsidR="00620B2A" w:rsidRDefault="00E72784" w:rsidP="00620B2A">
      <w:pPr>
        <w:tabs>
          <w:tab w:val="clear" w:pos="794"/>
          <w:tab w:val="left" w:pos="851"/>
          <w:tab w:val="left" w:pos="1418"/>
          <w:tab w:val="left" w:pos="1702"/>
          <w:tab w:val="left" w:pos="2160"/>
        </w:tabs>
        <w:ind w:left="851" w:right="92" w:hanging="851"/>
        <w:rPr>
          <w:lang w:val="en-US" w:eastAsia="zh-CN"/>
        </w:rPr>
      </w:pPr>
      <w:r w:rsidRPr="00957EA0">
        <w:t>–</w:t>
      </w:r>
      <w:r w:rsidRPr="00957EA0">
        <w:tab/>
      </w:r>
      <w:r w:rsidR="0025696A">
        <w:rPr>
          <w:rFonts w:hint="eastAsia"/>
          <w:lang w:val="en-US" w:eastAsia="zh-CN"/>
        </w:rPr>
        <w:t>使用</w:t>
      </w:r>
      <w:r w:rsidR="0025696A">
        <w:rPr>
          <w:lang w:val="en-US"/>
        </w:rPr>
        <w:t>FTP</w:t>
      </w:r>
      <w:r w:rsidR="0025696A">
        <w:rPr>
          <w:rFonts w:hint="eastAsia"/>
          <w:lang w:val="en-US" w:eastAsia="zh-CN"/>
        </w:rPr>
        <w:t>客户机，将文件上传至</w:t>
      </w:r>
      <w:r w:rsidR="0025696A">
        <w:rPr>
          <w:lang w:val="en-US"/>
        </w:rPr>
        <w:t>FG Innovation FTP</w:t>
      </w:r>
      <w:r w:rsidR="00A042FD">
        <w:rPr>
          <w:rFonts w:hint="eastAsia"/>
          <w:lang w:val="en-US" w:eastAsia="zh-CN"/>
        </w:rPr>
        <w:t>域的文件投入</w:t>
      </w:r>
      <w:r w:rsidR="0025696A">
        <w:rPr>
          <w:rFonts w:hint="eastAsia"/>
          <w:lang w:val="en-US" w:eastAsia="zh-CN"/>
        </w:rPr>
        <w:t>夹，即：</w:t>
      </w:r>
      <w:r w:rsidR="0025696A">
        <w:rPr>
          <w:lang w:val="en-US"/>
        </w:rPr>
        <w:br/>
      </w:r>
      <w:r w:rsidR="0025696A">
        <w:rPr>
          <w:lang w:val="en-US"/>
        </w:rPr>
        <w:tab/>
      </w:r>
      <w:r w:rsidR="0025696A">
        <w:rPr>
          <w:rFonts w:hint="eastAsia"/>
          <w:b/>
          <w:bCs/>
          <w:lang w:val="en-US" w:eastAsia="zh-CN"/>
        </w:rPr>
        <w:t>主机名称</w:t>
      </w:r>
      <w:r w:rsidR="00620B2A">
        <w:rPr>
          <w:rFonts w:hint="eastAsia"/>
          <w:b/>
          <w:bCs/>
          <w:lang w:val="en-US" w:eastAsia="zh-CN"/>
        </w:rPr>
        <w:t>：</w:t>
      </w:r>
      <w:r w:rsidR="0025696A">
        <w:rPr>
          <w:lang w:val="en-US"/>
        </w:rPr>
        <w:t>ifa.itu.int</w:t>
      </w:r>
      <w:r w:rsidR="0025696A">
        <w:rPr>
          <w:lang w:val="en-US"/>
        </w:rPr>
        <w:br/>
      </w:r>
      <w:r w:rsidR="0025696A">
        <w:rPr>
          <w:lang w:val="en-US"/>
        </w:rPr>
        <w:tab/>
      </w:r>
      <w:r w:rsidR="0025696A">
        <w:rPr>
          <w:rFonts w:hint="eastAsia"/>
          <w:b/>
          <w:bCs/>
          <w:lang w:val="en-US" w:eastAsia="zh-CN"/>
        </w:rPr>
        <w:t>路径：</w:t>
      </w:r>
      <w:r w:rsidR="0025696A" w:rsidRPr="00CA37FA">
        <w:rPr>
          <w:lang w:val="en-US"/>
        </w:rPr>
        <w:t>/t/fg/</w:t>
      </w:r>
      <w:r w:rsidR="0025696A">
        <w:rPr>
          <w:lang w:val="en-US"/>
        </w:rPr>
        <w:t>innovation/docs/incoming</w:t>
      </w:r>
    </w:p>
    <w:p w:rsidR="0025696A" w:rsidRDefault="0025696A" w:rsidP="00620B2A">
      <w:pPr>
        <w:tabs>
          <w:tab w:val="clear" w:pos="794"/>
          <w:tab w:val="left" w:pos="851"/>
          <w:tab w:val="left" w:pos="1418"/>
          <w:tab w:val="left" w:pos="1702"/>
          <w:tab w:val="left" w:pos="2160"/>
        </w:tabs>
        <w:ind w:left="851" w:right="92" w:hanging="851"/>
        <w:rPr>
          <w:lang w:val="en-US" w:eastAsia="zh-CN"/>
        </w:rPr>
      </w:pPr>
      <w:r>
        <w:rPr>
          <w:rFonts w:hint="eastAsia"/>
          <w:lang w:val="en-US" w:eastAsia="zh-CN"/>
        </w:rPr>
        <w:t>注：可</w:t>
      </w:r>
      <w:r w:rsidR="005B1751">
        <w:rPr>
          <w:rFonts w:hint="eastAsia"/>
          <w:lang w:val="en-US" w:eastAsia="zh-CN"/>
        </w:rPr>
        <w:t>利</w:t>
      </w:r>
      <w:r>
        <w:rPr>
          <w:rFonts w:hint="eastAsia"/>
          <w:lang w:val="en-US" w:eastAsia="zh-CN"/>
        </w:rPr>
        <w:t>用网页浏览器阅读下述网站文件投入</w:t>
      </w:r>
      <w:r w:rsidR="005B1751">
        <w:rPr>
          <w:rFonts w:hint="eastAsia"/>
          <w:lang w:val="en-US" w:eastAsia="zh-CN"/>
        </w:rPr>
        <w:t>夹</w:t>
      </w:r>
      <w:r>
        <w:rPr>
          <w:rFonts w:hint="eastAsia"/>
          <w:lang w:val="en-US" w:eastAsia="zh-CN"/>
        </w:rPr>
        <w:t>内的文件：</w:t>
      </w:r>
      <w:r>
        <w:rPr>
          <w:rFonts w:hint="eastAsia"/>
          <w:lang w:val="en-US" w:eastAsia="zh-CN"/>
        </w:rPr>
        <w:t xml:space="preserve"> </w:t>
      </w:r>
      <w:hyperlink r:id="rId14" w:history="1">
        <w:r w:rsidRPr="001645CB">
          <w:rPr>
            <w:rStyle w:val="Hyperlink"/>
            <w:lang w:val="en-US" w:eastAsia="zh-CN"/>
          </w:rPr>
          <w:t>http://ifa.itu.int/t/fg/innovation/docs/incoming/</w:t>
        </w:r>
      </w:hyperlink>
      <w:r w:rsidR="005B1751">
        <w:rPr>
          <w:rFonts w:hint="eastAsia"/>
          <w:lang w:val="en-US" w:eastAsia="zh-CN"/>
        </w:rPr>
        <w:t>。</w:t>
      </w:r>
    </w:p>
    <w:p w:rsidR="0025696A" w:rsidRDefault="0025696A" w:rsidP="00620B2A">
      <w:pPr>
        <w:tabs>
          <w:tab w:val="left" w:pos="1418"/>
          <w:tab w:val="left" w:pos="1702"/>
          <w:tab w:val="left" w:pos="2160"/>
        </w:tabs>
        <w:ind w:right="92" w:firstLineChars="200" w:firstLine="480"/>
        <w:rPr>
          <w:lang w:val="en-US" w:eastAsia="zh-CN"/>
        </w:rPr>
      </w:pPr>
      <w:r>
        <w:rPr>
          <w:rFonts w:hAnsi="SimSun" w:hint="eastAsia"/>
          <w:lang w:eastAsia="zh-CN"/>
        </w:rPr>
        <w:t>电信标准化局</w:t>
      </w:r>
      <w:r w:rsidR="005B1751">
        <w:rPr>
          <w:rFonts w:hint="eastAsia"/>
          <w:lang w:val="en-US" w:eastAsia="zh-CN"/>
        </w:rPr>
        <w:t>将对文件进行处理，然后移至相关</w:t>
      </w:r>
      <w:r>
        <w:rPr>
          <w:rFonts w:hint="eastAsia"/>
          <w:lang w:val="en-US" w:eastAsia="zh-CN"/>
        </w:rPr>
        <w:t>只读文件夹：</w:t>
      </w:r>
      <w:hyperlink r:id="rId15" w:history="1">
        <w:r w:rsidRPr="003042C5">
          <w:rPr>
            <w:rStyle w:val="Hyperlink"/>
            <w:lang w:val="en-US"/>
          </w:rPr>
          <w:t>http://ifa.itu.int/t/fg/innovation/docs/1203-gva/in/</w:t>
        </w:r>
      </w:hyperlink>
      <w:r>
        <w:rPr>
          <w:lang w:val="en-US"/>
        </w:rPr>
        <w:t xml:space="preserve"> </w:t>
      </w:r>
    </w:p>
    <w:p w:rsidR="0025696A" w:rsidRDefault="0025696A" w:rsidP="00620B2A">
      <w:pPr>
        <w:tabs>
          <w:tab w:val="left" w:pos="1418"/>
          <w:tab w:val="left" w:pos="1702"/>
          <w:tab w:val="left" w:pos="2160"/>
        </w:tabs>
        <w:ind w:right="92" w:firstLineChars="200" w:firstLine="480"/>
        <w:rPr>
          <w:lang w:val="en-US" w:eastAsia="zh-CN"/>
        </w:rPr>
      </w:pPr>
      <w:r>
        <w:rPr>
          <w:rFonts w:hint="eastAsia"/>
          <w:lang w:val="en-US" w:eastAsia="zh-CN"/>
        </w:rPr>
        <w:t>经焦点组管理层同意，</w:t>
      </w:r>
      <w:r w:rsidR="005B1751">
        <w:rPr>
          <w:rFonts w:hint="eastAsia"/>
          <w:lang w:val="en-US" w:eastAsia="zh-CN"/>
        </w:rPr>
        <w:t>此</w:t>
      </w:r>
      <w:r>
        <w:rPr>
          <w:rFonts w:hint="eastAsia"/>
          <w:lang w:val="en-US" w:eastAsia="zh-CN"/>
        </w:rPr>
        <w:t>首次会议的文件提交截止时间为</w:t>
      </w:r>
      <w:r>
        <w:rPr>
          <w:b/>
          <w:bCs/>
          <w:lang w:val="en-US" w:eastAsia="zh-CN"/>
        </w:rPr>
        <w:t>201</w:t>
      </w:r>
      <w:r>
        <w:rPr>
          <w:rFonts w:hint="eastAsia"/>
          <w:b/>
          <w:bCs/>
          <w:lang w:val="en-US" w:eastAsia="zh-CN"/>
        </w:rPr>
        <w:t>2</w:t>
      </w:r>
      <w:r>
        <w:rPr>
          <w:rFonts w:hint="eastAsia"/>
          <w:b/>
          <w:bCs/>
          <w:lang w:val="en-US" w:eastAsia="zh-CN"/>
        </w:rPr>
        <w:t>年</w:t>
      </w:r>
      <w:r>
        <w:rPr>
          <w:rFonts w:hint="eastAsia"/>
          <w:b/>
          <w:bCs/>
          <w:lang w:val="en-US" w:eastAsia="zh-CN"/>
        </w:rPr>
        <w:t>3</w:t>
      </w:r>
      <w:r>
        <w:rPr>
          <w:rFonts w:hint="eastAsia"/>
          <w:b/>
          <w:bCs/>
          <w:lang w:val="en-US" w:eastAsia="zh-CN"/>
        </w:rPr>
        <w:t>月</w:t>
      </w:r>
      <w:r>
        <w:rPr>
          <w:b/>
          <w:bCs/>
          <w:lang w:val="en-US" w:eastAsia="zh-CN"/>
        </w:rPr>
        <w:t>1</w:t>
      </w:r>
      <w:r>
        <w:rPr>
          <w:rFonts w:hint="eastAsia"/>
          <w:b/>
          <w:bCs/>
          <w:lang w:val="en-US" w:eastAsia="zh-CN"/>
        </w:rPr>
        <w:t>2</w:t>
      </w:r>
      <w:r>
        <w:rPr>
          <w:rFonts w:hint="eastAsia"/>
          <w:b/>
          <w:bCs/>
          <w:lang w:val="en-US" w:eastAsia="zh-CN"/>
        </w:rPr>
        <w:t>日</w:t>
      </w:r>
      <w:r>
        <w:rPr>
          <w:rFonts w:hint="eastAsia"/>
          <w:lang w:val="en-US" w:eastAsia="zh-CN"/>
        </w:rPr>
        <w:t>。请注意，本次会议将是一次无纸会议。</w:t>
      </w:r>
    </w:p>
    <w:p w:rsidR="0025696A" w:rsidRDefault="0025696A" w:rsidP="003B17C5">
      <w:pPr>
        <w:rPr>
          <w:lang w:eastAsia="zh-CN"/>
        </w:rPr>
      </w:pPr>
      <w:r>
        <w:rPr>
          <w:lang w:eastAsia="zh-CN"/>
        </w:rPr>
        <w:t>10</w:t>
      </w:r>
      <w:r>
        <w:rPr>
          <w:lang w:eastAsia="zh-CN"/>
        </w:rPr>
        <w:tab/>
      </w:r>
      <w:r>
        <w:rPr>
          <w:rFonts w:hint="eastAsia"/>
          <w:lang w:val="en-US" w:eastAsia="zh-CN"/>
        </w:rPr>
        <w:t>国际电联的主要会议厅和日内瓦国际会议中心（</w:t>
      </w:r>
      <w:r>
        <w:rPr>
          <w:lang w:val="en-US" w:eastAsia="zh-CN"/>
        </w:rPr>
        <w:t>CICG</w:t>
      </w:r>
      <w:r>
        <w:rPr>
          <w:rFonts w:hint="eastAsia"/>
          <w:lang w:val="en-US" w:eastAsia="zh-CN"/>
        </w:rPr>
        <w:t>）内均设有无线局域网设施，供代表使用。国际电联</w:t>
      </w:r>
      <w:r>
        <w:rPr>
          <w:lang w:val="en-US" w:eastAsia="zh-CN"/>
        </w:rPr>
        <w:t>Montbrillant</w:t>
      </w:r>
      <w:r>
        <w:rPr>
          <w:rFonts w:hint="eastAsia"/>
          <w:lang w:val="en-US" w:eastAsia="zh-CN"/>
        </w:rPr>
        <w:t>办公楼内继续提供有线网络接入。详细信息见</w:t>
      </w:r>
      <w:r>
        <w:rPr>
          <w:lang w:val="en-US" w:eastAsia="zh-CN"/>
        </w:rPr>
        <w:t>ITU-T</w:t>
      </w:r>
      <w:r>
        <w:rPr>
          <w:rFonts w:hint="eastAsia"/>
          <w:lang w:val="en-US" w:eastAsia="zh-CN"/>
        </w:rPr>
        <w:t>网站（</w:t>
      </w:r>
      <w:hyperlink r:id="rId16" w:history="1">
        <w:r w:rsidRPr="001C3688">
          <w:rPr>
            <w:rStyle w:val="Hyperlink"/>
            <w:lang w:eastAsia="zh-CN"/>
          </w:rPr>
          <w:t>http://itu.int/ITU-T/edh/faqs-support.html</w:t>
        </w:r>
      </w:hyperlink>
      <w:r>
        <w:rPr>
          <w:rFonts w:hint="eastAsia"/>
          <w:lang w:eastAsia="zh-CN"/>
        </w:rPr>
        <w:t>）。</w:t>
      </w:r>
    </w:p>
    <w:p w:rsidR="003B17C5" w:rsidRDefault="003B17C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5696A" w:rsidRDefault="0025696A" w:rsidP="00C854F6">
      <w:pPr>
        <w:tabs>
          <w:tab w:val="left" w:pos="1418"/>
          <w:tab w:val="left" w:pos="1702"/>
          <w:tab w:val="left" w:pos="2160"/>
        </w:tabs>
        <w:ind w:right="92"/>
      </w:pPr>
      <w:r>
        <w:lastRenderedPageBreak/>
        <w:t>11</w:t>
      </w:r>
      <w:r>
        <w:tab/>
      </w:r>
      <w:r>
        <w:rPr>
          <w:rFonts w:hint="eastAsia"/>
          <w:b/>
          <w:bCs/>
          <w:szCs w:val="23"/>
          <w:lang w:eastAsia="zh-CN"/>
        </w:rPr>
        <w:t>附件</w:t>
      </w:r>
      <w:r>
        <w:rPr>
          <w:rFonts w:hint="eastAsia"/>
          <w:b/>
          <w:bCs/>
          <w:szCs w:val="23"/>
          <w:lang w:eastAsia="zh-CN"/>
        </w:rPr>
        <w:t>4</w:t>
      </w:r>
      <w:r>
        <w:rPr>
          <w:rFonts w:hint="eastAsia"/>
          <w:szCs w:val="23"/>
          <w:lang w:eastAsia="zh-CN"/>
        </w:rPr>
        <w:t>中有一份酒店确认单（酒店清单见</w:t>
      </w:r>
      <w:hyperlink r:id="rId17" w:history="1">
        <w:r w:rsidRPr="006609BF">
          <w:rPr>
            <w:rStyle w:val="Hyperlink"/>
            <w:szCs w:val="23"/>
            <w:lang w:eastAsia="zh-CN"/>
          </w:rPr>
          <w:t>http://itu.int/travel/</w:t>
        </w:r>
      </w:hyperlink>
      <w:r>
        <w:rPr>
          <w:rFonts w:hint="eastAsia"/>
          <w:szCs w:val="23"/>
          <w:lang w:eastAsia="zh-CN"/>
        </w:rPr>
        <w:t>）</w:t>
      </w:r>
      <w:r>
        <w:rPr>
          <w:rFonts w:hint="eastAsia"/>
          <w:szCs w:val="23"/>
          <w:lang w:val="en-US" w:eastAsia="zh-CN"/>
        </w:rPr>
        <w:t>，</w:t>
      </w:r>
      <w:r>
        <w:rPr>
          <w:rFonts w:hint="eastAsia"/>
          <w:szCs w:val="23"/>
          <w:lang w:eastAsia="zh-CN"/>
        </w:rPr>
        <w:t>供参考。</w:t>
      </w:r>
    </w:p>
    <w:p w:rsidR="0025696A" w:rsidRDefault="0025696A" w:rsidP="005B1751">
      <w:pPr>
        <w:ind w:right="91"/>
        <w:rPr>
          <w:b/>
          <w:bCs/>
          <w:i/>
          <w:iCs/>
          <w:lang w:eastAsia="zh-CN"/>
        </w:rPr>
      </w:pPr>
      <w:r>
        <w:t>12</w:t>
      </w:r>
      <w:r>
        <w:tab/>
      </w:r>
      <w:r>
        <w:rPr>
          <w:rFonts w:hint="eastAsia"/>
          <w:lang w:eastAsia="zh-CN"/>
        </w:rPr>
        <w:t>为便于电信标准化局</w:t>
      </w:r>
      <w:r w:rsidR="005B1751">
        <w:rPr>
          <w:rFonts w:hint="eastAsia"/>
          <w:lang w:eastAsia="zh-CN"/>
        </w:rPr>
        <w:t>为</w:t>
      </w:r>
      <w:r>
        <w:rPr>
          <w:rFonts w:hint="eastAsia"/>
          <w:lang w:eastAsia="zh-CN"/>
        </w:rPr>
        <w:t>焦点组</w:t>
      </w:r>
      <w:r w:rsidR="005B1751">
        <w:rPr>
          <w:rFonts w:hint="eastAsia"/>
          <w:lang w:eastAsia="zh-CN"/>
        </w:rPr>
        <w:t>会议的组织做出必要安排，</w:t>
      </w:r>
      <w:r>
        <w:rPr>
          <w:rFonts w:hint="eastAsia"/>
          <w:lang w:eastAsia="zh-CN"/>
        </w:rPr>
        <w:t>希望您能通过</w:t>
      </w:r>
      <w:hyperlink r:id="rId18" w:history="1">
        <w:r w:rsidRPr="00EE186F">
          <w:rPr>
            <w:rStyle w:val="Hyperlink"/>
            <w:szCs w:val="24"/>
          </w:rPr>
          <w:t>http://itu.int/reg/tsg/3000358</w:t>
        </w:r>
      </w:hyperlink>
      <w:r>
        <w:rPr>
          <w:rFonts w:hint="eastAsia"/>
          <w:lang w:eastAsia="zh-CN"/>
        </w:rPr>
        <w:t>网址尽早、但</w:t>
      </w:r>
      <w:r>
        <w:rPr>
          <w:rFonts w:hint="eastAsia"/>
          <w:b/>
          <w:bCs/>
          <w:lang w:eastAsia="zh-CN"/>
        </w:rPr>
        <w:t>不迟于</w:t>
      </w:r>
      <w:r w:rsidRPr="00A5282C">
        <w:rPr>
          <w:b/>
        </w:rPr>
        <w:t>2012</w:t>
      </w:r>
      <w:r>
        <w:rPr>
          <w:rFonts w:hint="eastAsia"/>
          <w:b/>
          <w:lang w:eastAsia="zh-CN"/>
        </w:rPr>
        <w:t>年</w:t>
      </w:r>
      <w:r>
        <w:rPr>
          <w:rFonts w:hint="eastAsia"/>
          <w:b/>
          <w:lang w:eastAsia="zh-CN"/>
        </w:rPr>
        <w:t>3</w:t>
      </w:r>
      <w:r>
        <w:rPr>
          <w:rFonts w:hint="eastAsia"/>
          <w:b/>
          <w:lang w:eastAsia="zh-CN"/>
        </w:rPr>
        <w:t>月</w:t>
      </w:r>
      <w:r>
        <w:rPr>
          <w:rFonts w:hint="eastAsia"/>
          <w:b/>
          <w:lang w:eastAsia="zh-CN"/>
        </w:rPr>
        <w:t>5</w:t>
      </w:r>
      <w:r>
        <w:rPr>
          <w:rFonts w:hint="eastAsia"/>
          <w:b/>
          <w:lang w:eastAsia="zh-CN"/>
        </w:rPr>
        <w:t>日</w:t>
      </w:r>
      <w:r>
        <w:rPr>
          <w:rFonts w:hint="eastAsia"/>
          <w:lang w:eastAsia="zh-CN"/>
        </w:rPr>
        <w:t>进行</w:t>
      </w:r>
      <w:r w:rsidR="005B1751">
        <w:rPr>
          <w:rFonts w:hint="eastAsia"/>
          <w:lang w:eastAsia="zh-CN"/>
        </w:rPr>
        <w:t>在线</w:t>
      </w:r>
      <w:r>
        <w:rPr>
          <w:rFonts w:hint="eastAsia"/>
          <w:lang w:eastAsia="zh-CN"/>
        </w:rPr>
        <w:t>注册。</w:t>
      </w:r>
      <w:r>
        <w:rPr>
          <w:rFonts w:hint="eastAsia"/>
          <w:b/>
          <w:bCs/>
          <w:lang w:eastAsia="zh-CN"/>
        </w:rPr>
        <w:t>请注意，会议与会者的预注册仅以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r>
        <w:rPr>
          <w:rFonts w:hint="eastAsia"/>
          <w:lang w:eastAsia="zh-CN"/>
        </w:rPr>
        <w:t>为便于向您提供有关会议计划的最新情况，请在您的注册表上填写您</w:t>
      </w:r>
      <w:r w:rsidR="005B1751">
        <w:rPr>
          <w:rFonts w:hint="eastAsia"/>
          <w:lang w:eastAsia="zh-CN"/>
        </w:rPr>
        <w:t>的</w:t>
      </w:r>
      <w:r>
        <w:rPr>
          <w:rFonts w:hint="eastAsia"/>
          <w:lang w:eastAsia="zh-CN"/>
        </w:rPr>
        <w:t>有效电子邮件地址。</w:t>
      </w:r>
      <w:r>
        <w:rPr>
          <w:b/>
          <w:bCs/>
          <w:i/>
          <w:iCs/>
          <w:lang w:eastAsia="zh-CN"/>
        </w:rPr>
        <w:t xml:space="preserve"> </w:t>
      </w:r>
    </w:p>
    <w:p w:rsidR="0025696A" w:rsidRDefault="0025696A" w:rsidP="00C854F6">
      <w:pPr>
        <w:tabs>
          <w:tab w:val="left" w:pos="1418"/>
          <w:tab w:val="left" w:pos="1702"/>
          <w:tab w:val="left" w:pos="2160"/>
        </w:tabs>
        <w:spacing w:before="100" w:after="20"/>
        <w:ind w:right="92"/>
        <w:jc w:val="both"/>
        <w:rPr>
          <w:lang w:eastAsia="zh-CN"/>
        </w:rPr>
      </w:pPr>
      <w:r>
        <w:rPr>
          <w:lang w:eastAsia="zh-CN"/>
        </w:rPr>
        <w:t>13</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sidRPr="00F62F25">
        <w:rPr>
          <w:rFonts w:hint="eastAsia"/>
          <w:b/>
          <w:lang w:eastAsia="zh-CN"/>
        </w:rPr>
        <w:t>签证必须至少在会议召开日的</w:t>
      </w:r>
      <w:r>
        <w:rPr>
          <w:rFonts w:hint="eastAsia"/>
          <w:b/>
          <w:lang w:eastAsia="zh-CN"/>
        </w:rPr>
        <w:t>四</w:t>
      </w:r>
      <w:r w:rsidRPr="00F62F25">
        <w:rPr>
          <w:rFonts w:hint="eastAsia"/>
          <w:b/>
          <w:lang w:eastAsia="zh-CN"/>
        </w:rPr>
        <w:t>（</w:t>
      </w:r>
      <w:r>
        <w:rPr>
          <w:rFonts w:hint="eastAsia"/>
          <w:b/>
          <w:lang w:eastAsia="zh-CN"/>
        </w:rPr>
        <w:t>4</w:t>
      </w:r>
      <w:r w:rsidRPr="00F62F25">
        <w:rPr>
          <w:rFonts w:hint="eastAsia"/>
          <w:b/>
          <w:lang w:eastAsia="zh-CN"/>
        </w:rPr>
        <w:t>）个星期前向驻贵国的瑞士代表机构（使馆或领事馆）申请，并随后领取</w:t>
      </w:r>
      <w:r w:rsidRPr="008C763B">
        <w:rPr>
          <w:rFonts w:hint="eastAsia"/>
          <w:bCs/>
          <w:lang w:eastAsia="zh-CN"/>
        </w:rPr>
        <w:t>。</w:t>
      </w:r>
      <w:r>
        <w:rPr>
          <w:rFonts w:hint="eastAsia"/>
          <w:lang w:eastAsia="zh-CN"/>
        </w:rPr>
        <w:t>如贵国没有此类机构，则请向驻离贵国最近的国家的此类机构申请并领取。</w:t>
      </w:r>
    </w:p>
    <w:p w:rsidR="0025696A" w:rsidRPr="00C868BD" w:rsidRDefault="0025696A" w:rsidP="005B1751">
      <w:pPr>
        <w:ind w:firstLineChars="200" w:firstLine="480"/>
        <w:rPr>
          <w:lang w:val="en-US"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w:t>
      </w:r>
      <w:r>
        <w:rPr>
          <w:rFonts w:hint="eastAsia"/>
          <w:b/>
          <w:bCs/>
          <w:lang w:eastAsia="zh-CN"/>
        </w:rPr>
        <w:t>、</w:t>
      </w:r>
      <w:r w:rsidRPr="00A17C5B">
        <w:rPr>
          <w:rFonts w:hint="eastAsia"/>
          <w:b/>
          <w:bCs/>
          <w:lang w:eastAsia="zh-CN"/>
        </w:rPr>
        <w:t>部门准成员或</w:t>
      </w:r>
      <w:r>
        <w:rPr>
          <w:rFonts w:hint="eastAsia"/>
          <w:b/>
          <w:bCs/>
          <w:lang w:eastAsia="zh-CN"/>
        </w:rPr>
        <w:t>学术</w:t>
      </w:r>
      <w:r w:rsidR="005B1751">
        <w:rPr>
          <w:rFonts w:hint="eastAsia"/>
          <w:b/>
          <w:bCs/>
          <w:lang w:eastAsia="zh-CN"/>
        </w:rPr>
        <w:t>机构</w:t>
      </w:r>
      <w:r>
        <w:rPr>
          <w:rFonts w:hint="eastAsia"/>
          <w:szCs w:val="23"/>
          <w:lang w:eastAsia="zh-CN"/>
        </w:rPr>
        <w:t>遇到了问题，国际电联可根据他们向电信标准化局提出的正式请求与相关瑞士当局接触，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szCs w:val="24"/>
          <w:lang w:eastAsia="zh-CN"/>
        </w:rPr>
        <w:t>通过您所代表的主管部门或</w:t>
      </w:r>
      <w:r w:rsidR="005B1751">
        <w:rPr>
          <w:rFonts w:hint="eastAsia"/>
          <w:szCs w:val="24"/>
          <w:lang w:eastAsia="zh-CN"/>
        </w:rPr>
        <w:t>实体</w:t>
      </w:r>
      <w:r w:rsidRPr="00C842D2">
        <w:rPr>
          <w:szCs w:val="24"/>
          <w:lang w:eastAsia="zh-CN"/>
        </w:rPr>
        <w:t>发出的正式信函</w:t>
      </w:r>
      <w:r>
        <w:rPr>
          <w:rFonts w:hint="eastAsia"/>
          <w:szCs w:val="24"/>
          <w:lang w:eastAsia="zh-CN"/>
        </w:rPr>
        <w:t>提出。</w:t>
      </w:r>
      <w:r w:rsidRPr="00C842D2">
        <w:rPr>
          <w:szCs w:val="24"/>
          <w:lang w:eastAsia="zh-CN"/>
        </w:rPr>
        <w:t>该函必须</w:t>
      </w:r>
      <w:r w:rsidRPr="00C868BD">
        <w:rPr>
          <w:rFonts w:hint="eastAsia"/>
          <w:lang w:eastAsia="zh-CN"/>
        </w:rPr>
        <w:t>说明</w:t>
      </w:r>
      <w:r>
        <w:rPr>
          <w:rFonts w:hint="eastAsia"/>
          <w:lang w:eastAsia="zh-CN"/>
        </w:rPr>
        <w:t>申请签证人员的姓名和职务、出生日期、护照号码以及护照颁发日期和截止日期，并需</w:t>
      </w:r>
      <w:r w:rsidRPr="00C868BD">
        <w:rPr>
          <w:rFonts w:hint="eastAsia"/>
          <w:lang w:eastAsia="zh-CN"/>
        </w:rPr>
        <w:t>附有一</w:t>
      </w:r>
      <w:r>
        <w:rPr>
          <w:rFonts w:hint="eastAsia"/>
          <w:lang w:eastAsia="zh-CN"/>
        </w:rPr>
        <w:t>份经</w:t>
      </w:r>
      <w:r w:rsidRPr="00C868BD">
        <w:rPr>
          <w:spacing w:val="-10"/>
          <w:szCs w:val="24"/>
          <w:lang w:eastAsia="zh-CN"/>
        </w:rPr>
        <w:t>ITU-T</w:t>
      </w:r>
      <w:r>
        <w:rPr>
          <w:rFonts w:hint="eastAsia"/>
          <w:lang w:eastAsia="zh-CN"/>
        </w:rPr>
        <w:t>所述会议批准的注册确认通知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hyperlink r:id="rId19"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另请注意，国际电联仅能向国际电联成员国、国际电联部门成员、国际电联部门准成员或</w:t>
      </w:r>
      <w:r>
        <w:rPr>
          <w:rFonts w:hint="eastAsia"/>
          <w:b/>
          <w:bCs/>
          <w:szCs w:val="23"/>
          <w:u w:val="single"/>
          <w:lang w:eastAsia="zh-CN"/>
        </w:rPr>
        <w:t>ITU</w:t>
      </w:r>
      <w:r>
        <w:rPr>
          <w:rFonts w:hint="eastAsia"/>
          <w:b/>
          <w:bCs/>
          <w:szCs w:val="23"/>
          <w:u w:val="single"/>
          <w:lang w:eastAsia="zh-CN"/>
        </w:rPr>
        <w:t>学术成员的代表提供帮助。</w:t>
      </w:r>
    </w:p>
    <w:p w:rsidR="0025696A" w:rsidRPr="008C763B" w:rsidRDefault="0025696A" w:rsidP="00C854F6">
      <w:pPr>
        <w:tabs>
          <w:tab w:val="left" w:pos="1418"/>
          <w:tab w:val="left" w:pos="1702"/>
          <w:tab w:val="left" w:pos="2160"/>
        </w:tabs>
        <w:spacing w:before="100" w:after="20"/>
        <w:ind w:right="92"/>
        <w:jc w:val="both"/>
        <w:rPr>
          <w:szCs w:val="23"/>
          <w:lang w:val="en-US" w:eastAsia="zh-CN"/>
        </w:rPr>
      </w:pPr>
    </w:p>
    <w:p w:rsidR="0025696A" w:rsidRDefault="0025696A" w:rsidP="00C854F6">
      <w:pPr>
        <w:tabs>
          <w:tab w:val="left" w:pos="1418"/>
          <w:tab w:val="left" w:pos="1702"/>
          <w:tab w:val="left" w:pos="2160"/>
        </w:tabs>
        <w:spacing w:before="100" w:after="20"/>
        <w:ind w:right="92"/>
        <w:jc w:val="both"/>
        <w:rPr>
          <w:szCs w:val="23"/>
          <w:lang w:eastAsia="zh-CN"/>
        </w:rPr>
      </w:pPr>
    </w:p>
    <w:p w:rsidR="0025696A" w:rsidRDefault="0025696A" w:rsidP="00C854F6">
      <w:pPr>
        <w:tabs>
          <w:tab w:val="left" w:pos="1418"/>
          <w:tab w:val="left" w:pos="1702"/>
          <w:tab w:val="left" w:pos="2160"/>
        </w:tabs>
        <w:rPr>
          <w:lang w:eastAsia="zh-CN"/>
        </w:rPr>
      </w:pPr>
    </w:p>
    <w:p w:rsidR="0025696A" w:rsidRDefault="0025696A" w:rsidP="00C854F6">
      <w:pPr>
        <w:tabs>
          <w:tab w:val="left" w:pos="1418"/>
          <w:tab w:val="left" w:pos="1702"/>
          <w:tab w:val="left" w:pos="2160"/>
        </w:tabs>
        <w:rPr>
          <w:lang w:eastAsia="zh-CN"/>
        </w:rPr>
      </w:pPr>
      <w:r>
        <w:rPr>
          <w:rFonts w:hint="eastAsia"/>
          <w:lang w:eastAsia="zh-CN"/>
        </w:rPr>
        <w:t>顺致敬意！</w:t>
      </w:r>
      <w:r>
        <w:rPr>
          <w:lang w:eastAsia="zh-CN"/>
        </w:rPr>
        <w:br/>
      </w:r>
    </w:p>
    <w:p w:rsidR="0025696A" w:rsidRDefault="0025696A" w:rsidP="00C854F6">
      <w:pPr>
        <w:tabs>
          <w:tab w:val="left" w:pos="1418"/>
          <w:tab w:val="left" w:pos="1702"/>
          <w:tab w:val="left" w:pos="2160"/>
        </w:tabs>
        <w:spacing w:before="100" w:after="20"/>
        <w:ind w:right="92"/>
        <w:rPr>
          <w:lang w:eastAsia="zh-CN"/>
        </w:rPr>
      </w:pPr>
    </w:p>
    <w:p w:rsidR="0025696A" w:rsidRDefault="0025696A" w:rsidP="00C854F6">
      <w:pPr>
        <w:tabs>
          <w:tab w:val="left" w:pos="1418"/>
          <w:tab w:val="left" w:pos="1702"/>
          <w:tab w:val="left" w:pos="2160"/>
        </w:tabs>
        <w:spacing w:before="100" w:after="20"/>
        <w:ind w:right="92"/>
        <w:rPr>
          <w:lang w:eastAsia="zh-CN"/>
        </w:rPr>
      </w:pPr>
    </w:p>
    <w:p w:rsidR="0025696A" w:rsidRDefault="0025696A" w:rsidP="003B17C5">
      <w:pPr>
        <w:tabs>
          <w:tab w:val="left" w:pos="1418"/>
          <w:tab w:val="left" w:pos="1702"/>
          <w:tab w:val="left" w:pos="2160"/>
        </w:tabs>
        <w:spacing w:before="100" w:after="20"/>
        <w:ind w:right="91"/>
        <w:rPr>
          <w:lang w:eastAsia="zh-CN"/>
        </w:rPr>
      </w:pPr>
    </w:p>
    <w:p w:rsidR="0025696A" w:rsidRDefault="0025696A" w:rsidP="003B17C5">
      <w:pPr>
        <w:tabs>
          <w:tab w:val="left" w:pos="1418"/>
          <w:tab w:val="left" w:pos="1702"/>
          <w:tab w:val="left" w:pos="2160"/>
        </w:tabs>
        <w:spacing w:before="10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25696A" w:rsidRDefault="0025696A" w:rsidP="0025696A">
      <w:pPr>
        <w:tabs>
          <w:tab w:val="clear" w:pos="794"/>
          <w:tab w:val="clear" w:pos="1191"/>
          <w:tab w:val="clear" w:pos="1588"/>
          <w:tab w:val="clear" w:pos="1985"/>
        </w:tabs>
        <w:spacing w:before="0" w:line="480" w:lineRule="auto"/>
        <w:rPr>
          <w:lang w:eastAsia="zh-CN"/>
        </w:rPr>
      </w:pPr>
    </w:p>
    <w:p w:rsidR="0025696A" w:rsidRDefault="0025696A" w:rsidP="0025696A">
      <w:pPr>
        <w:tabs>
          <w:tab w:val="clear" w:pos="794"/>
          <w:tab w:val="clear" w:pos="1191"/>
          <w:tab w:val="clear" w:pos="1588"/>
          <w:tab w:val="clear" w:pos="1985"/>
        </w:tabs>
        <w:spacing w:before="0" w:line="480" w:lineRule="auto"/>
        <w:rPr>
          <w:lang w:eastAsia="zh-CN"/>
        </w:rPr>
      </w:pPr>
      <w:r>
        <w:rPr>
          <w:lang w:eastAsia="zh-CN"/>
        </w:rPr>
        <w:br w:type="page"/>
      </w:r>
    </w:p>
    <w:p w:rsidR="0025696A" w:rsidRDefault="0025696A" w:rsidP="00C854F6">
      <w:pPr>
        <w:jc w:val="center"/>
        <w:rPr>
          <w:lang w:eastAsia="zh-CN"/>
        </w:rPr>
      </w:pPr>
      <w:r>
        <w:rPr>
          <w:rFonts w:eastAsiaTheme="minorEastAsia" w:hint="eastAsia"/>
          <w:szCs w:val="24"/>
          <w:lang w:eastAsia="zh-CN"/>
        </w:rPr>
        <w:lastRenderedPageBreak/>
        <w:t>（电信标准化局第</w:t>
      </w:r>
      <w:r>
        <w:rPr>
          <w:rFonts w:eastAsiaTheme="minorEastAsia"/>
          <w:szCs w:val="24"/>
          <w:lang w:eastAsia="zh-CN"/>
        </w:rPr>
        <w:t>253</w:t>
      </w:r>
      <w:r>
        <w:rPr>
          <w:rFonts w:eastAsiaTheme="minorEastAsia" w:hint="eastAsia"/>
          <w:szCs w:val="24"/>
          <w:lang w:eastAsia="zh-CN"/>
        </w:rPr>
        <w:t>号通函）</w:t>
      </w:r>
      <w:r>
        <w:rPr>
          <w:lang w:eastAsia="zh-CN"/>
        </w:rPr>
        <w:br/>
      </w:r>
      <w:r>
        <w:rPr>
          <w:rFonts w:eastAsiaTheme="minorEastAsia" w:hint="eastAsia"/>
          <w:szCs w:val="24"/>
          <w:lang w:eastAsia="zh-CN"/>
        </w:rPr>
        <w:t>附件</w:t>
      </w:r>
      <w:r>
        <w:rPr>
          <w:rFonts w:eastAsiaTheme="minorEastAsia" w:hint="eastAsia"/>
          <w:szCs w:val="24"/>
          <w:lang w:eastAsia="zh-CN"/>
        </w:rPr>
        <w:t>1</w:t>
      </w:r>
      <w:r>
        <w:rPr>
          <w:rFonts w:eastAsiaTheme="minorEastAsia"/>
          <w:szCs w:val="24"/>
          <w:lang w:eastAsia="zh-CN"/>
        </w:rPr>
        <w:br/>
      </w:r>
    </w:p>
    <w:p w:rsidR="0025696A" w:rsidRPr="00EE186F" w:rsidRDefault="005B1751" w:rsidP="005B1751">
      <w:pPr>
        <w:widowControl w:val="0"/>
        <w:tabs>
          <w:tab w:val="left" w:pos="720"/>
        </w:tabs>
        <w:spacing w:before="0"/>
        <w:jc w:val="center"/>
        <w:rPr>
          <w:b/>
          <w:bCs/>
          <w:szCs w:val="24"/>
          <w:lang w:eastAsia="ko-KR"/>
        </w:rPr>
      </w:pPr>
      <w:r>
        <w:rPr>
          <w:rFonts w:asciiTheme="majorBidi" w:hAnsiTheme="majorBidi" w:cstheme="majorBidi" w:hint="eastAsia"/>
          <w:b/>
          <w:bCs/>
          <w:szCs w:val="24"/>
          <w:lang w:val="en-CA" w:eastAsia="zh-CN"/>
        </w:rPr>
        <w:t>“缩小创新到标准之间</w:t>
      </w:r>
      <w:r w:rsidR="0025696A">
        <w:rPr>
          <w:rFonts w:asciiTheme="majorBidi" w:hAnsiTheme="majorBidi" w:cstheme="majorBidi" w:hint="eastAsia"/>
          <w:b/>
          <w:bCs/>
          <w:szCs w:val="24"/>
          <w:lang w:val="en-CA" w:eastAsia="zh-CN"/>
        </w:rPr>
        <w:t>距</w:t>
      </w:r>
      <w:r>
        <w:rPr>
          <w:rFonts w:asciiTheme="majorBidi" w:hAnsiTheme="majorBidi" w:cstheme="majorBidi" w:hint="eastAsia"/>
          <w:b/>
          <w:bCs/>
          <w:szCs w:val="24"/>
          <w:lang w:val="en-CA" w:eastAsia="zh-CN"/>
        </w:rPr>
        <w:t>离</w:t>
      </w:r>
      <w:r w:rsidR="0025696A">
        <w:rPr>
          <w:rFonts w:asciiTheme="majorBidi" w:hAnsiTheme="majorBidi" w:cstheme="majorBidi" w:hint="eastAsia"/>
          <w:b/>
          <w:bCs/>
          <w:szCs w:val="24"/>
          <w:lang w:val="en-CA" w:eastAsia="zh-CN"/>
        </w:rPr>
        <w:t>”焦点组的职责范围</w:t>
      </w:r>
    </w:p>
    <w:p w:rsidR="0025696A" w:rsidRPr="00EE186F" w:rsidRDefault="0025696A" w:rsidP="00C854F6">
      <w:pPr>
        <w:widowControl w:val="0"/>
        <w:tabs>
          <w:tab w:val="left" w:pos="720"/>
        </w:tabs>
        <w:spacing w:before="0"/>
        <w:jc w:val="center"/>
        <w:rPr>
          <w:b/>
          <w:bCs/>
          <w:szCs w:val="24"/>
          <w:lang w:eastAsia="ko-KR"/>
        </w:rPr>
      </w:pPr>
    </w:p>
    <w:p w:rsidR="0025696A" w:rsidRPr="00EE186F" w:rsidRDefault="005B1751" w:rsidP="005B1751">
      <w:pPr>
        <w:widowControl w:val="0"/>
        <w:tabs>
          <w:tab w:val="left" w:pos="720"/>
        </w:tabs>
        <w:spacing w:before="0"/>
        <w:ind w:firstLineChars="200" w:firstLine="480"/>
        <w:rPr>
          <w:szCs w:val="24"/>
          <w:lang w:eastAsia="zh-CN"/>
        </w:rPr>
      </w:pPr>
      <w:r>
        <w:rPr>
          <w:rFonts w:hint="eastAsia"/>
          <w:szCs w:val="24"/>
          <w:lang w:eastAsia="zh-CN"/>
        </w:rPr>
        <w:t>焦点组</w:t>
      </w:r>
      <w:r w:rsidR="0025696A">
        <w:rPr>
          <w:rFonts w:hint="eastAsia"/>
          <w:szCs w:val="24"/>
          <w:lang w:eastAsia="zh-CN"/>
        </w:rPr>
        <w:t>依照</w:t>
      </w:r>
      <w:r w:rsidR="0025696A">
        <w:rPr>
          <w:szCs w:val="24"/>
          <w:lang w:eastAsia="ko-KR"/>
        </w:rPr>
        <w:t>ITU-T</w:t>
      </w:r>
      <w:r w:rsidR="0025696A">
        <w:rPr>
          <w:rFonts w:hint="eastAsia"/>
          <w:szCs w:val="24"/>
          <w:lang w:eastAsia="zh-CN"/>
        </w:rPr>
        <w:t xml:space="preserve"> </w:t>
      </w:r>
      <w:r w:rsidR="0025696A" w:rsidRPr="00EE186F">
        <w:rPr>
          <w:szCs w:val="24"/>
          <w:lang w:eastAsia="ko-KR"/>
        </w:rPr>
        <w:t>A.7</w:t>
      </w:r>
      <w:r w:rsidR="0025696A">
        <w:rPr>
          <w:rFonts w:hint="eastAsia"/>
          <w:szCs w:val="24"/>
          <w:lang w:eastAsia="zh-CN"/>
        </w:rPr>
        <w:t>建议书成立。</w:t>
      </w:r>
    </w:p>
    <w:p w:rsidR="0025696A" w:rsidRPr="00EE186F" w:rsidRDefault="00620B2A" w:rsidP="00620B2A">
      <w:pPr>
        <w:pStyle w:val="Heading1"/>
        <w:rPr>
          <w:lang w:val="en-CA" w:eastAsia="zh-CN"/>
        </w:rPr>
      </w:pPr>
      <w:r>
        <w:rPr>
          <w:rFonts w:hint="eastAsia"/>
          <w:lang w:val="en-CA" w:eastAsia="zh-CN"/>
        </w:rPr>
        <w:t>1</w:t>
      </w:r>
      <w:r>
        <w:rPr>
          <w:rFonts w:hint="eastAsia"/>
          <w:lang w:val="en-CA" w:eastAsia="zh-CN"/>
        </w:rPr>
        <w:tab/>
      </w:r>
      <w:r w:rsidR="0025696A">
        <w:rPr>
          <w:rFonts w:hint="eastAsia"/>
          <w:lang w:val="en-CA" w:eastAsia="zh-CN"/>
        </w:rPr>
        <w:t>原因和</w:t>
      </w:r>
      <w:r w:rsidR="0025696A">
        <w:rPr>
          <w:rFonts w:ascii="SimSun" w:hAnsi="SimSun" w:cs="SimSun" w:hint="eastAsia"/>
          <w:lang w:val="en-CA" w:eastAsia="zh-CN"/>
        </w:rPr>
        <w:t>范围</w:t>
      </w:r>
    </w:p>
    <w:p w:rsidR="0025696A" w:rsidRPr="00EE186F" w:rsidRDefault="0025696A" w:rsidP="005B1751">
      <w:pPr>
        <w:ind w:firstLineChars="200" w:firstLine="480"/>
        <w:rPr>
          <w:szCs w:val="24"/>
          <w:lang w:val="en-US" w:eastAsia="zh-CN"/>
        </w:rPr>
      </w:pPr>
      <w:r w:rsidRPr="00EE186F">
        <w:rPr>
          <w:szCs w:val="24"/>
          <w:lang w:eastAsia="zh-CN"/>
        </w:rPr>
        <w:t>ICT</w:t>
      </w:r>
      <w:r>
        <w:rPr>
          <w:rFonts w:hint="eastAsia"/>
          <w:szCs w:val="24"/>
          <w:lang w:eastAsia="zh-CN"/>
        </w:rPr>
        <w:t>在促进发展中国家实现千年发展目标（</w:t>
      </w:r>
      <w:r w:rsidRPr="00EE186F">
        <w:rPr>
          <w:szCs w:val="24"/>
          <w:lang w:eastAsia="zh-CN"/>
        </w:rPr>
        <w:t>MDG</w:t>
      </w:r>
      <w:r>
        <w:rPr>
          <w:rFonts w:hint="eastAsia"/>
          <w:szCs w:val="24"/>
          <w:lang w:eastAsia="zh-CN"/>
        </w:rPr>
        <w:t>）和缩小数字鸿沟过程中发挥着关键的作用。在创新和标准的推动下，</w:t>
      </w:r>
      <w:r w:rsidR="005B1751">
        <w:rPr>
          <w:rFonts w:hint="eastAsia"/>
          <w:szCs w:val="24"/>
          <w:lang w:eastAsia="zh-CN"/>
        </w:rPr>
        <w:t>ICT</w:t>
      </w:r>
      <w:r w:rsidR="005B1751">
        <w:rPr>
          <w:rFonts w:hint="eastAsia"/>
          <w:szCs w:val="24"/>
          <w:lang w:eastAsia="zh-CN"/>
        </w:rPr>
        <w:t>的发展</w:t>
      </w:r>
      <w:r>
        <w:rPr>
          <w:rFonts w:hint="eastAsia"/>
          <w:szCs w:val="24"/>
          <w:lang w:eastAsia="zh-CN"/>
        </w:rPr>
        <w:t>已经成为促进社会经济发展的重要因素。</w:t>
      </w:r>
      <w:r>
        <w:rPr>
          <w:rFonts w:hint="eastAsia"/>
          <w:szCs w:val="24"/>
          <w:lang w:eastAsia="zh-CN"/>
        </w:rPr>
        <w:t>ICT</w:t>
      </w:r>
      <w:r w:rsidR="005B1751">
        <w:rPr>
          <w:rFonts w:hint="eastAsia"/>
          <w:szCs w:val="24"/>
          <w:lang w:eastAsia="zh-CN"/>
        </w:rPr>
        <w:t>创新和相关标准可以缩小数字鸿沟并能对人们的生活产生积极</w:t>
      </w:r>
      <w:r>
        <w:rPr>
          <w:rFonts w:hint="eastAsia"/>
          <w:szCs w:val="24"/>
          <w:lang w:eastAsia="zh-CN"/>
        </w:rPr>
        <w:t>影响。</w:t>
      </w:r>
    </w:p>
    <w:p w:rsidR="0025696A" w:rsidRPr="00EE186F" w:rsidRDefault="0025696A" w:rsidP="00A042FD">
      <w:pPr>
        <w:tabs>
          <w:tab w:val="left" w:pos="720"/>
        </w:tabs>
        <w:ind w:firstLineChars="200" w:firstLine="480"/>
        <w:rPr>
          <w:szCs w:val="24"/>
          <w:lang w:eastAsia="zh-CN"/>
        </w:rPr>
      </w:pPr>
      <w:r>
        <w:rPr>
          <w:rFonts w:hint="eastAsia"/>
          <w:szCs w:val="24"/>
          <w:lang w:eastAsia="zh-CN"/>
        </w:rPr>
        <w:t>该焦点组为</w:t>
      </w:r>
      <w:r w:rsidR="005B1751">
        <w:rPr>
          <w:rFonts w:hint="eastAsia"/>
          <w:szCs w:val="24"/>
          <w:lang w:eastAsia="zh-CN"/>
        </w:rPr>
        <w:t>认可与确定可能受益于标准化工作的</w:t>
      </w:r>
      <w:r>
        <w:rPr>
          <w:rFonts w:hint="eastAsia"/>
          <w:szCs w:val="24"/>
          <w:lang w:eastAsia="zh-CN"/>
        </w:rPr>
        <w:t>发展中国家</w:t>
      </w:r>
      <w:r w:rsidR="005B1751">
        <w:rPr>
          <w:rFonts w:hint="eastAsia"/>
          <w:szCs w:val="24"/>
          <w:lang w:eastAsia="zh-CN"/>
        </w:rPr>
        <w:t>的</w:t>
      </w:r>
      <w:r>
        <w:rPr>
          <w:rFonts w:hint="eastAsia"/>
          <w:szCs w:val="24"/>
          <w:lang w:eastAsia="zh-CN"/>
        </w:rPr>
        <w:t>新兴创新提供了一个初期的平台，</w:t>
      </w:r>
      <w:r w:rsidR="005B1751">
        <w:rPr>
          <w:rFonts w:hint="eastAsia"/>
          <w:szCs w:val="24"/>
          <w:lang w:eastAsia="zh-CN"/>
        </w:rPr>
        <w:t>并能</w:t>
      </w:r>
      <w:r>
        <w:rPr>
          <w:rFonts w:hint="eastAsia"/>
          <w:szCs w:val="24"/>
          <w:lang w:eastAsia="zh-CN"/>
        </w:rPr>
        <w:t>支持</w:t>
      </w:r>
      <w:r>
        <w:rPr>
          <w:rFonts w:hint="eastAsia"/>
          <w:szCs w:val="24"/>
          <w:lang w:val="en-CA" w:eastAsia="zh-CN"/>
        </w:rPr>
        <w:t>电信标准化部门的标准化工作。</w:t>
      </w:r>
      <w:r w:rsidRPr="00EE186F">
        <w:rPr>
          <w:szCs w:val="24"/>
          <w:lang w:val="en-CA" w:eastAsia="zh-CN"/>
        </w:rPr>
        <w:t xml:space="preserve"> </w:t>
      </w:r>
    </w:p>
    <w:p w:rsidR="0025696A" w:rsidRPr="00EE186F" w:rsidRDefault="005B1751" w:rsidP="00620B2A">
      <w:pPr>
        <w:ind w:firstLineChars="200" w:firstLine="480"/>
        <w:rPr>
          <w:lang w:eastAsia="zh-CN"/>
        </w:rPr>
      </w:pPr>
      <w:r>
        <w:rPr>
          <w:rFonts w:hint="eastAsia"/>
          <w:lang w:eastAsia="zh-CN"/>
        </w:rPr>
        <w:t>主要目标</w:t>
      </w:r>
      <w:r w:rsidR="0025696A">
        <w:rPr>
          <w:rFonts w:hint="eastAsia"/>
          <w:lang w:eastAsia="zh-CN"/>
        </w:rPr>
        <w:t>在</w:t>
      </w:r>
      <w:r>
        <w:rPr>
          <w:rFonts w:hint="eastAsia"/>
          <w:lang w:eastAsia="zh-CN"/>
        </w:rPr>
        <w:t>于</w:t>
      </w:r>
      <w:r w:rsidR="0025696A">
        <w:rPr>
          <w:rFonts w:hint="eastAsia"/>
          <w:lang w:eastAsia="zh-CN"/>
        </w:rPr>
        <w:t>支持</w:t>
      </w:r>
      <w:r w:rsidR="0025696A" w:rsidRPr="00EE186F">
        <w:rPr>
          <w:lang w:eastAsia="zh-CN"/>
        </w:rPr>
        <w:t>ITU-T</w:t>
      </w:r>
      <w:r w:rsidR="0025696A">
        <w:rPr>
          <w:rFonts w:hint="eastAsia"/>
          <w:lang w:eastAsia="zh-CN"/>
        </w:rPr>
        <w:t>研究组的活动，从而进一步支持创新并缩小数字鸿沟（</w:t>
      </w:r>
      <w:r w:rsidR="0025696A">
        <w:rPr>
          <w:rFonts w:hint="eastAsia"/>
          <w:lang w:eastAsia="zh-CN"/>
        </w:rPr>
        <w:t>2010</w:t>
      </w:r>
      <w:r w:rsidR="0025696A">
        <w:rPr>
          <w:rFonts w:hint="eastAsia"/>
          <w:lang w:eastAsia="zh-CN"/>
        </w:rPr>
        <w:t>年全权代表大会的第</w:t>
      </w:r>
      <w:r w:rsidR="0025696A">
        <w:rPr>
          <w:rFonts w:hint="eastAsia"/>
          <w:lang w:eastAsia="zh-CN"/>
        </w:rPr>
        <w:t>71</w:t>
      </w:r>
      <w:r w:rsidR="0025696A">
        <w:rPr>
          <w:rFonts w:hint="eastAsia"/>
          <w:lang w:eastAsia="zh-CN"/>
        </w:rPr>
        <w:t>号决议）。</w:t>
      </w:r>
    </w:p>
    <w:p w:rsidR="0025696A" w:rsidRPr="00EE186F" w:rsidRDefault="00A042FD" w:rsidP="00A042FD">
      <w:pPr>
        <w:ind w:firstLineChars="200" w:firstLine="480"/>
        <w:rPr>
          <w:b/>
          <w:bCs/>
          <w:lang w:val="en-CA" w:eastAsia="zh-CN"/>
        </w:rPr>
      </w:pPr>
      <w:r>
        <w:rPr>
          <w:rFonts w:hint="eastAsia"/>
          <w:lang w:val="en-CA" w:eastAsia="zh-CN"/>
        </w:rPr>
        <w:t>焦点组</w:t>
      </w:r>
      <w:r w:rsidR="0025696A">
        <w:rPr>
          <w:rFonts w:hint="eastAsia"/>
          <w:lang w:val="en-CA" w:eastAsia="zh-CN"/>
        </w:rPr>
        <w:t>不</w:t>
      </w:r>
      <w:r w:rsidR="00CB7D59">
        <w:rPr>
          <w:rFonts w:hint="eastAsia"/>
          <w:lang w:val="en-CA" w:eastAsia="zh-CN"/>
        </w:rPr>
        <w:t>进行</w:t>
      </w:r>
      <w:r w:rsidR="0025696A">
        <w:rPr>
          <w:rFonts w:hint="eastAsia"/>
          <w:lang w:val="en-CA" w:eastAsia="zh-CN"/>
        </w:rPr>
        <w:t>重复性工作，但将</w:t>
      </w:r>
      <w:r w:rsidR="00CB7D59">
        <w:rPr>
          <w:rFonts w:hint="eastAsia"/>
          <w:lang w:val="en-CA" w:eastAsia="zh-CN"/>
        </w:rPr>
        <w:t>受益于</w:t>
      </w:r>
      <w:r w:rsidR="0025696A">
        <w:rPr>
          <w:rFonts w:hint="eastAsia"/>
          <w:lang w:val="en-CA" w:eastAsia="zh-CN"/>
        </w:rPr>
        <w:t>现有工作和专业知识</w:t>
      </w:r>
      <w:r w:rsidR="00CB7D59">
        <w:rPr>
          <w:rFonts w:hint="eastAsia"/>
          <w:lang w:val="en-CA" w:eastAsia="zh-CN"/>
        </w:rPr>
        <w:t>。</w:t>
      </w:r>
      <w:r w:rsidR="0025696A">
        <w:rPr>
          <w:rFonts w:hint="eastAsia"/>
          <w:lang w:val="en-CA" w:eastAsia="zh-CN"/>
        </w:rPr>
        <w:t>焦点组将加</w:t>
      </w:r>
      <w:r w:rsidR="00CB7D59">
        <w:rPr>
          <w:rFonts w:hint="eastAsia"/>
          <w:lang w:val="en-CA" w:eastAsia="zh-CN"/>
        </w:rPr>
        <w:t>强与</w:t>
      </w:r>
      <w:r w:rsidR="0025696A">
        <w:rPr>
          <w:rFonts w:hint="eastAsia"/>
          <w:lang w:val="en-CA" w:eastAsia="zh-CN"/>
        </w:rPr>
        <w:t>ITU-T</w:t>
      </w:r>
      <w:r w:rsidR="0025696A">
        <w:rPr>
          <w:rFonts w:hint="eastAsia"/>
          <w:lang w:val="en-CA" w:eastAsia="zh-CN"/>
        </w:rPr>
        <w:t>内部</w:t>
      </w:r>
      <w:r w:rsidR="00CB7D59">
        <w:rPr>
          <w:rFonts w:hint="eastAsia"/>
          <w:lang w:val="en-CA" w:eastAsia="zh-CN"/>
        </w:rPr>
        <w:t>如</w:t>
      </w:r>
      <w:r w:rsidR="00CB7D59" w:rsidRPr="00EE186F">
        <w:rPr>
          <w:lang w:val="en-CA" w:eastAsia="zh-CN"/>
        </w:rPr>
        <w:t>Tech Watch</w:t>
      </w:r>
      <w:r w:rsidR="00CB7D59">
        <w:rPr>
          <w:rFonts w:hint="eastAsia"/>
          <w:lang w:val="en-CA" w:eastAsia="zh-CN"/>
        </w:rPr>
        <w:t>一类的</w:t>
      </w:r>
      <w:r w:rsidR="0025696A">
        <w:rPr>
          <w:rFonts w:hint="eastAsia"/>
          <w:lang w:val="en-CA" w:eastAsia="zh-CN"/>
        </w:rPr>
        <w:t>各职能部门，以及外部特别是与</w:t>
      </w:r>
      <w:r w:rsidR="0025696A">
        <w:rPr>
          <w:rFonts w:hint="eastAsia"/>
          <w:lang w:val="en-CA" w:eastAsia="zh-CN"/>
        </w:rPr>
        <w:t>ITU-D</w:t>
      </w:r>
      <w:r w:rsidR="0025696A">
        <w:rPr>
          <w:rFonts w:hint="eastAsia"/>
          <w:lang w:val="en-CA" w:eastAsia="zh-CN"/>
        </w:rPr>
        <w:t>部门的创新活动和</w:t>
      </w:r>
      <w:r w:rsidR="00620B2A">
        <w:rPr>
          <w:lang w:val="en-CA" w:eastAsia="zh-CN"/>
        </w:rPr>
        <w:t>ITU-D</w:t>
      </w:r>
      <w:r w:rsidR="00CB7D59">
        <w:rPr>
          <w:rFonts w:hint="eastAsia"/>
          <w:lang w:val="en-CA" w:eastAsia="zh-CN"/>
        </w:rPr>
        <w:t>第</w:t>
      </w:r>
      <w:r w:rsidR="00620B2A">
        <w:rPr>
          <w:lang w:val="en-CA" w:eastAsia="zh-CN"/>
        </w:rPr>
        <w:t>2</w:t>
      </w:r>
      <w:r w:rsidR="00CB7D59">
        <w:rPr>
          <w:rFonts w:hint="eastAsia"/>
          <w:lang w:val="en-CA" w:eastAsia="zh-CN"/>
        </w:rPr>
        <w:t>研究组</w:t>
      </w:r>
      <w:r w:rsidR="0025696A" w:rsidRPr="00EE186F">
        <w:rPr>
          <w:lang w:val="en-CA" w:eastAsia="zh-CN"/>
        </w:rPr>
        <w:t>9-3</w:t>
      </w:r>
      <w:r w:rsidR="00CB7D59">
        <w:rPr>
          <w:rFonts w:hint="eastAsia"/>
          <w:lang w:val="en-CA" w:eastAsia="zh-CN"/>
        </w:rPr>
        <w:t>课题联系人的密切合作。</w:t>
      </w:r>
      <w:r w:rsidR="0025696A">
        <w:rPr>
          <w:rFonts w:hint="eastAsia"/>
          <w:lang w:val="en-CA" w:eastAsia="zh-CN"/>
        </w:rPr>
        <w:t>焦点组将酌情通过</w:t>
      </w:r>
      <w:r w:rsidR="00CB7D59">
        <w:rPr>
          <w:rFonts w:hint="eastAsia"/>
          <w:lang w:val="en-CA" w:eastAsia="zh-CN"/>
        </w:rPr>
        <w:t>电信标准化局</w:t>
      </w:r>
      <w:r w:rsidR="0025696A">
        <w:rPr>
          <w:rFonts w:hint="eastAsia"/>
          <w:lang w:val="en-CA" w:eastAsia="zh-CN"/>
        </w:rPr>
        <w:t>主任与</w:t>
      </w:r>
      <w:r w:rsidR="00CB7D59">
        <w:rPr>
          <w:rFonts w:hint="eastAsia"/>
          <w:lang w:val="en-CA" w:eastAsia="zh-CN"/>
        </w:rPr>
        <w:t>电信发展顾问组</w:t>
      </w:r>
      <w:r w:rsidR="0025696A">
        <w:rPr>
          <w:rFonts w:hint="eastAsia"/>
          <w:lang w:val="en-CA" w:eastAsia="zh-CN"/>
        </w:rPr>
        <w:t>联络。</w:t>
      </w:r>
    </w:p>
    <w:p w:rsidR="0025696A" w:rsidRPr="00620B2A" w:rsidRDefault="00620B2A" w:rsidP="00620B2A">
      <w:pPr>
        <w:pStyle w:val="Heading1"/>
        <w:rPr>
          <w:szCs w:val="24"/>
          <w:lang w:val="en-CA" w:eastAsia="zh-CN"/>
        </w:rPr>
      </w:pPr>
      <w:r w:rsidRPr="00620B2A">
        <w:rPr>
          <w:lang w:val="en-CA" w:eastAsia="zh-CN"/>
        </w:rPr>
        <w:t>2</w:t>
      </w:r>
      <w:r w:rsidRPr="00620B2A">
        <w:rPr>
          <w:lang w:val="en-CA" w:eastAsia="zh-CN"/>
        </w:rPr>
        <w:tab/>
      </w:r>
      <w:r w:rsidR="0025696A" w:rsidRPr="00620B2A">
        <w:rPr>
          <w:rFonts w:ascii="SimSun" w:hAnsi="SimSun" w:cs="SimSun" w:hint="eastAsia"/>
          <w:lang w:val="en-CA" w:eastAsia="zh-CN"/>
        </w:rPr>
        <w:t>行动计划</w:t>
      </w:r>
    </w:p>
    <w:p w:rsidR="0025696A" w:rsidRPr="00EE186F" w:rsidRDefault="0025696A" w:rsidP="0034150A">
      <w:pPr>
        <w:ind w:firstLineChars="200" w:firstLine="480"/>
        <w:rPr>
          <w:lang w:val="en-CA" w:eastAsia="zh-CN"/>
        </w:rPr>
      </w:pPr>
      <w:r>
        <w:rPr>
          <w:rFonts w:hint="eastAsia"/>
          <w:lang w:val="en-CA" w:eastAsia="zh-CN"/>
        </w:rPr>
        <w:t>焦点组将探讨下列事项：</w:t>
      </w:r>
    </w:p>
    <w:p w:rsidR="0025696A" w:rsidRPr="00D11132" w:rsidRDefault="0034150A" w:rsidP="005D0E22">
      <w:pPr>
        <w:ind w:left="794" w:hanging="794"/>
        <w:rPr>
          <w:lang w:val="en-US" w:eastAsia="zh-CN"/>
        </w:rPr>
      </w:pPr>
      <w:r w:rsidRPr="00957EA0">
        <w:rPr>
          <w:lang w:eastAsia="zh-CN"/>
        </w:rPr>
        <w:t>–</w:t>
      </w:r>
      <w:r w:rsidRPr="00957EA0">
        <w:rPr>
          <w:lang w:eastAsia="zh-CN"/>
        </w:rPr>
        <w:tab/>
      </w:r>
      <w:r w:rsidR="0025696A" w:rsidRPr="00D11132">
        <w:rPr>
          <w:rFonts w:hint="eastAsia"/>
          <w:lang w:eastAsia="zh-CN"/>
        </w:rPr>
        <w:t>与</w:t>
      </w:r>
      <w:r w:rsidR="0025696A" w:rsidRPr="00D11132">
        <w:rPr>
          <w:rFonts w:hint="eastAsia"/>
          <w:lang w:eastAsia="zh-CN"/>
        </w:rPr>
        <w:t>ITU-D</w:t>
      </w:r>
      <w:r w:rsidR="0025696A" w:rsidRPr="00D11132">
        <w:rPr>
          <w:rFonts w:hint="eastAsia"/>
          <w:lang w:eastAsia="zh-CN"/>
        </w:rPr>
        <w:t>合作，</w:t>
      </w:r>
      <w:r w:rsidR="00CB7D59" w:rsidRPr="00D11132">
        <w:rPr>
          <w:rFonts w:hint="eastAsia"/>
          <w:lang w:eastAsia="zh-CN"/>
        </w:rPr>
        <w:t>将</w:t>
      </w:r>
      <w:r w:rsidR="0025696A" w:rsidRPr="00D11132">
        <w:rPr>
          <w:rFonts w:hint="eastAsia"/>
          <w:lang w:eastAsia="zh-CN"/>
        </w:rPr>
        <w:t>那些发展中国</w:t>
      </w:r>
      <w:r w:rsidR="005D0E22" w:rsidRPr="00D11132">
        <w:rPr>
          <w:rFonts w:hint="eastAsia"/>
          <w:lang w:eastAsia="zh-CN"/>
        </w:rPr>
        <w:t>的</w:t>
      </w:r>
      <w:r w:rsidR="0025696A" w:rsidRPr="00D11132">
        <w:rPr>
          <w:rFonts w:hint="eastAsia"/>
          <w:lang w:eastAsia="zh-CN"/>
        </w:rPr>
        <w:t>新兴</w:t>
      </w:r>
      <w:r w:rsidR="0025696A" w:rsidRPr="00D11132">
        <w:rPr>
          <w:rFonts w:hint="eastAsia"/>
          <w:lang w:eastAsia="zh-CN"/>
        </w:rPr>
        <w:t>ICT</w:t>
      </w:r>
      <w:r w:rsidR="0025696A" w:rsidRPr="00D11132">
        <w:rPr>
          <w:rFonts w:hint="eastAsia"/>
          <w:lang w:eastAsia="zh-CN"/>
        </w:rPr>
        <w:t>创新成功案例</w:t>
      </w:r>
      <w:r w:rsidR="00CB7D59" w:rsidRPr="00D11132">
        <w:rPr>
          <w:rFonts w:hint="eastAsia"/>
          <w:lang w:eastAsia="zh-CN"/>
        </w:rPr>
        <w:t>记录存档</w:t>
      </w:r>
      <w:r w:rsidR="0025696A" w:rsidRPr="00D11132">
        <w:rPr>
          <w:rFonts w:hint="eastAsia"/>
          <w:lang w:eastAsia="zh-CN"/>
        </w:rPr>
        <w:t>，</w:t>
      </w:r>
      <w:r w:rsidR="00CB7D59" w:rsidRPr="00D11132">
        <w:rPr>
          <w:rFonts w:hint="eastAsia"/>
          <w:lang w:eastAsia="zh-CN"/>
        </w:rPr>
        <w:t>并确定</w:t>
      </w:r>
      <w:r w:rsidR="0025696A" w:rsidRPr="00D11132">
        <w:rPr>
          <w:rFonts w:hint="eastAsia"/>
          <w:lang w:eastAsia="zh-CN"/>
        </w:rPr>
        <w:t>相关标准化差距。应特别关注发展中国家新出现的</w:t>
      </w:r>
      <w:r w:rsidR="0025696A" w:rsidRPr="00D11132">
        <w:rPr>
          <w:rFonts w:hint="eastAsia"/>
          <w:lang w:eastAsia="zh-CN"/>
        </w:rPr>
        <w:t>ICT</w:t>
      </w:r>
      <w:r w:rsidR="0025696A" w:rsidRPr="00D11132">
        <w:rPr>
          <w:rFonts w:hint="eastAsia"/>
          <w:lang w:eastAsia="zh-CN"/>
        </w:rPr>
        <w:t>创新对社会经济方面的影响；</w:t>
      </w:r>
    </w:p>
    <w:p w:rsidR="0025696A" w:rsidRPr="00D11132" w:rsidRDefault="003B17C5" w:rsidP="009B2534">
      <w:pPr>
        <w:ind w:left="794" w:hanging="794"/>
        <w:rPr>
          <w:lang w:eastAsia="zh-CN"/>
        </w:rPr>
      </w:pPr>
      <w:r w:rsidRPr="00957EA0">
        <w:rPr>
          <w:lang w:eastAsia="zh-CN"/>
        </w:rPr>
        <w:t>–</w:t>
      </w:r>
      <w:r w:rsidRPr="00957EA0">
        <w:rPr>
          <w:lang w:eastAsia="zh-CN"/>
        </w:rPr>
        <w:tab/>
      </w:r>
      <w:r w:rsidR="0025696A" w:rsidRPr="00D11132">
        <w:rPr>
          <w:rFonts w:hint="eastAsia"/>
          <w:lang w:eastAsia="zh-CN"/>
        </w:rPr>
        <w:t>分析那些可以标准化的创新，并确</w:t>
      </w:r>
      <w:r w:rsidR="00CB7D59" w:rsidRPr="00D11132">
        <w:rPr>
          <w:rFonts w:hint="eastAsia"/>
          <w:lang w:eastAsia="zh-CN"/>
        </w:rPr>
        <w:t>定</w:t>
      </w:r>
      <w:r w:rsidR="0025696A" w:rsidRPr="00D11132">
        <w:rPr>
          <w:rFonts w:hint="eastAsia"/>
          <w:lang w:eastAsia="zh-CN"/>
        </w:rPr>
        <w:t>有助于在世界其它地方实施这类创新的最佳做法；</w:t>
      </w:r>
    </w:p>
    <w:p w:rsidR="0025696A" w:rsidRPr="00D11132" w:rsidRDefault="003B17C5" w:rsidP="009B2534">
      <w:pPr>
        <w:ind w:left="794" w:hanging="794"/>
        <w:rPr>
          <w:lang w:eastAsia="zh-CN"/>
        </w:rPr>
      </w:pPr>
      <w:r w:rsidRPr="00957EA0">
        <w:rPr>
          <w:lang w:eastAsia="zh-CN"/>
        </w:rPr>
        <w:t>–</w:t>
      </w:r>
      <w:r w:rsidRPr="00957EA0">
        <w:rPr>
          <w:lang w:eastAsia="zh-CN"/>
        </w:rPr>
        <w:tab/>
      </w:r>
      <w:r w:rsidR="0025696A" w:rsidRPr="00D11132">
        <w:rPr>
          <w:rFonts w:hint="eastAsia"/>
          <w:lang w:eastAsia="zh-CN"/>
        </w:rPr>
        <w:t>确</w:t>
      </w:r>
      <w:r w:rsidR="00CB7D59" w:rsidRPr="00D11132">
        <w:rPr>
          <w:rFonts w:hint="eastAsia"/>
          <w:lang w:eastAsia="zh-CN"/>
        </w:rPr>
        <w:t>定若干尤其可被</w:t>
      </w:r>
      <w:r w:rsidR="0025696A" w:rsidRPr="00D11132">
        <w:rPr>
          <w:rFonts w:hint="eastAsia"/>
          <w:lang w:eastAsia="zh-CN"/>
        </w:rPr>
        <w:t>发展中国家可以采用的案例，</w:t>
      </w:r>
      <w:r w:rsidR="00CB7D59" w:rsidRPr="00D11132">
        <w:rPr>
          <w:rFonts w:hint="eastAsia"/>
          <w:lang w:eastAsia="zh-CN"/>
        </w:rPr>
        <w:t>以</w:t>
      </w:r>
      <w:r w:rsidR="0025696A" w:rsidRPr="00D11132">
        <w:rPr>
          <w:rFonts w:hint="eastAsia"/>
          <w:lang w:eastAsia="zh-CN"/>
        </w:rPr>
        <w:t>增强其</w:t>
      </w:r>
      <w:r w:rsidR="0025696A" w:rsidRPr="00D11132">
        <w:rPr>
          <w:rFonts w:hint="eastAsia"/>
          <w:lang w:eastAsia="zh-CN"/>
        </w:rPr>
        <w:t>ICT</w:t>
      </w:r>
      <w:r w:rsidR="0025696A" w:rsidRPr="00D11132">
        <w:rPr>
          <w:rFonts w:hint="eastAsia"/>
          <w:lang w:eastAsia="zh-CN"/>
        </w:rPr>
        <w:t>创新和标准化能力，</w:t>
      </w:r>
      <w:r w:rsidR="00525112" w:rsidRPr="00D11132">
        <w:rPr>
          <w:rFonts w:hint="eastAsia"/>
          <w:lang w:eastAsia="zh-CN"/>
        </w:rPr>
        <w:t>促进其</w:t>
      </w:r>
      <w:r w:rsidR="0025696A" w:rsidRPr="00D11132">
        <w:rPr>
          <w:rFonts w:hint="eastAsia"/>
          <w:lang w:eastAsia="zh-CN"/>
        </w:rPr>
        <w:t>社会经济发展；</w:t>
      </w:r>
    </w:p>
    <w:p w:rsidR="0025696A" w:rsidRPr="00D11132" w:rsidRDefault="003B17C5" w:rsidP="0040315B">
      <w:pPr>
        <w:ind w:left="794" w:hanging="794"/>
        <w:rPr>
          <w:lang w:eastAsia="zh-CN"/>
        </w:rPr>
      </w:pPr>
      <w:r w:rsidRPr="00957EA0">
        <w:rPr>
          <w:lang w:eastAsia="zh-CN"/>
        </w:rPr>
        <w:t>–</w:t>
      </w:r>
      <w:r w:rsidRPr="00957EA0">
        <w:rPr>
          <w:lang w:eastAsia="zh-CN"/>
        </w:rPr>
        <w:tab/>
      </w:r>
      <w:r w:rsidR="0025696A" w:rsidRPr="00D11132">
        <w:rPr>
          <w:rFonts w:hint="eastAsia"/>
          <w:lang w:eastAsia="zh-CN"/>
        </w:rPr>
        <w:t>确定发展中国家在将</w:t>
      </w:r>
      <w:r w:rsidR="0025696A" w:rsidRPr="00D11132">
        <w:rPr>
          <w:rFonts w:hint="eastAsia"/>
          <w:lang w:eastAsia="zh-CN"/>
        </w:rPr>
        <w:t>ICT</w:t>
      </w:r>
      <w:r w:rsidR="0025696A" w:rsidRPr="00D11132">
        <w:rPr>
          <w:rFonts w:hint="eastAsia"/>
          <w:lang w:eastAsia="zh-CN"/>
        </w:rPr>
        <w:t>创新带到</w:t>
      </w:r>
      <w:r w:rsidR="0025696A" w:rsidRPr="00D11132">
        <w:rPr>
          <w:rFonts w:hint="eastAsia"/>
          <w:lang w:eastAsia="zh-CN"/>
        </w:rPr>
        <w:t>ITU-T</w:t>
      </w:r>
      <w:r w:rsidR="00525112" w:rsidRPr="00D11132">
        <w:rPr>
          <w:rFonts w:hint="eastAsia"/>
          <w:lang w:eastAsia="zh-CN"/>
        </w:rPr>
        <w:t>的</w:t>
      </w:r>
      <w:r w:rsidR="0025696A" w:rsidRPr="00D11132">
        <w:rPr>
          <w:rFonts w:hint="eastAsia"/>
          <w:lang w:eastAsia="zh-CN"/>
        </w:rPr>
        <w:t>过程中</w:t>
      </w:r>
      <w:r w:rsidR="0040315B">
        <w:rPr>
          <w:rFonts w:hint="eastAsia"/>
          <w:lang w:eastAsia="zh-CN"/>
        </w:rPr>
        <w:t>可能</w:t>
      </w:r>
      <w:r w:rsidR="0025696A" w:rsidRPr="00D11132">
        <w:rPr>
          <w:rFonts w:hint="eastAsia"/>
          <w:lang w:eastAsia="zh-CN"/>
        </w:rPr>
        <w:t>面</w:t>
      </w:r>
      <w:r w:rsidR="00525112" w:rsidRPr="00D11132">
        <w:rPr>
          <w:rFonts w:hint="eastAsia"/>
          <w:lang w:eastAsia="zh-CN"/>
        </w:rPr>
        <w:t>对的</w:t>
      </w:r>
      <w:r w:rsidR="0025696A" w:rsidRPr="00D11132">
        <w:rPr>
          <w:rFonts w:hint="eastAsia"/>
          <w:lang w:eastAsia="zh-CN"/>
        </w:rPr>
        <w:t>问题；</w:t>
      </w:r>
    </w:p>
    <w:p w:rsidR="0025696A" w:rsidRPr="00D11132" w:rsidRDefault="003B17C5" w:rsidP="009B2534">
      <w:pPr>
        <w:ind w:left="794" w:hanging="794"/>
        <w:rPr>
          <w:lang w:eastAsia="zh-CN"/>
        </w:rPr>
      </w:pPr>
      <w:r w:rsidRPr="00957EA0">
        <w:rPr>
          <w:lang w:eastAsia="zh-CN"/>
        </w:rPr>
        <w:t>–</w:t>
      </w:r>
      <w:r w:rsidRPr="00957EA0">
        <w:rPr>
          <w:lang w:eastAsia="zh-CN"/>
        </w:rPr>
        <w:tab/>
      </w:r>
      <w:r w:rsidR="0025696A" w:rsidRPr="00D11132">
        <w:rPr>
          <w:rFonts w:hint="eastAsia"/>
          <w:lang w:eastAsia="zh-CN"/>
        </w:rPr>
        <w:t>为</w:t>
      </w:r>
      <w:r w:rsidR="0025696A" w:rsidRPr="00D11132">
        <w:rPr>
          <w:lang w:eastAsia="zh-CN"/>
        </w:rPr>
        <w:t>ITU-T</w:t>
      </w:r>
      <w:r w:rsidR="00525112" w:rsidRPr="00D11132">
        <w:rPr>
          <w:rFonts w:hint="eastAsia"/>
          <w:lang w:eastAsia="zh-CN"/>
        </w:rPr>
        <w:t>今后</w:t>
      </w:r>
      <w:r w:rsidR="0025696A" w:rsidRPr="00D11132">
        <w:rPr>
          <w:rFonts w:hint="eastAsia"/>
          <w:lang w:eastAsia="zh-CN"/>
        </w:rPr>
        <w:t>的研究项目和相关行动提出建议；</w:t>
      </w:r>
    </w:p>
    <w:p w:rsidR="0025696A" w:rsidRPr="00D11132" w:rsidRDefault="003B17C5" w:rsidP="009B2534">
      <w:pPr>
        <w:ind w:left="794" w:hanging="794"/>
        <w:rPr>
          <w:lang w:eastAsia="zh-CN"/>
        </w:rPr>
      </w:pPr>
      <w:r w:rsidRPr="00957EA0">
        <w:rPr>
          <w:lang w:eastAsia="zh-CN"/>
        </w:rPr>
        <w:t>–</w:t>
      </w:r>
      <w:r w:rsidRPr="00957EA0">
        <w:rPr>
          <w:lang w:eastAsia="zh-CN"/>
        </w:rPr>
        <w:tab/>
      </w:r>
      <w:r w:rsidR="0025696A" w:rsidRPr="00D11132">
        <w:rPr>
          <w:rFonts w:hint="eastAsia"/>
          <w:lang w:eastAsia="zh-CN"/>
        </w:rPr>
        <w:t>探讨其它标准制定机构、论坛和集团如何应对</w:t>
      </w:r>
      <w:r w:rsidR="0025696A" w:rsidRPr="00D11132">
        <w:rPr>
          <w:rFonts w:hint="eastAsia"/>
          <w:lang w:eastAsia="zh-CN"/>
        </w:rPr>
        <w:t>ICT</w:t>
      </w:r>
      <w:r w:rsidR="0025696A" w:rsidRPr="00D11132">
        <w:rPr>
          <w:rFonts w:hint="eastAsia"/>
          <w:lang w:eastAsia="zh-CN"/>
        </w:rPr>
        <w:t>创新，并将</w:t>
      </w:r>
      <w:r w:rsidR="00525112" w:rsidRPr="00D11132">
        <w:rPr>
          <w:rFonts w:hint="eastAsia"/>
          <w:lang w:eastAsia="zh-CN"/>
        </w:rPr>
        <w:t>其纳入各自的标准化活动</w:t>
      </w:r>
      <w:r w:rsidR="0025696A" w:rsidRPr="00D11132">
        <w:rPr>
          <w:rFonts w:hint="eastAsia"/>
          <w:lang w:eastAsia="zh-CN"/>
        </w:rPr>
        <w:t>中；</w:t>
      </w:r>
    </w:p>
    <w:p w:rsidR="0025696A" w:rsidRPr="00EE186F" w:rsidRDefault="003B17C5" w:rsidP="009B2534">
      <w:pPr>
        <w:ind w:left="794" w:hanging="794"/>
        <w:rPr>
          <w:lang w:val="en-CA" w:eastAsia="zh-CN"/>
        </w:rPr>
      </w:pPr>
      <w:r w:rsidRPr="00957EA0">
        <w:rPr>
          <w:lang w:eastAsia="zh-CN"/>
        </w:rPr>
        <w:t>–</w:t>
      </w:r>
      <w:r w:rsidRPr="00957EA0">
        <w:rPr>
          <w:lang w:eastAsia="zh-CN"/>
        </w:rPr>
        <w:tab/>
      </w:r>
      <w:r w:rsidR="00525112">
        <w:rPr>
          <w:rFonts w:hint="eastAsia"/>
          <w:lang w:val="en-CA" w:eastAsia="zh-CN"/>
        </w:rPr>
        <w:t>宣传将</w:t>
      </w:r>
      <w:r w:rsidR="0025696A">
        <w:rPr>
          <w:rFonts w:hint="eastAsia"/>
          <w:lang w:val="en-CA" w:eastAsia="zh-CN"/>
        </w:rPr>
        <w:t>在</w:t>
      </w:r>
      <w:r w:rsidR="0025696A">
        <w:rPr>
          <w:rFonts w:hint="eastAsia"/>
          <w:lang w:val="en-CA" w:eastAsia="zh-CN"/>
        </w:rPr>
        <w:t>2012</w:t>
      </w:r>
      <w:r w:rsidR="0025696A">
        <w:rPr>
          <w:rFonts w:hint="eastAsia"/>
          <w:lang w:val="en-CA" w:eastAsia="zh-CN"/>
        </w:rPr>
        <w:t>年</w:t>
      </w:r>
      <w:r w:rsidR="0025696A">
        <w:rPr>
          <w:rFonts w:hint="eastAsia"/>
          <w:lang w:val="en-CA" w:eastAsia="zh-CN"/>
        </w:rPr>
        <w:t>11</w:t>
      </w:r>
      <w:r w:rsidR="0025696A">
        <w:rPr>
          <w:rFonts w:hint="eastAsia"/>
          <w:lang w:val="en-CA" w:eastAsia="zh-CN"/>
        </w:rPr>
        <w:t>月世界电信标准化全会（</w:t>
      </w:r>
      <w:r w:rsidR="0025696A" w:rsidRPr="00EE186F">
        <w:rPr>
          <w:lang w:val="en-CA" w:eastAsia="zh-CN"/>
        </w:rPr>
        <w:t>WTSA</w:t>
      </w:r>
      <w:r w:rsidR="0025696A">
        <w:rPr>
          <w:rFonts w:hint="eastAsia"/>
          <w:lang w:val="en-CA" w:eastAsia="zh-CN"/>
        </w:rPr>
        <w:t>）上</w:t>
      </w:r>
      <w:r w:rsidR="00525112">
        <w:rPr>
          <w:rFonts w:hint="eastAsia"/>
          <w:lang w:val="en-CA" w:eastAsia="zh-CN"/>
        </w:rPr>
        <w:t>开展</w:t>
      </w:r>
      <w:r w:rsidR="0025696A">
        <w:rPr>
          <w:rFonts w:hint="eastAsia"/>
          <w:lang w:val="en-CA" w:eastAsia="zh-CN"/>
        </w:rPr>
        <w:t>的活动。</w:t>
      </w:r>
    </w:p>
    <w:p w:rsidR="0025696A" w:rsidRPr="00EE186F" w:rsidRDefault="0025696A" w:rsidP="00D11132">
      <w:pPr>
        <w:pStyle w:val="ListParagraph"/>
        <w:ind w:left="714"/>
        <w:rPr>
          <w:szCs w:val="24"/>
          <w:lang w:val="en-US" w:eastAsia="zh-CN"/>
        </w:rPr>
      </w:pPr>
    </w:p>
    <w:p w:rsidR="0025696A" w:rsidRPr="00D17B9B" w:rsidRDefault="0025696A" w:rsidP="00620B2A">
      <w:pPr>
        <w:pStyle w:val="Heading1"/>
        <w:rPr>
          <w:szCs w:val="24"/>
          <w:lang w:val="en-CA" w:eastAsia="zh-CN"/>
        </w:rPr>
      </w:pPr>
      <w:r>
        <w:rPr>
          <w:szCs w:val="24"/>
          <w:lang w:val="en-CA" w:eastAsia="zh-CN"/>
        </w:rPr>
        <w:br w:type="page"/>
      </w:r>
      <w:r w:rsidR="003B17C5">
        <w:rPr>
          <w:rFonts w:hint="eastAsia"/>
          <w:szCs w:val="24"/>
          <w:lang w:val="en-CA" w:eastAsia="zh-CN"/>
        </w:rPr>
        <w:lastRenderedPageBreak/>
        <w:t>3</w:t>
      </w:r>
      <w:r w:rsidR="003B17C5">
        <w:rPr>
          <w:rFonts w:hint="eastAsia"/>
          <w:szCs w:val="24"/>
          <w:lang w:val="en-CA" w:eastAsia="zh-CN"/>
        </w:rPr>
        <w:tab/>
      </w:r>
      <w:r>
        <w:rPr>
          <w:rFonts w:hint="eastAsia"/>
          <w:lang w:eastAsia="zh-CN"/>
        </w:rPr>
        <w:t>主管</w:t>
      </w:r>
      <w:r w:rsidRPr="00D17B9B">
        <w:rPr>
          <w:rFonts w:hint="eastAsia"/>
          <w:lang w:eastAsia="zh-CN"/>
        </w:rPr>
        <w:t>组</w:t>
      </w:r>
    </w:p>
    <w:p w:rsidR="0025696A" w:rsidRPr="00EE186F" w:rsidRDefault="0025696A" w:rsidP="003B17C5">
      <w:pPr>
        <w:ind w:firstLineChars="200" w:firstLine="480"/>
        <w:rPr>
          <w:b/>
          <w:bCs/>
          <w:lang w:val="en-CA" w:eastAsia="zh-CN"/>
        </w:rPr>
      </w:pPr>
      <w:r>
        <w:rPr>
          <w:rFonts w:hint="eastAsia"/>
          <w:lang w:val="en-CA" w:eastAsia="zh-CN"/>
        </w:rPr>
        <w:t>主管组为</w:t>
      </w:r>
      <w:r w:rsidRPr="00EE186F">
        <w:rPr>
          <w:lang w:val="en-CA" w:eastAsia="zh-CN"/>
        </w:rPr>
        <w:t>TSAG</w:t>
      </w:r>
      <w:r>
        <w:rPr>
          <w:rFonts w:hint="eastAsia"/>
          <w:lang w:val="en-CA" w:eastAsia="zh-CN"/>
        </w:rPr>
        <w:t>。</w:t>
      </w:r>
    </w:p>
    <w:p w:rsidR="0025696A" w:rsidRPr="00EE186F" w:rsidRDefault="003B17C5" w:rsidP="003B17C5">
      <w:pPr>
        <w:pStyle w:val="Heading1"/>
        <w:rPr>
          <w:lang w:val="en-CA" w:eastAsia="zh-CN"/>
        </w:rPr>
      </w:pPr>
      <w:r>
        <w:rPr>
          <w:rFonts w:hint="eastAsia"/>
          <w:lang w:val="en-CA" w:eastAsia="zh-CN"/>
        </w:rPr>
        <w:t>4</w:t>
      </w:r>
      <w:r>
        <w:rPr>
          <w:rFonts w:hint="eastAsia"/>
          <w:lang w:val="en-CA" w:eastAsia="zh-CN"/>
        </w:rPr>
        <w:tab/>
      </w:r>
      <w:r w:rsidR="0025696A">
        <w:rPr>
          <w:rFonts w:hint="eastAsia"/>
          <w:lang w:val="en-CA" w:eastAsia="zh-CN"/>
        </w:rPr>
        <w:t>预期的</w:t>
      </w:r>
      <w:r w:rsidR="0025696A" w:rsidRPr="00D17B9B">
        <w:rPr>
          <w:rFonts w:ascii="SimSun" w:hAnsi="SimSun" w:cs="SimSun" w:hint="eastAsia"/>
          <w:lang w:val="en-CA" w:eastAsia="zh-CN"/>
        </w:rPr>
        <w:t>实际</w:t>
      </w:r>
      <w:r w:rsidR="0025696A">
        <w:rPr>
          <w:rFonts w:ascii="SimSun" w:hAnsi="SimSun" w:cs="SimSun" w:hint="eastAsia"/>
          <w:lang w:val="en-CA" w:eastAsia="zh-CN"/>
        </w:rPr>
        <w:t>成果</w:t>
      </w:r>
    </w:p>
    <w:p w:rsidR="0025696A" w:rsidRPr="00EE186F" w:rsidRDefault="0025696A" w:rsidP="001075C7">
      <w:pPr>
        <w:ind w:firstLineChars="200" w:firstLine="480"/>
        <w:rPr>
          <w:szCs w:val="24"/>
          <w:lang w:val="en-CA" w:eastAsia="zh-CN"/>
        </w:rPr>
      </w:pPr>
      <w:r>
        <w:rPr>
          <w:rFonts w:hint="eastAsia"/>
          <w:lang w:val="en-CA" w:eastAsia="zh-CN"/>
        </w:rPr>
        <w:t>焦点组预计将产生下列实际成果：</w:t>
      </w:r>
    </w:p>
    <w:p w:rsidR="0025696A" w:rsidRPr="00EE186F" w:rsidRDefault="003B17C5" w:rsidP="003B17C5">
      <w:pPr>
        <w:ind w:left="794" w:hanging="794"/>
        <w:rPr>
          <w:lang w:val="en-CA" w:eastAsia="zh-CN"/>
        </w:rPr>
      </w:pPr>
      <w:r w:rsidRPr="00957EA0">
        <w:rPr>
          <w:lang w:eastAsia="zh-CN"/>
        </w:rPr>
        <w:t>–</w:t>
      </w:r>
      <w:r w:rsidRPr="00957EA0">
        <w:rPr>
          <w:lang w:eastAsia="zh-CN"/>
        </w:rPr>
        <w:tab/>
      </w:r>
      <w:r w:rsidR="0025696A">
        <w:rPr>
          <w:rFonts w:hint="eastAsia"/>
          <w:lang w:val="en-CA" w:eastAsia="zh-CN"/>
        </w:rPr>
        <w:t>提交一份有关从</w:t>
      </w:r>
      <w:r w:rsidR="0025696A">
        <w:rPr>
          <w:rFonts w:hint="eastAsia"/>
          <w:lang w:val="en-CA" w:eastAsia="zh-CN"/>
        </w:rPr>
        <w:t>ITU-T</w:t>
      </w:r>
      <w:r w:rsidR="0025696A">
        <w:rPr>
          <w:rFonts w:hint="eastAsia"/>
          <w:lang w:val="en-CA" w:eastAsia="zh-CN"/>
        </w:rPr>
        <w:t>标准化中受益的、分布于全球不同地区以及不同经济领域内的</w:t>
      </w:r>
      <w:r w:rsidR="0025696A">
        <w:rPr>
          <w:rFonts w:hint="eastAsia"/>
          <w:lang w:val="en-CA" w:eastAsia="zh-CN"/>
        </w:rPr>
        <w:t>ICT</w:t>
      </w:r>
      <w:r w:rsidR="0025696A">
        <w:rPr>
          <w:rFonts w:hint="eastAsia"/>
          <w:lang w:val="en-CA" w:eastAsia="zh-CN"/>
        </w:rPr>
        <w:t>创新成功案例的报告（创新报告）</w:t>
      </w:r>
    </w:p>
    <w:p w:rsidR="0025696A" w:rsidRPr="00EE186F" w:rsidRDefault="003B17C5" w:rsidP="003B17C5">
      <w:pPr>
        <w:ind w:left="794" w:hanging="794"/>
        <w:rPr>
          <w:lang w:val="en-CA" w:eastAsia="zh-CN"/>
        </w:rPr>
      </w:pPr>
      <w:r w:rsidRPr="00957EA0">
        <w:rPr>
          <w:lang w:eastAsia="zh-CN"/>
        </w:rPr>
        <w:t>–</w:t>
      </w:r>
      <w:r w:rsidRPr="00957EA0">
        <w:rPr>
          <w:lang w:eastAsia="zh-CN"/>
        </w:rPr>
        <w:tab/>
      </w:r>
      <w:r w:rsidR="0025696A">
        <w:rPr>
          <w:rFonts w:hint="eastAsia"/>
          <w:lang w:val="en-CA" w:eastAsia="zh-CN"/>
        </w:rPr>
        <w:t>酌情为</w:t>
      </w:r>
      <w:r w:rsidR="0025696A">
        <w:rPr>
          <w:rFonts w:hint="eastAsia"/>
          <w:lang w:val="en-CA" w:eastAsia="zh-CN"/>
        </w:rPr>
        <w:t>ITU-T</w:t>
      </w:r>
      <w:r w:rsidR="0025696A">
        <w:rPr>
          <w:rFonts w:hint="eastAsia"/>
          <w:lang w:val="en-CA" w:eastAsia="zh-CN"/>
        </w:rPr>
        <w:t>新的标准化活动提交提案</w:t>
      </w:r>
    </w:p>
    <w:p w:rsidR="0025696A" w:rsidRPr="00EE186F" w:rsidRDefault="003B17C5" w:rsidP="003B17C5">
      <w:pPr>
        <w:ind w:left="794" w:hanging="794"/>
        <w:rPr>
          <w:lang w:val="en-CA" w:eastAsia="zh-CN"/>
        </w:rPr>
      </w:pPr>
      <w:r w:rsidRPr="00957EA0">
        <w:rPr>
          <w:lang w:eastAsia="zh-CN"/>
        </w:rPr>
        <w:t>–</w:t>
      </w:r>
      <w:r w:rsidRPr="00957EA0">
        <w:rPr>
          <w:lang w:eastAsia="zh-CN"/>
        </w:rPr>
        <w:tab/>
      </w:r>
      <w:r w:rsidR="0025696A">
        <w:rPr>
          <w:rFonts w:hint="eastAsia"/>
          <w:lang w:val="en-CA" w:eastAsia="zh-CN"/>
        </w:rPr>
        <w:t>支持</w:t>
      </w:r>
      <w:r w:rsidR="0025696A">
        <w:rPr>
          <w:rFonts w:hint="eastAsia"/>
          <w:lang w:val="en-CA" w:eastAsia="zh-CN"/>
        </w:rPr>
        <w:t>TSB</w:t>
      </w:r>
      <w:r w:rsidR="0025696A">
        <w:rPr>
          <w:rFonts w:hint="eastAsia"/>
          <w:lang w:val="en-CA" w:eastAsia="zh-CN"/>
        </w:rPr>
        <w:t>在</w:t>
      </w:r>
      <w:r w:rsidR="0025696A" w:rsidRPr="00EE186F">
        <w:rPr>
          <w:lang w:val="en-CA" w:eastAsia="zh-CN"/>
        </w:rPr>
        <w:t>WTSA-12</w:t>
      </w:r>
      <w:r w:rsidR="0025696A">
        <w:rPr>
          <w:rFonts w:hint="eastAsia"/>
          <w:lang w:val="en-CA" w:eastAsia="zh-CN"/>
        </w:rPr>
        <w:t>期间组织有关“缩小创新到标准之间的差距”的会外活动，展示焦点组的成果，同时起草一个会外活动期间所建议的行动报告。</w:t>
      </w:r>
    </w:p>
    <w:p w:rsidR="0025696A" w:rsidRPr="00EE186F" w:rsidRDefault="003B17C5" w:rsidP="003B17C5">
      <w:pPr>
        <w:pStyle w:val="Heading1"/>
        <w:rPr>
          <w:lang w:val="en-CA" w:eastAsia="zh-CN"/>
        </w:rPr>
      </w:pPr>
      <w:r>
        <w:rPr>
          <w:rFonts w:hint="eastAsia"/>
          <w:lang w:val="en-CA" w:eastAsia="zh-CN"/>
        </w:rPr>
        <w:t>5</w:t>
      </w:r>
      <w:r>
        <w:rPr>
          <w:rFonts w:hint="eastAsia"/>
          <w:lang w:val="en-CA" w:eastAsia="zh-CN"/>
        </w:rPr>
        <w:tab/>
      </w:r>
      <w:r w:rsidR="0025696A">
        <w:rPr>
          <w:rFonts w:hint="eastAsia"/>
          <w:lang w:val="en-CA" w:eastAsia="zh-CN"/>
        </w:rPr>
        <w:t>完成工作的时间表</w:t>
      </w:r>
    </w:p>
    <w:p w:rsidR="0025696A" w:rsidRPr="00EE186F" w:rsidRDefault="0025696A" w:rsidP="003B17C5">
      <w:pPr>
        <w:ind w:firstLineChars="200" w:firstLine="480"/>
        <w:rPr>
          <w:lang w:val="en-CA" w:eastAsia="zh-CN"/>
        </w:rPr>
      </w:pPr>
      <w:r>
        <w:rPr>
          <w:rFonts w:hint="eastAsia"/>
          <w:lang w:val="en-CA" w:eastAsia="zh-CN"/>
        </w:rPr>
        <w:t>焦点组的工作期限为</w:t>
      </w:r>
      <w:r>
        <w:rPr>
          <w:rFonts w:hint="eastAsia"/>
          <w:lang w:val="en-CA" w:eastAsia="zh-CN"/>
        </w:rPr>
        <w:t>2012</w:t>
      </w:r>
      <w:r>
        <w:rPr>
          <w:rFonts w:hint="eastAsia"/>
          <w:lang w:val="en-CA" w:eastAsia="zh-CN"/>
        </w:rPr>
        <w:t>年的</w:t>
      </w:r>
      <w:r>
        <w:rPr>
          <w:rFonts w:hint="eastAsia"/>
          <w:lang w:val="en-CA" w:eastAsia="zh-CN"/>
        </w:rPr>
        <w:t>1</w:t>
      </w:r>
      <w:r>
        <w:rPr>
          <w:rFonts w:hint="eastAsia"/>
          <w:lang w:val="en-CA" w:eastAsia="zh-CN"/>
        </w:rPr>
        <w:t>月至</w:t>
      </w:r>
      <w:r w:rsidRPr="00EE186F">
        <w:rPr>
          <w:lang w:val="en-CA" w:eastAsia="zh-CN"/>
        </w:rPr>
        <w:t>2013</w:t>
      </w:r>
      <w:r w:rsidR="00525112">
        <w:rPr>
          <w:rFonts w:hint="eastAsia"/>
          <w:lang w:val="en-CA" w:eastAsia="zh-CN"/>
        </w:rPr>
        <w:t>年</w:t>
      </w:r>
      <w:r w:rsidR="00525112" w:rsidRPr="00EE186F">
        <w:rPr>
          <w:lang w:val="en-CA" w:eastAsia="zh-CN"/>
        </w:rPr>
        <w:t>TSAG</w:t>
      </w:r>
      <w:r w:rsidR="00525112">
        <w:rPr>
          <w:rFonts w:hint="eastAsia"/>
          <w:lang w:val="en-CA" w:eastAsia="zh-CN"/>
        </w:rPr>
        <w:t>会议</w:t>
      </w:r>
      <w:r w:rsidR="00B158EC">
        <w:rPr>
          <w:rFonts w:hint="eastAsia"/>
          <w:lang w:val="en-CA" w:eastAsia="zh-CN"/>
        </w:rPr>
        <w:t>。</w:t>
      </w:r>
      <w:r>
        <w:rPr>
          <w:rFonts w:hint="eastAsia"/>
          <w:lang w:val="en-CA" w:eastAsia="zh-CN"/>
        </w:rPr>
        <w:t>焦</w:t>
      </w:r>
      <w:r w:rsidR="00525112">
        <w:rPr>
          <w:rFonts w:hint="eastAsia"/>
          <w:lang w:val="en-CA" w:eastAsia="zh-CN"/>
        </w:rPr>
        <w:t>点组主要以电子方式工作，面对面的现场会议需与其它会议协调，以便</w:t>
      </w:r>
      <w:r>
        <w:rPr>
          <w:rFonts w:hint="eastAsia"/>
          <w:lang w:val="en-CA" w:eastAsia="zh-CN"/>
        </w:rPr>
        <w:t>尽可能多的与会者参会，同时将尽量提供远程参会的方式。</w:t>
      </w:r>
      <w:r w:rsidRPr="00EE186F">
        <w:rPr>
          <w:lang w:val="en-CA" w:eastAsia="zh-CN"/>
        </w:rPr>
        <w:t xml:space="preserve"> </w:t>
      </w:r>
    </w:p>
    <w:p w:rsidR="0025696A" w:rsidRPr="00EE186F" w:rsidRDefault="0025696A" w:rsidP="00525112">
      <w:pPr>
        <w:tabs>
          <w:tab w:val="left" w:pos="720"/>
        </w:tabs>
        <w:spacing w:before="0"/>
        <w:ind w:firstLineChars="200" w:firstLine="480"/>
        <w:rPr>
          <w:szCs w:val="24"/>
          <w:lang w:val="en-CA" w:eastAsia="zh-CN"/>
        </w:rPr>
      </w:pPr>
      <w:r>
        <w:rPr>
          <w:rFonts w:hint="eastAsia"/>
          <w:szCs w:val="24"/>
          <w:lang w:val="en-US" w:eastAsia="zh-CN"/>
        </w:rPr>
        <w:t>初步设定</w:t>
      </w:r>
      <w:r w:rsidR="00525112">
        <w:rPr>
          <w:rFonts w:hint="eastAsia"/>
          <w:szCs w:val="24"/>
          <w:lang w:val="en-US" w:eastAsia="zh-CN"/>
        </w:rPr>
        <w:t>的</w:t>
      </w:r>
      <w:r>
        <w:rPr>
          <w:rFonts w:hint="eastAsia"/>
          <w:szCs w:val="24"/>
          <w:lang w:val="en-US" w:eastAsia="zh-CN"/>
        </w:rPr>
        <w:t>阶段性成果包括：</w:t>
      </w:r>
    </w:p>
    <w:p w:rsidR="0025696A" w:rsidRPr="00EE186F" w:rsidRDefault="003B17C5" w:rsidP="003B17C5">
      <w:pPr>
        <w:rPr>
          <w:lang w:val="en-CA" w:eastAsia="zh-CN"/>
        </w:rPr>
      </w:pPr>
      <w:r w:rsidRPr="00957EA0">
        <w:rPr>
          <w:lang w:eastAsia="zh-CN"/>
        </w:rPr>
        <w:t>–</w:t>
      </w:r>
      <w:r w:rsidRPr="00957EA0">
        <w:rPr>
          <w:lang w:eastAsia="zh-CN"/>
        </w:rPr>
        <w:tab/>
      </w:r>
      <w:r w:rsidR="0025696A">
        <w:rPr>
          <w:rFonts w:hint="eastAsia"/>
          <w:lang w:val="en-CA" w:eastAsia="zh-CN"/>
        </w:rPr>
        <w:t>启动会议：</w:t>
      </w:r>
      <w:r w:rsidR="0025696A">
        <w:rPr>
          <w:rFonts w:hint="eastAsia"/>
          <w:lang w:val="en-CA" w:eastAsia="zh-CN"/>
        </w:rPr>
        <w:t>2012</w:t>
      </w:r>
      <w:r w:rsidR="0025696A">
        <w:rPr>
          <w:rFonts w:hint="eastAsia"/>
          <w:lang w:val="en-CA" w:eastAsia="zh-CN"/>
        </w:rPr>
        <w:t>年</w:t>
      </w:r>
      <w:r w:rsidR="0025696A">
        <w:rPr>
          <w:rFonts w:hint="eastAsia"/>
          <w:lang w:val="en-CA" w:eastAsia="zh-CN"/>
        </w:rPr>
        <w:t>2</w:t>
      </w:r>
      <w:r w:rsidR="0025696A">
        <w:rPr>
          <w:rFonts w:hint="eastAsia"/>
          <w:lang w:val="en-CA" w:eastAsia="zh-CN"/>
        </w:rPr>
        <w:t>月</w:t>
      </w:r>
    </w:p>
    <w:p w:rsidR="0025696A" w:rsidRPr="00EE186F" w:rsidRDefault="003B17C5" w:rsidP="003B17C5">
      <w:pPr>
        <w:rPr>
          <w:lang w:val="en-CA" w:eastAsia="zh-CN"/>
        </w:rPr>
      </w:pPr>
      <w:r w:rsidRPr="00957EA0">
        <w:rPr>
          <w:lang w:eastAsia="zh-CN"/>
        </w:rPr>
        <w:t>–</w:t>
      </w:r>
      <w:r w:rsidRPr="00957EA0">
        <w:rPr>
          <w:lang w:eastAsia="zh-CN"/>
        </w:rPr>
        <w:tab/>
      </w:r>
      <w:r w:rsidR="0025696A">
        <w:rPr>
          <w:rFonts w:hint="eastAsia"/>
          <w:lang w:val="en-CA" w:eastAsia="zh-CN"/>
        </w:rPr>
        <w:t>有关“缩小创新到标准之间的差距”的</w:t>
      </w:r>
      <w:r w:rsidR="0025696A" w:rsidRPr="00EE186F">
        <w:rPr>
          <w:lang w:val="en-CA" w:eastAsia="zh-CN"/>
        </w:rPr>
        <w:t>WTSA-12</w:t>
      </w:r>
      <w:r w:rsidR="0025696A">
        <w:rPr>
          <w:rFonts w:hint="eastAsia"/>
          <w:lang w:val="en-CA" w:eastAsia="zh-CN"/>
        </w:rPr>
        <w:t>的会外活动：</w:t>
      </w:r>
      <w:r w:rsidR="0025696A">
        <w:rPr>
          <w:rFonts w:hint="eastAsia"/>
          <w:lang w:val="en-CA" w:eastAsia="zh-CN"/>
        </w:rPr>
        <w:t>2012</w:t>
      </w:r>
      <w:r w:rsidR="0025696A">
        <w:rPr>
          <w:rFonts w:hint="eastAsia"/>
          <w:lang w:val="en-CA" w:eastAsia="zh-CN"/>
        </w:rPr>
        <w:t>年</w:t>
      </w:r>
      <w:r w:rsidR="0025696A">
        <w:rPr>
          <w:rFonts w:hint="eastAsia"/>
          <w:lang w:val="en-CA" w:eastAsia="zh-CN"/>
        </w:rPr>
        <w:t>11</w:t>
      </w:r>
      <w:r w:rsidR="0025696A">
        <w:rPr>
          <w:rFonts w:hint="eastAsia"/>
          <w:lang w:val="en-CA" w:eastAsia="zh-CN"/>
        </w:rPr>
        <w:t>月</w:t>
      </w:r>
    </w:p>
    <w:p w:rsidR="0025696A" w:rsidRPr="00EE186F" w:rsidRDefault="003B17C5" w:rsidP="003B17C5">
      <w:pPr>
        <w:rPr>
          <w:lang w:val="en-CA" w:eastAsia="zh-CN"/>
        </w:rPr>
      </w:pPr>
      <w:r w:rsidRPr="00957EA0">
        <w:rPr>
          <w:lang w:eastAsia="zh-CN"/>
        </w:rPr>
        <w:t>–</w:t>
      </w:r>
      <w:r w:rsidRPr="00957EA0">
        <w:rPr>
          <w:lang w:eastAsia="zh-CN"/>
        </w:rPr>
        <w:tab/>
      </w:r>
      <w:r w:rsidR="0025696A">
        <w:rPr>
          <w:rFonts w:hint="eastAsia"/>
          <w:lang w:val="en-CA" w:eastAsia="zh-CN"/>
        </w:rPr>
        <w:t>创新报告的完成日期：</w:t>
      </w:r>
      <w:r w:rsidR="0025696A">
        <w:rPr>
          <w:rFonts w:hint="eastAsia"/>
          <w:lang w:val="en-CA" w:eastAsia="zh-CN"/>
        </w:rPr>
        <w:t>2013</w:t>
      </w:r>
      <w:r w:rsidR="0025696A">
        <w:rPr>
          <w:rFonts w:hint="eastAsia"/>
          <w:lang w:val="en-CA" w:eastAsia="zh-CN"/>
        </w:rPr>
        <w:t>年</w:t>
      </w:r>
      <w:r w:rsidR="0025696A">
        <w:rPr>
          <w:rFonts w:hint="eastAsia"/>
          <w:lang w:val="en-CA" w:eastAsia="zh-CN"/>
        </w:rPr>
        <w:t>1</w:t>
      </w:r>
      <w:r w:rsidR="0025696A">
        <w:rPr>
          <w:rFonts w:hint="eastAsia"/>
          <w:lang w:val="en-CA" w:eastAsia="zh-CN"/>
        </w:rPr>
        <w:t>月</w:t>
      </w:r>
    </w:p>
    <w:p w:rsidR="0025696A" w:rsidRPr="00EE186F" w:rsidRDefault="003B17C5" w:rsidP="003B17C5">
      <w:pPr>
        <w:rPr>
          <w:lang w:val="en-CA" w:eastAsia="zh-CN"/>
        </w:rPr>
      </w:pPr>
      <w:r w:rsidRPr="00957EA0">
        <w:rPr>
          <w:lang w:eastAsia="zh-CN"/>
        </w:rPr>
        <w:t>–</w:t>
      </w:r>
      <w:r w:rsidRPr="00957EA0">
        <w:rPr>
          <w:lang w:eastAsia="zh-CN"/>
        </w:rPr>
        <w:tab/>
      </w:r>
      <w:r w:rsidR="0025696A">
        <w:rPr>
          <w:rFonts w:hint="eastAsia"/>
          <w:lang w:val="en-CA" w:eastAsia="zh-CN"/>
        </w:rPr>
        <w:t>有关</w:t>
      </w:r>
      <w:r w:rsidR="0025696A">
        <w:rPr>
          <w:rFonts w:hint="eastAsia"/>
          <w:lang w:val="en-CA" w:eastAsia="zh-CN"/>
        </w:rPr>
        <w:t>ITU-T</w:t>
      </w:r>
      <w:r w:rsidR="0025696A">
        <w:rPr>
          <w:rFonts w:hint="eastAsia"/>
          <w:lang w:val="en-CA" w:eastAsia="zh-CN"/>
        </w:rPr>
        <w:t>新领域标准化活动的提案完成日期：</w:t>
      </w:r>
      <w:r w:rsidR="0025696A">
        <w:rPr>
          <w:rFonts w:hint="eastAsia"/>
          <w:lang w:val="en-CA" w:eastAsia="zh-CN"/>
        </w:rPr>
        <w:t>2013</w:t>
      </w:r>
      <w:r w:rsidR="0025696A">
        <w:rPr>
          <w:rFonts w:hint="eastAsia"/>
          <w:lang w:val="en-CA" w:eastAsia="zh-CN"/>
        </w:rPr>
        <w:t>年</w:t>
      </w:r>
      <w:r w:rsidR="0025696A">
        <w:rPr>
          <w:rFonts w:hint="eastAsia"/>
          <w:lang w:val="en-CA" w:eastAsia="zh-CN"/>
        </w:rPr>
        <w:t>1</w:t>
      </w:r>
      <w:r w:rsidR="0025696A">
        <w:rPr>
          <w:rFonts w:hint="eastAsia"/>
          <w:lang w:val="en-CA" w:eastAsia="zh-CN"/>
        </w:rPr>
        <w:t>月</w:t>
      </w:r>
    </w:p>
    <w:p w:rsidR="0025696A" w:rsidRDefault="0025696A" w:rsidP="001075C7">
      <w:pPr>
        <w:ind w:firstLineChars="200" w:firstLine="480"/>
        <w:rPr>
          <w:lang w:val="en-CA" w:eastAsia="zh-CN"/>
        </w:rPr>
      </w:pPr>
      <w:r>
        <w:rPr>
          <w:rFonts w:hint="eastAsia"/>
          <w:lang w:val="en-CA" w:eastAsia="zh-CN"/>
        </w:rPr>
        <w:t>由于焦点组成员及文稿</w:t>
      </w:r>
      <w:r w:rsidR="00525112">
        <w:rPr>
          <w:rFonts w:hint="eastAsia"/>
          <w:lang w:val="en-CA" w:eastAsia="zh-CN"/>
        </w:rPr>
        <w:t>方面原因</w:t>
      </w:r>
      <w:r>
        <w:rPr>
          <w:rFonts w:hint="eastAsia"/>
          <w:lang w:val="en-CA" w:eastAsia="zh-CN"/>
        </w:rPr>
        <w:t>，这些</w:t>
      </w:r>
      <w:r w:rsidR="00525112">
        <w:rPr>
          <w:rFonts w:hint="eastAsia"/>
          <w:lang w:val="en-CA" w:eastAsia="zh-CN"/>
        </w:rPr>
        <w:t>阶段性成果有可能发生变动</w:t>
      </w:r>
      <w:r>
        <w:rPr>
          <w:rFonts w:hint="eastAsia"/>
          <w:lang w:val="en-CA" w:eastAsia="zh-CN"/>
        </w:rPr>
        <w:t>。</w:t>
      </w:r>
    </w:p>
    <w:p w:rsidR="0025696A" w:rsidRPr="00EE186F" w:rsidRDefault="003B17C5" w:rsidP="00620B2A">
      <w:pPr>
        <w:pStyle w:val="Heading1"/>
        <w:rPr>
          <w:lang w:val="en-CA" w:eastAsia="zh-CN"/>
        </w:rPr>
      </w:pPr>
      <w:r>
        <w:rPr>
          <w:rFonts w:hint="eastAsia"/>
          <w:lang w:val="en-CA" w:eastAsia="zh-CN"/>
        </w:rPr>
        <w:t>6</w:t>
      </w:r>
      <w:r>
        <w:rPr>
          <w:rFonts w:hint="eastAsia"/>
          <w:lang w:val="en-CA" w:eastAsia="zh-CN"/>
        </w:rPr>
        <w:tab/>
      </w:r>
      <w:r w:rsidR="0025696A">
        <w:rPr>
          <w:rFonts w:hint="eastAsia"/>
          <w:lang w:val="en-CA" w:eastAsia="zh-CN"/>
        </w:rPr>
        <w:t>关系</w:t>
      </w:r>
    </w:p>
    <w:p w:rsidR="0025696A" w:rsidRPr="00EE186F" w:rsidRDefault="0025696A" w:rsidP="00AB5A7A">
      <w:pPr>
        <w:ind w:firstLineChars="200" w:firstLine="480"/>
        <w:rPr>
          <w:lang w:val="en-US" w:eastAsia="zh-CN"/>
        </w:rPr>
      </w:pPr>
      <w:r>
        <w:rPr>
          <w:rFonts w:hint="eastAsia"/>
          <w:lang w:val="en-CA" w:eastAsia="zh-CN"/>
        </w:rPr>
        <w:t>与相关</w:t>
      </w:r>
      <w:r w:rsidR="00525112">
        <w:rPr>
          <w:rFonts w:hint="eastAsia"/>
          <w:lang w:val="en-CA" w:eastAsia="zh-CN"/>
        </w:rPr>
        <w:t>标准制定组织</w:t>
      </w:r>
      <w:r>
        <w:rPr>
          <w:rFonts w:hint="eastAsia"/>
          <w:lang w:val="en-CA" w:eastAsia="zh-CN"/>
        </w:rPr>
        <w:t>、政府</w:t>
      </w:r>
      <w:r>
        <w:rPr>
          <w:rFonts w:hint="eastAsia"/>
          <w:lang w:val="en-CA" w:eastAsia="zh-CN"/>
        </w:rPr>
        <w:t>/</w:t>
      </w:r>
      <w:r>
        <w:rPr>
          <w:rFonts w:hint="eastAsia"/>
          <w:lang w:val="en-CA" w:eastAsia="zh-CN"/>
        </w:rPr>
        <w:t>行业论坛、公司、学术机</w:t>
      </w:r>
      <w:r w:rsidR="00525112">
        <w:rPr>
          <w:rFonts w:hint="eastAsia"/>
          <w:lang w:val="en-CA" w:eastAsia="zh-CN"/>
        </w:rPr>
        <w:t>构、研究机构和相关专家的协作对于焦点组工作的成功至关重要。</w:t>
      </w:r>
      <w:r>
        <w:rPr>
          <w:rFonts w:hint="eastAsia"/>
          <w:lang w:val="en-CA" w:eastAsia="zh-CN"/>
        </w:rPr>
        <w:t>焦点组将</w:t>
      </w:r>
      <w:r w:rsidR="00AB5A7A">
        <w:rPr>
          <w:rFonts w:hint="eastAsia"/>
          <w:lang w:val="en-CA" w:eastAsia="zh-CN"/>
        </w:rPr>
        <w:t>确</w:t>
      </w:r>
      <w:r>
        <w:rPr>
          <w:rFonts w:hint="eastAsia"/>
          <w:lang w:val="en-CA" w:eastAsia="zh-CN"/>
        </w:rPr>
        <w:t>定与之协作的其他相关实体</w:t>
      </w:r>
      <w:r w:rsidR="00525112">
        <w:rPr>
          <w:rFonts w:hint="eastAsia"/>
          <w:lang w:val="en-CA" w:eastAsia="zh-CN"/>
        </w:rPr>
        <w:t>以及</w:t>
      </w:r>
      <w:r>
        <w:rPr>
          <w:rFonts w:hint="eastAsia"/>
          <w:lang w:val="en-CA" w:eastAsia="zh-CN"/>
        </w:rPr>
        <w:t>协作类型，同时亦需与</w:t>
      </w:r>
      <w:r>
        <w:rPr>
          <w:rFonts w:hint="eastAsia"/>
          <w:lang w:val="en-CA" w:eastAsia="zh-CN"/>
        </w:rPr>
        <w:t>ITU-D</w:t>
      </w:r>
      <w:r>
        <w:rPr>
          <w:rFonts w:hint="eastAsia"/>
          <w:lang w:val="en-CA" w:eastAsia="zh-CN"/>
        </w:rPr>
        <w:t>和</w:t>
      </w:r>
      <w:r>
        <w:rPr>
          <w:rFonts w:hint="eastAsia"/>
          <w:lang w:val="en-CA" w:eastAsia="zh-CN"/>
        </w:rPr>
        <w:t>ITU-R</w:t>
      </w:r>
      <w:r>
        <w:rPr>
          <w:rFonts w:hint="eastAsia"/>
          <w:lang w:val="en-CA" w:eastAsia="zh-CN"/>
        </w:rPr>
        <w:t>加强合作。</w:t>
      </w:r>
    </w:p>
    <w:p w:rsidR="0025696A" w:rsidRPr="00EE186F" w:rsidRDefault="003B17C5" w:rsidP="003B17C5">
      <w:pPr>
        <w:pStyle w:val="Heading1"/>
        <w:rPr>
          <w:lang w:val="en-CA" w:eastAsia="zh-CN"/>
        </w:rPr>
      </w:pPr>
      <w:r>
        <w:rPr>
          <w:rFonts w:hint="eastAsia"/>
          <w:lang w:val="en-CA" w:eastAsia="zh-CN"/>
        </w:rPr>
        <w:t>7</w:t>
      </w:r>
      <w:r>
        <w:rPr>
          <w:rFonts w:hint="eastAsia"/>
          <w:lang w:val="en-CA" w:eastAsia="zh-CN"/>
        </w:rPr>
        <w:tab/>
      </w:r>
      <w:r w:rsidR="0025696A" w:rsidRPr="003B17C5">
        <w:rPr>
          <w:rFonts w:hint="eastAsia"/>
          <w:lang w:eastAsia="zh-CN"/>
        </w:rPr>
        <w:t>进一步</w:t>
      </w:r>
      <w:r w:rsidR="0025696A">
        <w:rPr>
          <w:rFonts w:hint="eastAsia"/>
          <w:lang w:val="en-CA" w:eastAsia="zh-CN"/>
        </w:rPr>
        <w:t>的事项</w:t>
      </w:r>
    </w:p>
    <w:p w:rsidR="0025696A" w:rsidRPr="00EE186F" w:rsidRDefault="0025696A" w:rsidP="003B17C5">
      <w:pPr>
        <w:pStyle w:val="Heading2"/>
        <w:rPr>
          <w:szCs w:val="24"/>
          <w:lang w:eastAsia="zh-CN"/>
        </w:rPr>
      </w:pPr>
      <w:r>
        <w:rPr>
          <w:rFonts w:hint="eastAsia"/>
          <w:lang w:val="en-CA" w:eastAsia="zh-CN"/>
        </w:rPr>
        <w:t>管理班子</w:t>
      </w:r>
    </w:p>
    <w:p w:rsidR="0025696A" w:rsidRPr="00EE186F" w:rsidRDefault="0025696A" w:rsidP="00C854F6">
      <w:pPr>
        <w:ind w:firstLineChars="200" w:firstLine="480"/>
        <w:rPr>
          <w:szCs w:val="24"/>
          <w:lang w:eastAsia="zh-CN"/>
        </w:rPr>
      </w:pPr>
      <w:bookmarkStart w:id="6" w:name="_Toc216843706"/>
      <w:r>
        <w:rPr>
          <w:rFonts w:hint="eastAsia"/>
          <w:szCs w:val="24"/>
          <w:lang w:eastAsia="zh-CN"/>
        </w:rPr>
        <w:t>依据</w:t>
      </w:r>
      <w:r w:rsidRPr="00EE186F">
        <w:rPr>
          <w:szCs w:val="24"/>
          <w:lang w:eastAsia="zh-CN"/>
        </w:rPr>
        <w:t>A.7</w:t>
      </w:r>
      <w:r>
        <w:rPr>
          <w:rFonts w:hint="eastAsia"/>
          <w:szCs w:val="24"/>
          <w:lang w:eastAsia="zh-CN"/>
        </w:rPr>
        <w:t>第</w:t>
      </w:r>
      <w:r w:rsidRPr="00EE186F">
        <w:rPr>
          <w:szCs w:val="24"/>
          <w:lang w:eastAsia="zh-CN"/>
        </w:rPr>
        <w:t>2.3</w:t>
      </w:r>
      <w:r>
        <w:rPr>
          <w:rFonts w:hint="eastAsia"/>
          <w:szCs w:val="24"/>
          <w:lang w:eastAsia="zh-CN"/>
        </w:rPr>
        <w:t>段</w:t>
      </w:r>
    </w:p>
    <w:bookmarkEnd w:id="6"/>
    <w:p w:rsidR="0025696A" w:rsidRPr="00EE186F" w:rsidRDefault="0025696A" w:rsidP="003B17C5">
      <w:pPr>
        <w:pStyle w:val="Heading2"/>
        <w:rPr>
          <w:bCs/>
          <w:szCs w:val="24"/>
          <w:lang w:eastAsia="zh-CN"/>
        </w:rPr>
      </w:pPr>
      <w:r>
        <w:rPr>
          <w:rFonts w:hint="eastAsia"/>
          <w:lang w:val="en-CA" w:eastAsia="zh-CN"/>
        </w:rPr>
        <w:t>参与</w:t>
      </w:r>
    </w:p>
    <w:p w:rsidR="0025696A" w:rsidRPr="00EE186F" w:rsidRDefault="0025696A" w:rsidP="00C854F6">
      <w:pPr>
        <w:ind w:firstLineChars="200" w:firstLine="480"/>
        <w:rPr>
          <w:szCs w:val="24"/>
          <w:lang w:eastAsia="zh-CN"/>
        </w:rPr>
      </w:pPr>
      <w:bookmarkStart w:id="7" w:name="_Toc216843707"/>
      <w:r>
        <w:rPr>
          <w:rFonts w:hint="eastAsia"/>
          <w:szCs w:val="24"/>
          <w:lang w:eastAsia="zh-CN"/>
        </w:rPr>
        <w:t>依据</w:t>
      </w:r>
      <w:r w:rsidRPr="00EE186F">
        <w:rPr>
          <w:szCs w:val="24"/>
          <w:lang w:eastAsia="zh-CN"/>
        </w:rPr>
        <w:t>A.7</w:t>
      </w:r>
      <w:r>
        <w:rPr>
          <w:rFonts w:hint="eastAsia"/>
          <w:szCs w:val="24"/>
          <w:lang w:eastAsia="zh-CN"/>
        </w:rPr>
        <w:t>，第</w:t>
      </w:r>
      <w:r w:rsidRPr="00EE186F">
        <w:rPr>
          <w:szCs w:val="24"/>
          <w:lang w:eastAsia="zh-CN"/>
        </w:rPr>
        <w:t>3</w:t>
      </w:r>
      <w:r>
        <w:rPr>
          <w:rFonts w:hint="eastAsia"/>
          <w:szCs w:val="24"/>
          <w:lang w:eastAsia="zh-CN"/>
        </w:rPr>
        <w:t>段</w:t>
      </w:r>
    </w:p>
    <w:bookmarkEnd w:id="7"/>
    <w:p w:rsidR="0025696A" w:rsidRPr="00EE186F" w:rsidRDefault="0025696A" w:rsidP="003B17C5">
      <w:pPr>
        <w:pStyle w:val="Heading2"/>
        <w:rPr>
          <w:bCs/>
          <w:szCs w:val="24"/>
          <w:lang w:eastAsia="zh-CN"/>
        </w:rPr>
      </w:pPr>
      <w:r>
        <w:rPr>
          <w:rFonts w:hint="eastAsia"/>
          <w:lang w:val="en-CA" w:eastAsia="zh-CN"/>
        </w:rPr>
        <w:t>焦点组的资金</w:t>
      </w:r>
    </w:p>
    <w:p w:rsidR="0025696A" w:rsidRPr="00EE186F" w:rsidRDefault="0025696A" w:rsidP="00C854F6">
      <w:pPr>
        <w:ind w:firstLineChars="200" w:firstLine="480"/>
        <w:rPr>
          <w:szCs w:val="24"/>
          <w:lang w:eastAsia="zh-CN"/>
        </w:rPr>
      </w:pPr>
      <w:bookmarkStart w:id="8" w:name="_Toc216843708"/>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4</w:t>
      </w:r>
      <w:r>
        <w:rPr>
          <w:rFonts w:hint="eastAsia"/>
          <w:szCs w:val="24"/>
          <w:lang w:eastAsia="zh-CN"/>
        </w:rPr>
        <w:t>段，资金问题亦将与</w:t>
      </w:r>
      <w:r>
        <w:rPr>
          <w:rFonts w:hint="eastAsia"/>
          <w:szCs w:val="24"/>
          <w:lang w:eastAsia="zh-CN"/>
        </w:rPr>
        <w:t>ITU-D</w:t>
      </w:r>
      <w:r>
        <w:rPr>
          <w:rFonts w:hint="eastAsia"/>
          <w:szCs w:val="24"/>
          <w:lang w:eastAsia="zh-CN"/>
        </w:rPr>
        <w:t>探讨。</w:t>
      </w:r>
    </w:p>
    <w:bookmarkEnd w:id="8"/>
    <w:p w:rsidR="0025696A" w:rsidRPr="00EE186F" w:rsidRDefault="0025696A" w:rsidP="00C854F6">
      <w:pPr>
        <w:pStyle w:val="Heading2"/>
        <w:spacing w:before="240"/>
        <w:rPr>
          <w:szCs w:val="24"/>
          <w:lang w:eastAsia="zh-CN"/>
        </w:rPr>
      </w:pPr>
      <w:r>
        <w:rPr>
          <w:rFonts w:hint="eastAsia"/>
          <w:lang w:eastAsia="zh-CN"/>
        </w:rPr>
        <w:lastRenderedPageBreak/>
        <w:t>会议的</w:t>
      </w:r>
      <w:r>
        <w:rPr>
          <w:rFonts w:hint="eastAsia"/>
          <w:lang w:val="en-CA" w:eastAsia="zh-CN"/>
        </w:rPr>
        <w:t>资金</w:t>
      </w:r>
    </w:p>
    <w:p w:rsidR="0025696A" w:rsidRPr="00EE186F" w:rsidRDefault="0025696A" w:rsidP="00C854F6">
      <w:pPr>
        <w:ind w:firstLineChars="200" w:firstLine="480"/>
        <w:rPr>
          <w:szCs w:val="24"/>
          <w:lang w:eastAsia="zh-CN"/>
        </w:rPr>
      </w:pPr>
      <w:bookmarkStart w:id="9" w:name="_Toc216843709"/>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4.1</w:t>
      </w:r>
      <w:r>
        <w:rPr>
          <w:rFonts w:hint="eastAsia"/>
          <w:szCs w:val="24"/>
          <w:lang w:eastAsia="zh-CN"/>
        </w:rPr>
        <w:t>段</w:t>
      </w:r>
    </w:p>
    <w:bookmarkEnd w:id="9"/>
    <w:p w:rsidR="0025696A" w:rsidRPr="00013F72" w:rsidRDefault="0025696A" w:rsidP="003B17C5">
      <w:pPr>
        <w:pStyle w:val="Heading2"/>
        <w:rPr>
          <w:bCs/>
          <w:szCs w:val="24"/>
          <w:lang w:eastAsia="zh-CN"/>
        </w:rPr>
      </w:pPr>
      <w:r>
        <w:rPr>
          <w:rFonts w:hint="eastAsia"/>
          <w:lang w:val="en-CA" w:eastAsia="zh-CN"/>
        </w:rPr>
        <w:t>行政支持</w:t>
      </w:r>
    </w:p>
    <w:p w:rsidR="0025696A" w:rsidRDefault="0025696A" w:rsidP="00C854F6">
      <w:pPr>
        <w:ind w:firstLineChars="200" w:firstLine="480"/>
        <w:rPr>
          <w:szCs w:val="24"/>
          <w:lang w:eastAsia="zh-CN"/>
        </w:rPr>
      </w:pPr>
      <w:bookmarkStart w:id="10" w:name="_Toc216843710"/>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5</w:t>
      </w:r>
      <w:r>
        <w:rPr>
          <w:rFonts w:hint="eastAsia"/>
          <w:szCs w:val="24"/>
          <w:lang w:eastAsia="zh-CN"/>
        </w:rPr>
        <w:t>段</w:t>
      </w:r>
    </w:p>
    <w:bookmarkEnd w:id="10"/>
    <w:p w:rsidR="0025696A" w:rsidRPr="00013F72" w:rsidRDefault="0025696A" w:rsidP="003B17C5">
      <w:pPr>
        <w:pStyle w:val="Heading2"/>
        <w:rPr>
          <w:bCs/>
          <w:szCs w:val="24"/>
          <w:lang w:eastAsia="zh-CN"/>
        </w:rPr>
      </w:pPr>
      <w:r>
        <w:rPr>
          <w:rFonts w:hint="eastAsia"/>
          <w:lang w:val="en-CA" w:eastAsia="zh-CN"/>
        </w:rPr>
        <w:t>会议的后勤安排</w:t>
      </w:r>
    </w:p>
    <w:p w:rsidR="0025696A" w:rsidRDefault="0025696A" w:rsidP="00C854F6">
      <w:pPr>
        <w:ind w:firstLineChars="200" w:firstLine="480"/>
        <w:rPr>
          <w:szCs w:val="24"/>
          <w:lang w:eastAsia="zh-CN"/>
        </w:rPr>
      </w:pPr>
      <w:bookmarkStart w:id="11" w:name="_Toc216843711"/>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6</w:t>
      </w:r>
      <w:r>
        <w:rPr>
          <w:rFonts w:hint="eastAsia"/>
          <w:szCs w:val="24"/>
          <w:lang w:eastAsia="zh-CN"/>
        </w:rPr>
        <w:t>段</w:t>
      </w:r>
    </w:p>
    <w:bookmarkEnd w:id="11"/>
    <w:p w:rsidR="0025696A" w:rsidRPr="00013F72" w:rsidRDefault="0025696A" w:rsidP="003B17C5">
      <w:pPr>
        <w:pStyle w:val="Heading2"/>
        <w:rPr>
          <w:bCs/>
          <w:szCs w:val="24"/>
          <w:lang w:eastAsia="zh-CN"/>
        </w:rPr>
      </w:pPr>
      <w:r>
        <w:rPr>
          <w:rFonts w:hint="eastAsia"/>
          <w:lang w:val="en-CA" w:eastAsia="zh-CN"/>
        </w:rPr>
        <w:t>工作语文</w:t>
      </w:r>
    </w:p>
    <w:p w:rsidR="0025696A" w:rsidRDefault="0025696A" w:rsidP="00C854F6">
      <w:pPr>
        <w:ind w:firstLineChars="200" w:firstLine="480"/>
        <w:rPr>
          <w:szCs w:val="24"/>
          <w:lang w:eastAsia="zh-CN"/>
        </w:rPr>
      </w:pPr>
      <w:bookmarkStart w:id="12" w:name="_Toc216843712"/>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7</w:t>
      </w:r>
      <w:r>
        <w:rPr>
          <w:rFonts w:hint="eastAsia"/>
          <w:szCs w:val="24"/>
          <w:lang w:eastAsia="zh-CN"/>
        </w:rPr>
        <w:t>段</w:t>
      </w:r>
    </w:p>
    <w:bookmarkEnd w:id="12"/>
    <w:p w:rsidR="0025696A" w:rsidRPr="00013F72" w:rsidRDefault="0025696A" w:rsidP="003B17C5">
      <w:pPr>
        <w:pStyle w:val="Heading2"/>
        <w:rPr>
          <w:lang w:eastAsia="zh-CN"/>
        </w:rPr>
      </w:pPr>
      <w:r>
        <w:rPr>
          <w:rFonts w:hint="eastAsia"/>
          <w:lang w:eastAsia="zh-CN"/>
        </w:rPr>
        <w:t>技术文稿</w:t>
      </w:r>
    </w:p>
    <w:p w:rsidR="0025696A" w:rsidRDefault="0025696A" w:rsidP="00C854F6">
      <w:pPr>
        <w:ind w:firstLineChars="200" w:firstLine="480"/>
        <w:rPr>
          <w:szCs w:val="24"/>
          <w:lang w:eastAsia="zh-CN"/>
        </w:rPr>
      </w:pPr>
      <w:bookmarkStart w:id="13" w:name="_Toc216843713"/>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8</w:t>
      </w:r>
      <w:r>
        <w:rPr>
          <w:rFonts w:hint="eastAsia"/>
          <w:szCs w:val="24"/>
          <w:lang w:eastAsia="zh-CN"/>
        </w:rPr>
        <w:t>段</w:t>
      </w:r>
    </w:p>
    <w:bookmarkEnd w:id="13"/>
    <w:p w:rsidR="0025696A" w:rsidRPr="00013F72" w:rsidRDefault="0025696A" w:rsidP="003B17C5">
      <w:pPr>
        <w:pStyle w:val="Heading2"/>
        <w:rPr>
          <w:lang w:eastAsia="zh-CN"/>
        </w:rPr>
      </w:pPr>
      <w:r>
        <w:rPr>
          <w:rFonts w:hint="eastAsia"/>
          <w:lang w:eastAsia="zh-CN"/>
        </w:rPr>
        <w:t>知识产权</w:t>
      </w:r>
    </w:p>
    <w:p w:rsidR="0025696A" w:rsidRDefault="0025696A" w:rsidP="00C854F6">
      <w:pPr>
        <w:ind w:firstLineChars="200" w:firstLine="480"/>
        <w:rPr>
          <w:szCs w:val="24"/>
          <w:lang w:eastAsia="zh-CN"/>
        </w:rPr>
      </w:pPr>
      <w:bookmarkStart w:id="14" w:name="_Toc216843714"/>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9</w:t>
      </w:r>
      <w:r>
        <w:rPr>
          <w:rFonts w:hint="eastAsia"/>
          <w:szCs w:val="24"/>
          <w:lang w:eastAsia="zh-CN"/>
        </w:rPr>
        <w:t>段</w:t>
      </w:r>
    </w:p>
    <w:bookmarkEnd w:id="14"/>
    <w:p w:rsidR="0025696A" w:rsidRPr="00013F72" w:rsidRDefault="0025696A" w:rsidP="003B17C5">
      <w:pPr>
        <w:pStyle w:val="Heading2"/>
        <w:rPr>
          <w:bCs/>
          <w:szCs w:val="24"/>
          <w:lang w:eastAsia="zh-CN"/>
        </w:rPr>
      </w:pPr>
      <w:r>
        <w:rPr>
          <w:rFonts w:hint="eastAsia"/>
          <w:lang w:val="en-CA" w:eastAsia="zh-CN"/>
        </w:rPr>
        <w:t>实际成果</w:t>
      </w:r>
    </w:p>
    <w:p w:rsidR="0025696A" w:rsidRDefault="0025696A" w:rsidP="00C854F6">
      <w:pPr>
        <w:ind w:firstLineChars="200" w:firstLine="480"/>
        <w:rPr>
          <w:szCs w:val="24"/>
          <w:lang w:eastAsia="zh-CN"/>
        </w:rPr>
      </w:pPr>
      <w:bookmarkStart w:id="15" w:name="_Toc216843715"/>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10</w:t>
      </w:r>
      <w:r>
        <w:rPr>
          <w:rFonts w:hint="eastAsia"/>
          <w:szCs w:val="24"/>
          <w:lang w:eastAsia="zh-CN"/>
        </w:rPr>
        <w:t>段</w:t>
      </w:r>
    </w:p>
    <w:bookmarkEnd w:id="15"/>
    <w:p w:rsidR="0025696A" w:rsidRDefault="0025696A" w:rsidP="00525112">
      <w:pPr>
        <w:pStyle w:val="Heading2"/>
        <w:spacing w:before="240"/>
        <w:rPr>
          <w:szCs w:val="24"/>
          <w:lang w:eastAsia="zh-CN"/>
        </w:rPr>
      </w:pPr>
      <w:r>
        <w:rPr>
          <w:rFonts w:hint="eastAsia"/>
          <w:lang w:val="en-CA" w:eastAsia="zh-CN"/>
        </w:rPr>
        <w:t>批准</w:t>
      </w:r>
      <w:r w:rsidR="00525112">
        <w:rPr>
          <w:rFonts w:hint="eastAsia"/>
          <w:lang w:val="en-CA" w:eastAsia="zh-CN"/>
        </w:rPr>
        <w:t>工作</w:t>
      </w:r>
      <w:r>
        <w:rPr>
          <w:rFonts w:hint="eastAsia"/>
          <w:lang w:val="en-CA" w:eastAsia="zh-CN"/>
        </w:rPr>
        <w:t>成果</w:t>
      </w:r>
    </w:p>
    <w:p w:rsidR="0025696A" w:rsidRDefault="0025696A" w:rsidP="00C854F6">
      <w:pPr>
        <w:ind w:firstLineChars="200" w:firstLine="480"/>
        <w:rPr>
          <w:szCs w:val="24"/>
          <w:lang w:eastAsia="zh-CN"/>
        </w:rPr>
      </w:pPr>
      <w:bookmarkStart w:id="16" w:name="_Toc216843716"/>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10.1</w:t>
      </w:r>
      <w:r>
        <w:rPr>
          <w:rFonts w:hint="eastAsia"/>
          <w:szCs w:val="24"/>
          <w:lang w:eastAsia="zh-CN"/>
        </w:rPr>
        <w:t>段</w:t>
      </w:r>
    </w:p>
    <w:p w:rsidR="0025696A" w:rsidRDefault="0025696A" w:rsidP="003B17C5">
      <w:pPr>
        <w:pStyle w:val="Heading2"/>
        <w:rPr>
          <w:lang w:eastAsia="zh-CN"/>
        </w:rPr>
      </w:pPr>
      <w:r>
        <w:rPr>
          <w:rFonts w:hint="eastAsia"/>
          <w:lang w:eastAsia="zh-CN"/>
        </w:rPr>
        <w:t>印刷和散发</w:t>
      </w:r>
      <w:r w:rsidR="00525112">
        <w:rPr>
          <w:rFonts w:hint="eastAsia"/>
          <w:lang w:eastAsia="zh-CN"/>
        </w:rPr>
        <w:t>工作</w:t>
      </w:r>
      <w:r>
        <w:rPr>
          <w:rFonts w:hint="eastAsia"/>
          <w:lang w:eastAsia="zh-CN"/>
        </w:rPr>
        <w:t>成果</w:t>
      </w:r>
      <w:bookmarkEnd w:id="16"/>
    </w:p>
    <w:p w:rsidR="0025696A" w:rsidRDefault="0025696A" w:rsidP="00C854F6">
      <w:pPr>
        <w:ind w:firstLineChars="200" w:firstLine="480"/>
        <w:rPr>
          <w:szCs w:val="24"/>
          <w:lang w:eastAsia="zh-CN"/>
        </w:rPr>
      </w:pPr>
      <w:bookmarkStart w:id="17" w:name="_Toc216843717"/>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10.2</w:t>
      </w:r>
      <w:r>
        <w:rPr>
          <w:rFonts w:hint="eastAsia"/>
          <w:szCs w:val="24"/>
          <w:lang w:eastAsia="zh-CN"/>
        </w:rPr>
        <w:t>段</w:t>
      </w:r>
    </w:p>
    <w:bookmarkEnd w:id="17"/>
    <w:p w:rsidR="0025696A" w:rsidRPr="00013F72" w:rsidRDefault="0025696A" w:rsidP="003B17C5">
      <w:pPr>
        <w:pStyle w:val="Heading2"/>
        <w:rPr>
          <w:bCs/>
          <w:szCs w:val="24"/>
          <w:lang w:eastAsia="zh-CN"/>
        </w:rPr>
      </w:pPr>
      <w:r>
        <w:rPr>
          <w:rFonts w:hint="eastAsia"/>
          <w:lang w:val="en-CA" w:eastAsia="zh-CN"/>
        </w:rPr>
        <w:t>进度</w:t>
      </w:r>
      <w:r w:rsidRPr="003B17C5">
        <w:rPr>
          <w:rFonts w:hint="eastAsia"/>
          <w:lang w:eastAsia="zh-CN"/>
        </w:rPr>
        <w:t>报告</w:t>
      </w:r>
    </w:p>
    <w:p w:rsidR="0025696A" w:rsidRDefault="0025696A" w:rsidP="00C854F6">
      <w:pPr>
        <w:ind w:firstLineChars="200" w:firstLine="480"/>
        <w:rPr>
          <w:szCs w:val="24"/>
          <w:lang w:eastAsia="zh-CN"/>
        </w:rPr>
      </w:pPr>
      <w:bookmarkStart w:id="18" w:name="_Toc216843718"/>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11</w:t>
      </w:r>
      <w:r>
        <w:rPr>
          <w:rFonts w:hint="eastAsia"/>
          <w:szCs w:val="24"/>
          <w:lang w:eastAsia="zh-CN"/>
        </w:rPr>
        <w:t>段</w:t>
      </w:r>
    </w:p>
    <w:bookmarkEnd w:id="18"/>
    <w:p w:rsidR="0025696A" w:rsidRPr="00013F72" w:rsidRDefault="0025696A" w:rsidP="003B17C5">
      <w:pPr>
        <w:pStyle w:val="Heading2"/>
        <w:rPr>
          <w:bCs/>
          <w:szCs w:val="24"/>
          <w:lang w:eastAsia="zh-CN"/>
        </w:rPr>
      </w:pPr>
      <w:r>
        <w:rPr>
          <w:rFonts w:hint="eastAsia"/>
          <w:lang w:val="en-CA" w:eastAsia="zh-CN"/>
        </w:rPr>
        <w:t>公布会议信息</w:t>
      </w:r>
    </w:p>
    <w:p w:rsidR="0025696A" w:rsidRDefault="0025696A" w:rsidP="00C854F6">
      <w:pPr>
        <w:ind w:firstLineChars="200" w:firstLine="480"/>
        <w:rPr>
          <w:szCs w:val="24"/>
          <w:lang w:eastAsia="zh-CN"/>
        </w:rPr>
      </w:pPr>
      <w:bookmarkStart w:id="19" w:name="_Toc216843719"/>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12</w:t>
      </w:r>
      <w:r>
        <w:rPr>
          <w:rFonts w:hint="eastAsia"/>
          <w:szCs w:val="24"/>
          <w:lang w:eastAsia="zh-CN"/>
        </w:rPr>
        <w:t>段</w:t>
      </w:r>
    </w:p>
    <w:p w:rsidR="0025696A" w:rsidRPr="00013F72" w:rsidRDefault="0025696A" w:rsidP="003B17C5">
      <w:pPr>
        <w:pStyle w:val="Heading2"/>
        <w:rPr>
          <w:lang w:eastAsia="zh-CN"/>
        </w:rPr>
      </w:pPr>
      <w:r>
        <w:rPr>
          <w:rFonts w:hint="eastAsia"/>
          <w:lang w:eastAsia="zh-CN"/>
        </w:rPr>
        <w:t>工作指南</w:t>
      </w:r>
      <w:bookmarkEnd w:id="19"/>
    </w:p>
    <w:p w:rsidR="0025696A" w:rsidRPr="00125014" w:rsidRDefault="0025696A" w:rsidP="00C854F6">
      <w:pPr>
        <w:ind w:firstLineChars="200" w:firstLine="480"/>
        <w:rPr>
          <w:szCs w:val="24"/>
          <w:lang w:eastAsia="zh-CN"/>
        </w:rPr>
      </w:pPr>
      <w:r>
        <w:rPr>
          <w:rFonts w:hint="eastAsia"/>
          <w:szCs w:val="24"/>
          <w:lang w:eastAsia="zh-CN"/>
        </w:rPr>
        <w:t>依据</w:t>
      </w:r>
      <w:r w:rsidRPr="00EE186F">
        <w:rPr>
          <w:szCs w:val="24"/>
          <w:lang w:eastAsia="zh-CN"/>
        </w:rPr>
        <w:t>A.7</w:t>
      </w:r>
      <w:r>
        <w:rPr>
          <w:rFonts w:hint="eastAsia"/>
          <w:szCs w:val="24"/>
          <w:lang w:eastAsia="zh-CN"/>
        </w:rPr>
        <w:t>，第</w:t>
      </w:r>
      <w:r>
        <w:rPr>
          <w:rFonts w:hint="eastAsia"/>
          <w:szCs w:val="24"/>
          <w:lang w:eastAsia="zh-CN"/>
        </w:rPr>
        <w:t>13</w:t>
      </w:r>
      <w:r>
        <w:rPr>
          <w:rFonts w:hint="eastAsia"/>
          <w:szCs w:val="24"/>
          <w:lang w:eastAsia="zh-CN"/>
        </w:rPr>
        <w:t>段</w:t>
      </w:r>
    </w:p>
    <w:p w:rsidR="0025696A" w:rsidRDefault="0025696A" w:rsidP="00C854F6">
      <w:pPr>
        <w:rPr>
          <w:rFonts w:eastAsia="MS Mincho"/>
          <w:lang w:eastAsia="ja-JP"/>
        </w:rPr>
      </w:pPr>
      <w:r>
        <w:rPr>
          <w:rFonts w:eastAsia="MS Mincho"/>
          <w:lang w:eastAsia="ja-JP"/>
        </w:rPr>
        <w:br w:type="page"/>
      </w:r>
    </w:p>
    <w:p w:rsidR="0025696A" w:rsidRDefault="004806D6" w:rsidP="0025696A">
      <w:pPr>
        <w:tabs>
          <w:tab w:val="clear" w:pos="794"/>
        </w:tabs>
        <w:jc w:val="center"/>
        <w:rPr>
          <w:rFonts w:eastAsiaTheme="minorEastAsia"/>
          <w:szCs w:val="24"/>
          <w:lang w:val="en-US" w:eastAsia="zh-CN"/>
        </w:rPr>
      </w:pPr>
      <w:r>
        <w:rPr>
          <w:rFonts w:eastAsiaTheme="minorEastAsia"/>
          <w:szCs w:val="24"/>
          <w:lang w:val="en-US" w:eastAsia="zh-CN"/>
        </w:rPr>
        <w:lastRenderedPageBreak/>
        <w:t>ANNEX 2</w:t>
      </w:r>
    </w:p>
    <w:p w:rsidR="004806D6" w:rsidRPr="004806D6" w:rsidRDefault="004806D6" w:rsidP="0025696A">
      <w:pPr>
        <w:tabs>
          <w:tab w:val="clear" w:pos="794"/>
        </w:tabs>
        <w:jc w:val="center"/>
        <w:rPr>
          <w:lang w:val="en-US" w:eastAsia="zh-CN"/>
        </w:rPr>
      </w:pPr>
      <w:r>
        <w:rPr>
          <w:rFonts w:eastAsiaTheme="minorEastAsia"/>
          <w:szCs w:val="24"/>
          <w:lang w:val="en-US" w:eastAsia="zh-CN"/>
        </w:rPr>
        <w:t>(to TSB Circular 253)</w:t>
      </w:r>
    </w:p>
    <w:p w:rsidR="0025696A" w:rsidRPr="000E76D9" w:rsidRDefault="0025696A" w:rsidP="0025696A">
      <w:pPr>
        <w:tabs>
          <w:tab w:val="clear" w:pos="794"/>
        </w:tabs>
        <w:jc w:val="center"/>
        <w:rPr>
          <w:rFonts w:eastAsia="Times New Roman"/>
          <w:b/>
          <w:bCs/>
        </w:rPr>
      </w:pPr>
      <w:r w:rsidRPr="000E76D9">
        <w:rPr>
          <w:rFonts w:eastAsia="Times New Roman"/>
          <w:b/>
          <w:bCs/>
        </w:rPr>
        <w:t>Draft agenda for the first meeting of FG innovation</w:t>
      </w:r>
    </w:p>
    <w:p w:rsidR="0025696A" w:rsidRPr="000E76D9" w:rsidRDefault="0025696A" w:rsidP="0025696A">
      <w:pPr>
        <w:tabs>
          <w:tab w:val="clear" w:pos="794"/>
        </w:tabs>
        <w:jc w:val="center"/>
        <w:rPr>
          <w:rFonts w:eastAsia="Times New Roman"/>
          <w:b/>
          <w:bCs/>
        </w:rPr>
      </w:pPr>
      <w:r w:rsidRPr="000E76D9">
        <w:rPr>
          <w:rFonts w:eastAsia="Times New Roman"/>
          <w:b/>
          <w:bCs/>
        </w:rPr>
        <w:t>Geneva, 19 and 21 March 2012</w:t>
      </w:r>
    </w:p>
    <w:p w:rsidR="0025696A" w:rsidRPr="000E76D9" w:rsidRDefault="0025696A" w:rsidP="0025696A">
      <w:pPr>
        <w:tabs>
          <w:tab w:val="clear" w:pos="794"/>
        </w:tabs>
        <w:jc w:val="center"/>
        <w:rPr>
          <w:rFonts w:eastAsia="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tblGrid>
      <w:tr w:rsidR="0025696A" w:rsidRPr="000E76D9" w:rsidTr="00C854F6">
        <w:tc>
          <w:tcPr>
            <w:tcW w:w="817" w:type="dxa"/>
            <w:shd w:val="clear" w:color="auto" w:fill="auto"/>
          </w:tcPr>
          <w:p w:rsidR="0025696A" w:rsidRPr="000E76D9" w:rsidRDefault="0025696A" w:rsidP="00C854F6">
            <w:pPr>
              <w:keepNext/>
              <w:tabs>
                <w:tab w:val="clear" w:pos="794"/>
                <w:tab w:val="clear" w:pos="1191"/>
                <w:tab w:val="clear" w:pos="1588"/>
                <w:tab w:val="clear" w:pos="1985"/>
              </w:tabs>
              <w:spacing w:after="120"/>
              <w:rPr>
                <w:rFonts w:eastAsia="Times New Roman"/>
                <w:b/>
                <w:bCs/>
                <w:sz w:val="22"/>
                <w:szCs w:val="22"/>
              </w:rPr>
            </w:pPr>
          </w:p>
        </w:tc>
        <w:tc>
          <w:tcPr>
            <w:tcW w:w="7088" w:type="dxa"/>
            <w:shd w:val="clear" w:color="auto" w:fill="auto"/>
          </w:tcPr>
          <w:p w:rsidR="0025696A" w:rsidRPr="000E76D9" w:rsidRDefault="0025696A" w:rsidP="00C854F6">
            <w:pPr>
              <w:keepNext/>
              <w:tabs>
                <w:tab w:val="clear" w:pos="794"/>
                <w:tab w:val="clear" w:pos="1191"/>
                <w:tab w:val="clear" w:pos="1588"/>
                <w:tab w:val="clear" w:pos="1985"/>
              </w:tabs>
              <w:spacing w:after="120"/>
              <w:rPr>
                <w:rFonts w:eastAsia="Times New Roman"/>
                <w:b/>
                <w:bCs/>
                <w:sz w:val="22"/>
                <w:szCs w:val="22"/>
              </w:rPr>
            </w:pPr>
            <w:r w:rsidRPr="000E76D9">
              <w:rPr>
                <w:rFonts w:eastAsia="Times New Roman"/>
                <w:b/>
                <w:bCs/>
                <w:sz w:val="22"/>
                <w:szCs w:val="22"/>
              </w:rPr>
              <w:t>19 March 2012</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PM</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Opening Plenary</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1</w:t>
            </w:r>
          </w:p>
        </w:tc>
        <w:tc>
          <w:tcPr>
            <w:tcW w:w="7088" w:type="dxa"/>
            <w:shd w:val="clear" w:color="auto" w:fill="auto"/>
          </w:tcPr>
          <w:p w:rsidR="0025696A" w:rsidRPr="000E76D9" w:rsidRDefault="0025696A" w:rsidP="00C854F6">
            <w:pPr>
              <w:rPr>
                <w:rFonts w:eastAsia="Times New Roman"/>
                <w:sz w:val="22"/>
                <w:szCs w:val="22"/>
              </w:rPr>
            </w:pPr>
            <w:r w:rsidRPr="000E76D9">
              <w:rPr>
                <w:rFonts w:eastAsia="Times New Roman"/>
                <w:sz w:val="22"/>
                <w:szCs w:val="22"/>
              </w:rPr>
              <w:t>Welcome, opening of the Focus Group Innovation and introductions</w:t>
            </w:r>
          </w:p>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2</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Approval of draft agenda</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3</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Presentation of the Terms of Reference</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4</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Establishment of the management team</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5</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Review of the proposed working methods</w:t>
            </w:r>
          </w:p>
        </w:tc>
      </w:tr>
      <w:tr w:rsidR="0025696A" w:rsidRPr="000E76D9" w:rsidTr="00C854F6">
        <w:tc>
          <w:tcPr>
            <w:tcW w:w="817" w:type="dxa"/>
            <w:tcBorders>
              <w:bottom w:val="single" w:sz="4" w:space="0" w:color="auto"/>
            </w:tcBorders>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6</w:t>
            </w:r>
          </w:p>
        </w:tc>
        <w:tc>
          <w:tcPr>
            <w:tcW w:w="7088" w:type="dxa"/>
            <w:tcBorders>
              <w:bottom w:val="single" w:sz="4" w:space="0" w:color="auto"/>
            </w:tcBorders>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Discuss Draft work plan</w:t>
            </w:r>
          </w:p>
        </w:tc>
      </w:tr>
      <w:tr w:rsidR="0025696A" w:rsidRPr="000E76D9" w:rsidTr="00C854F6">
        <w:tc>
          <w:tcPr>
            <w:tcW w:w="817" w:type="dxa"/>
            <w:tcBorders>
              <w:left w:val="nil"/>
              <w:right w:val="nil"/>
            </w:tcBorders>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b/>
                <w:bCs/>
                <w:sz w:val="22"/>
                <w:szCs w:val="22"/>
              </w:rPr>
            </w:pPr>
          </w:p>
        </w:tc>
        <w:tc>
          <w:tcPr>
            <w:tcW w:w="7088" w:type="dxa"/>
            <w:tcBorders>
              <w:left w:val="nil"/>
              <w:right w:val="nil"/>
            </w:tcBorders>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b/>
                <w:bCs/>
                <w:sz w:val="22"/>
                <w:szCs w:val="22"/>
              </w:rPr>
            </w:pPr>
          </w:p>
        </w:tc>
      </w:tr>
      <w:tr w:rsidR="0025696A" w:rsidRPr="000E76D9" w:rsidTr="00C854F6">
        <w:tc>
          <w:tcPr>
            <w:tcW w:w="817" w:type="dxa"/>
            <w:shd w:val="clear" w:color="auto" w:fill="auto"/>
          </w:tcPr>
          <w:p w:rsidR="0025696A" w:rsidRPr="000E76D9" w:rsidRDefault="0025696A" w:rsidP="00C854F6">
            <w:pPr>
              <w:keepNext/>
              <w:tabs>
                <w:tab w:val="clear" w:pos="794"/>
                <w:tab w:val="clear" w:pos="1191"/>
                <w:tab w:val="clear" w:pos="1588"/>
                <w:tab w:val="clear" w:pos="1985"/>
              </w:tabs>
              <w:spacing w:after="120"/>
              <w:rPr>
                <w:rFonts w:eastAsia="Times New Roman"/>
                <w:b/>
                <w:bCs/>
                <w:sz w:val="22"/>
                <w:szCs w:val="22"/>
              </w:rPr>
            </w:pPr>
          </w:p>
        </w:tc>
        <w:tc>
          <w:tcPr>
            <w:tcW w:w="7088" w:type="dxa"/>
            <w:shd w:val="clear" w:color="auto" w:fill="auto"/>
          </w:tcPr>
          <w:p w:rsidR="0025696A" w:rsidRPr="000E76D9" w:rsidRDefault="0025696A" w:rsidP="00C854F6">
            <w:pPr>
              <w:keepNext/>
              <w:tabs>
                <w:tab w:val="clear" w:pos="794"/>
                <w:tab w:val="clear" w:pos="1191"/>
                <w:tab w:val="clear" w:pos="1588"/>
                <w:tab w:val="clear" w:pos="1985"/>
              </w:tabs>
              <w:spacing w:after="120"/>
              <w:rPr>
                <w:rFonts w:eastAsia="Times New Roman"/>
                <w:b/>
                <w:bCs/>
                <w:sz w:val="22"/>
                <w:szCs w:val="22"/>
              </w:rPr>
            </w:pPr>
            <w:r w:rsidRPr="000E76D9">
              <w:rPr>
                <w:rFonts w:eastAsia="Times New Roman"/>
                <w:b/>
                <w:bCs/>
                <w:sz w:val="22"/>
                <w:szCs w:val="22"/>
              </w:rPr>
              <w:t>21 March 2012</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PM</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Closing Plenary</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1</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i/>
                <w:iCs/>
                <w:sz w:val="22"/>
                <w:szCs w:val="22"/>
              </w:rPr>
            </w:pPr>
            <w:r w:rsidRPr="000E76D9">
              <w:rPr>
                <w:rFonts w:eastAsia="Times New Roman"/>
                <w:sz w:val="22"/>
                <w:szCs w:val="22"/>
              </w:rPr>
              <w:t>Organization of the work of the FG Innovation</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2</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Finalize work plan and establishment of working groups and their respective work programmes</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3</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Deliverables</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4</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Sponsor and finances of the FG Innovation</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5</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Next meeting</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6</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Any other business</w:t>
            </w:r>
          </w:p>
        </w:tc>
      </w:tr>
      <w:tr w:rsidR="0025696A" w:rsidRPr="000E76D9" w:rsidTr="00C854F6">
        <w:tc>
          <w:tcPr>
            <w:tcW w:w="817"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7</w:t>
            </w:r>
          </w:p>
        </w:tc>
        <w:tc>
          <w:tcPr>
            <w:tcW w:w="7088" w:type="dxa"/>
            <w:shd w:val="clear" w:color="auto" w:fill="auto"/>
          </w:tcPr>
          <w:p w:rsidR="0025696A" w:rsidRPr="000E76D9" w:rsidRDefault="0025696A" w:rsidP="00C854F6">
            <w:pPr>
              <w:tabs>
                <w:tab w:val="clear" w:pos="794"/>
                <w:tab w:val="clear" w:pos="1191"/>
                <w:tab w:val="clear" w:pos="1588"/>
                <w:tab w:val="clear" w:pos="1985"/>
              </w:tabs>
              <w:spacing w:before="40" w:after="20"/>
              <w:rPr>
                <w:rFonts w:eastAsia="Times New Roman"/>
                <w:sz w:val="22"/>
                <w:szCs w:val="22"/>
              </w:rPr>
            </w:pPr>
            <w:r w:rsidRPr="000E76D9">
              <w:rPr>
                <w:rFonts w:eastAsia="Times New Roman"/>
                <w:sz w:val="22"/>
                <w:szCs w:val="22"/>
              </w:rPr>
              <w:t>Close of meeting</w:t>
            </w:r>
          </w:p>
        </w:tc>
      </w:tr>
    </w:tbl>
    <w:p w:rsidR="0025696A" w:rsidRPr="000E76D9" w:rsidRDefault="0025696A" w:rsidP="0025696A">
      <w:pPr>
        <w:ind w:left="-142"/>
        <w:rPr>
          <w:rFonts w:eastAsia="Times New Roman"/>
          <w:i/>
          <w:iCs/>
        </w:rPr>
      </w:pPr>
      <w:r w:rsidRPr="000E76D9">
        <w:rPr>
          <w:rFonts w:eastAsia="Times New Roman"/>
          <w:i/>
          <w:iCs/>
        </w:rPr>
        <w:t xml:space="preserve">Note: A workshop on ICT innovations would be held on 20-21 March 2012 (See programme at </w:t>
      </w:r>
      <w:r w:rsidRPr="000E76D9">
        <w:rPr>
          <w:rFonts w:eastAsia="Times New Roman"/>
          <w:i/>
          <w:iCs/>
        </w:rPr>
        <w:br/>
        <w:t>Annex 4)</w:t>
      </w:r>
    </w:p>
    <w:p w:rsidR="004806D6" w:rsidRDefault="0025696A" w:rsidP="004806D6">
      <w:pPr>
        <w:tabs>
          <w:tab w:val="clear" w:pos="794"/>
        </w:tabs>
        <w:jc w:val="center"/>
        <w:rPr>
          <w:rFonts w:eastAsiaTheme="minorEastAsia"/>
          <w:szCs w:val="24"/>
          <w:lang w:val="en-US" w:eastAsia="zh-CN"/>
        </w:rPr>
      </w:pPr>
      <w:r w:rsidRPr="000E76D9">
        <w:rPr>
          <w:rFonts w:eastAsia="Times New Roman"/>
          <w:lang w:eastAsia="zh-CN"/>
        </w:rPr>
        <w:br w:type="page"/>
      </w:r>
      <w:r w:rsidR="004806D6">
        <w:rPr>
          <w:rFonts w:eastAsiaTheme="minorEastAsia"/>
          <w:szCs w:val="24"/>
          <w:lang w:val="en-US" w:eastAsia="zh-CN"/>
        </w:rPr>
        <w:lastRenderedPageBreak/>
        <w:t>ANNEX 3</w:t>
      </w:r>
    </w:p>
    <w:p w:rsidR="004806D6" w:rsidRDefault="004806D6" w:rsidP="004806D6">
      <w:pPr>
        <w:tabs>
          <w:tab w:val="clear" w:pos="794"/>
        </w:tabs>
        <w:spacing w:after="120"/>
        <w:jc w:val="center"/>
        <w:rPr>
          <w:rFonts w:eastAsiaTheme="minorEastAsia"/>
          <w:szCs w:val="24"/>
          <w:lang w:val="en-US" w:eastAsia="zh-CN"/>
        </w:rPr>
      </w:pPr>
      <w:r>
        <w:rPr>
          <w:rFonts w:eastAsiaTheme="minorEastAsia"/>
          <w:szCs w:val="24"/>
          <w:lang w:val="en-US" w:eastAsia="zh-CN"/>
        </w:rPr>
        <w:t>(to TSB Circular 253)</w:t>
      </w:r>
    </w:p>
    <w:p w:rsidR="0025696A" w:rsidRPr="000E76D9" w:rsidRDefault="0025696A" w:rsidP="004806D6">
      <w:pPr>
        <w:tabs>
          <w:tab w:val="clear" w:pos="794"/>
        </w:tabs>
        <w:spacing w:after="120"/>
        <w:jc w:val="center"/>
        <w:rPr>
          <w:rFonts w:eastAsia="Times New Roman"/>
          <w:b/>
          <w:bCs/>
        </w:rPr>
      </w:pPr>
      <w:r w:rsidRPr="000E76D9">
        <w:rPr>
          <w:rFonts w:eastAsia="Times New Roman"/>
          <w:b/>
          <w:bCs/>
        </w:rPr>
        <w:t>Workshop on ICT Innovations Draft Programme</w:t>
      </w:r>
    </w:p>
    <w:tbl>
      <w:tblPr>
        <w:tblW w:w="5018" w:type="pct"/>
        <w:tblInd w:w="282" w:type="dxa"/>
        <w:shd w:val="clear" w:color="auto" w:fill="FFFFFF"/>
        <w:tblCellMar>
          <w:left w:w="0" w:type="dxa"/>
          <w:right w:w="0" w:type="dxa"/>
        </w:tblCellMar>
        <w:tblLook w:val="04A0" w:firstRow="1" w:lastRow="0" w:firstColumn="1" w:lastColumn="0" w:noHBand="0" w:noVBand="1"/>
      </w:tblPr>
      <w:tblGrid>
        <w:gridCol w:w="269"/>
        <w:gridCol w:w="2075"/>
        <w:gridCol w:w="7546"/>
      </w:tblGrid>
      <w:tr w:rsidR="0025696A" w:rsidRPr="000E76D9" w:rsidTr="00C854F6">
        <w:tc>
          <w:tcPr>
            <w:tcW w:w="5000" w:type="pct"/>
            <w:gridSpan w:val="3"/>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before="96" w:after="96" w:line="240" w:lineRule="atLeast"/>
              <w:jc w:val="center"/>
              <w:rPr>
                <w:rFonts w:ascii="Cambria" w:eastAsia="Times New Roman" w:hAnsi="Cambria"/>
                <w:szCs w:val="24"/>
                <w:lang w:val="en-US" w:eastAsia="zh-CN"/>
              </w:rPr>
            </w:pPr>
            <w:r w:rsidRPr="000E76D9">
              <w:rPr>
                <w:rFonts w:ascii="Cambria" w:eastAsia="Times New Roman" w:hAnsi="Cambria"/>
                <w:b/>
                <w:bCs/>
                <w:i/>
                <w:iCs/>
                <w:szCs w:val="24"/>
                <w:lang w:val="en-US" w:eastAsia="zh-CN"/>
              </w:rPr>
              <w:t>Day 1: Tuesday 20 March</w:t>
            </w:r>
          </w:p>
        </w:tc>
      </w:tr>
      <w:tr w:rsidR="0025696A" w:rsidRPr="000E76D9" w:rsidTr="00C854F6">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vAlign w:val="center"/>
            <w:hideMark/>
          </w:tcPr>
          <w:p w:rsidR="0025696A" w:rsidRPr="000E76D9" w:rsidRDefault="0025696A" w:rsidP="00C854F6">
            <w:pPr>
              <w:keepNext/>
              <w:tabs>
                <w:tab w:val="clear" w:pos="794"/>
                <w:tab w:val="clear" w:pos="1191"/>
                <w:tab w:val="clear" w:pos="1588"/>
                <w:tab w:val="clear" w:pos="1985"/>
              </w:tabs>
              <w:spacing w:before="96" w:after="48" w:line="240" w:lineRule="atLeast"/>
              <w:rPr>
                <w:rFonts w:ascii="Cambria" w:eastAsia="Times New Roman" w:hAnsi="Cambria"/>
                <w:szCs w:val="24"/>
                <w:lang w:val="en-US" w:eastAsia="zh-CN"/>
              </w:rPr>
            </w:pPr>
            <w:r w:rsidRPr="000E76D9">
              <w:rPr>
                <w:rFonts w:ascii="Cambria" w:eastAsia="Times New Roman" w:hAnsi="Cambria"/>
                <w:szCs w:val="24"/>
                <w:lang w:val="en-US" w:eastAsia="zh-CN"/>
              </w:rPr>
              <w:t> </w:t>
            </w: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vAlign w:val="center"/>
            <w:hideMark/>
          </w:tcPr>
          <w:p w:rsidR="0025696A" w:rsidRPr="000E76D9" w:rsidRDefault="0025696A" w:rsidP="00C854F6">
            <w:pPr>
              <w:keepNext/>
              <w:spacing w:after="100" w:afterAutospacing="1" w:line="240" w:lineRule="atLeast"/>
              <w:rPr>
                <w:rFonts w:ascii="Cambria" w:hAnsi="Cambria"/>
                <w:szCs w:val="24"/>
              </w:rPr>
            </w:pPr>
            <w:r w:rsidRPr="000E76D9">
              <w:rPr>
                <w:rFonts w:ascii="Cambria" w:eastAsia="Times New Roman" w:hAnsi="Cambria"/>
                <w:color w:val="212F23"/>
              </w:rPr>
              <w:t>08.30 – 09.30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after="75" w:line="240" w:lineRule="atLeast"/>
              <w:rPr>
                <w:rFonts w:ascii="Cambria" w:eastAsia="Times New Roman" w:hAnsi="Cambria"/>
                <w:szCs w:val="24"/>
                <w:lang w:val="en-US" w:eastAsia="zh-CN"/>
              </w:rPr>
            </w:pPr>
            <w:r w:rsidRPr="000E76D9">
              <w:rPr>
                <w:rFonts w:ascii="Cambria" w:eastAsia="Times New Roman" w:hAnsi="Cambria"/>
                <w:i/>
                <w:iCs/>
                <w:color w:val="0F243E"/>
                <w:szCs w:val="24"/>
                <w:lang w:val="en-US" w:eastAsia="zh-CN"/>
              </w:rPr>
              <w:t>Delegates registration</w:t>
            </w:r>
          </w:p>
        </w:tc>
      </w:tr>
      <w:tr w:rsidR="0025696A" w:rsidRPr="000E76D9" w:rsidTr="00C854F6">
        <w:trPr>
          <w:trHeight w:val="583"/>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before="96" w:after="48" w:line="240" w:lineRule="atLeast"/>
              <w:rPr>
                <w:rFonts w:ascii="Cambria" w:eastAsia="Times New Roman" w:hAnsi="Cambria"/>
                <w:szCs w:val="24"/>
                <w:lang w:val="en-US" w:eastAsia="zh-CN"/>
              </w:rPr>
            </w:pPr>
            <w:r w:rsidRPr="000E76D9">
              <w:rPr>
                <w:rFonts w:ascii="Cambria" w:eastAsia="Times New Roman" w:hAnsi="Cambria"/>
                <w:szCs w:val="24"/>
                <w:lang w:val="en-US" w:eastAsia="zh-CN"/>
              </w:rPr>
              <w:t> </w:t>
            </w: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after="100" w:afterAutospacing="1" w:line="240" w:lineRule="atLeast"/>
              <w:rPr>
                <w:rFonts w:ascii="Cambria" w:hAnsi="Cambria"/>
                <w:szCs w:val="24"/>
              </w:rPr>
            </w:pPr>
            <w:r w:rsidRPr="000E76D9">
              <w:rPr>
                <w:rFonts w:ascii="Cambria" w:eastAsia="Times New Roman" w:hAnsi="Cambria"/>
                <w:color w:val="212F23"/>
              </w:rPr>
              <w:t>09.30 – 10.00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after="100" w:afterAutospacing="1" w:line="240" w:lineRule="atLeast"/>
              <w:rPr>
                <w:rFonts w:ascii="Cambria" w:hAnsi="Cambria"/>
                <w:szCs w:val="24"/>
              </w:rPr>
            </w:pPr>
            <w:r w:rsidRPr="000E76D9">
              <w:rPr>
                <w:rFonts w:ascii="Cambria" w:eastAsia="Times New Roman" w:hAnsi="Cambria"/>
                <w:b/>
                <w:bCs/>
                <w:i/>
                <w:iCs/>
                <w:color w:val="0F243E"/>
              </w:rPr>
              <w:t xml:space="preserve">Opening Ceremony </w:t>
            </w:r>
          </w:p>
        </w:tc>
      </w:tr>
      <w:tr w:rsidR="0025696A" w:rsidRPr="000E76D9" w:rsidTr="00C854F6">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before="75" w:after="75" w:line="240" w:lineRule="atLeast"/>
              <w:rPr>
                <w:rFonts w:ascii="Cambria" w:eastAsia="Times New Roman" w:hAnsi="Cambria"/>
                <w:szCs w:val="24"/>
                <w:lang w:val="en-US" w:eastAsia="zh-CN"/>
              </w:rPr>
            </w:pPr>
            <w:r w:rsidRPr="000E76D9">
              <w:rPr>
                <w:rFonts w:ascii="Cambria" w:eastAsia="Times New Roman" w:hAnsi="Cambria"/>
                <w:b/>
                <w:bCs/>
                <w:i/>
                <w:iCs/>
                <w:color w:val="212F23"/>
                <w:szCs w:val="24"/>
                <w:lang w:val="en-US" w:eastAsia="zh-CN"/>
              </w:rPr>
              <w:t> </w:t>
            </w:r>
          </w:p>
        </w:tc>
        <w:tc>
          <w:tcPr>
            <w:tcW w:w="4864" w:type="pct"/>
            <w:gridSpan w:val="2"/>
            <w:tcBorders>
              <w:top w:val="nil"/>
              <w:left w:val="nil"/>
              <w:bottom w:val="single" w:sz="8" w:space="0" w:color="4F6228"/>
              <w:right w:val="single" w:sz="8" w:space="0" w:color="4F6228"/>
            </w:tcBorders>
            <w:shd w:val="clear" w:color="auto" w:fill="B8CCE4"/>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before="75" w:after="75" w:line="240" w:lineRule="atLeast"/>
              <w:rPr>
                <w:rFonts w:ascii="Cambria" w:eastAsia="Times New Roman" w:hAnsi="Cambria"/>
                <w:szCs w:val="24"/>
                <w:lang w:val="en-US" w:eastAsia="zh-CN"/>
              </w:rPr>
            </w:pPr>
            <w:r w:rsidRPr="000E76D9">
              <w:rPr>
                <w:rFonts w:ascii="Cambria" w:eastAsia="Times New Roman" w:hAnsi="Cambria"/>
                <w:b/>
                <w:bCs/>
                <w:i/>
                <w:iCs/>
                <w:color w:val="212F23"/>
                <w:szCs w:val="24"/>
                <w:lang w:val="en-US" w:eastAsia="zh-CN"/>
              </w:rPr>
              <w:t>10.00 – 10.15      Coffee break </w:t>
            </w:r>
          </w:p>
        </w:tc>
      </w:tr>
      <w:tr w:rsidR="0025696A" w:rsidRPr="000E76D9" w:rsidTr="00C854F6">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spacing w:before="100" w:beforeAutospacing="1" w:after="100" w:afterAutospacing="1" w:line="240" w:lineRule="atLeast"/>
              <w:rPr>
                <w:rFonts w:ascii="Cambria" w:hAnsi="Cambria"/>
                <w:szCs w:val="24"/>
              </w:rPr>
            </w:pPr>
            <w:r w:rsidRPr="000E76D9">
              <w:rPr>
                <w:rFonts w:ascii="Cambria" w:eastAsia="Times New Roman" w:hAnsi="Cambria"/>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after="100" w:afterAutospacing="1" w:line="240" w:lineRule="atLeast"/>
              <w:rPr>
                <w:rFonts w:ascii="Cambria" w:hAnsi="Cambria"/>
                <w:szCs w:val="24"/>
              </w:rPr>
            </w:pPr>
            <w:r w:rsidRPr="000E76D9">
              <w:rPr>
                <w:rFonts w:ascii="Cambria" w:eastAsia="Times New Roman" w:hAnsi="Cambria"/>
                <w:color w:val="0F243E"/>
              </w:rPr>
              <w:t>10:15</w:t>
            </w:r>
            <w:r w:rsidRPr="000E76D9">
              <w:rPr>
                <w:rFonts w:ascii="Cambria" w:eastAsia="Times New Roman" w:hAnsi="Cambria"/>
                <w:color w:val="212F23"/>
              </w:rPr>
              <w:t xml:space="preserve"> – 12.00</w:t>
            </w:r>
          </w:p>
        </w:tc>
        <w:tc>
          <w:tcPr>
            <w:tcW w:w="3815"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line="240" w:lineRule="atLeast"/>
              <w:rPr>
                <w:rFonts w:ascii="Cambria" w:eastAsia="Times New Roman" w:hAnsi="Cambria"/>
                <w:b/>
                <w:bCs/>
                <w:i/>
                <w:iCs/>
                <w:color w:val="0F243E"/>
                <w:szCs w:val="24"/>
              </w:rPr>
            </w:pPr>
            <w:r w:rsidRPr="000E76D9">
              <w:rPr>
                <w:rFonts w:ascii="Cambria" w:eastAsia="Times New Roman" w:hAnsi="Cambria"/>
                <w:b/>
                <w:bCs/>
                <w:i/>
                <w:iCs/>
                <w:color w:val="0F243E"/>
              </w:rPr>
              <w:t>Session 1: Innovation Management</w:t>
            </w:r>
          </w:p>
          <w:p w:rsidR="0025696A" w:rsidRPr="000E76D9" w:rsidRDefault="0025696A" w:rsidP="00C854F6">
            <w:pPr>
              <w:keepNext/>
              <w:spacing w:before="0" w:line="240" w:lineRule="atLeast"/>
              <w:rPr>
                <w:rFonts w:ascii="Cambria" w:hAnsi="Cambria"/>
                <w:color w:val="0F243E"/>
                <w:szCs w:val="24"/>
              </w:rPr>
            </w:pPr>
            <w:r w:rsidRPr="000E76D9">
              <w:rPr>
                <w:rFonts w:ascii="Cambria" w:eastAsia="Times New Roman" w:hAnsi="Cambria"/>
                <w:color w:val="0F243E"/>
              </w:rPr>
              <w:t>Innovation has always been crucial to economic growth, and never more so than in this era of globalization.  But globalization can create innovation winners and losers. This session will explore the strategic importance of nurturing innovation in the developing world and the enabling role that ICTs can play in achieving this.</w:t>
            </w:r>
          </w:p>
        </w:tc>
      </w:tr>
      <w:tr w:rsidR="0025696A" w:rsidRPr="000E76D9" w:rsidTr="00C854F6">
        <w:trPr>
          <w:cantSplit/>
          <w:trHeight w:val="360"/>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before="75" w:after="75" w:line="240" w:lineRule="atLeast"/>
              <w:rPr>
                <w:rFonts w:ascii="Cambria" w:eastAsia="Times New Roman" w:hAnsi="Cambria"/>
                <w:szCs w:val="24"/>
                <w:lang w:val="en-US" w:eastAsia="zh-CN"/>
              </w:rPr>
            </w:pPr>
            <w:r w:rsidRPr="000E76D9">
              <w:rPr>
                <w:rFonts w:ascii="Cambria" w:eastAsia="Times New Roman" w:hAnsi="Cambria"/>
                <w:b/>
                <w:bCs/>
                <w:i/>
                <w:iCs/>
                <w:color w:val="212F23"/>
                <w:szCs w:val="24"/>
                <w:lang w:val="en-US" w:eastAsia="zh-CN"/>
              </w:rPr>
              <w:t> </w:t>
            </w:r>
          </w:p>
        </w:tc>
        <w:tc>
          <w:tcPr>
            <w:tcW w:w="4864" w:type="pct"/>
            <w:gridSpan w:val="2"/>
            <w:tcBorders>
              <w:top w:val="single" w:sz="8" w:space="0" w:color="1F59A2"/>
              <w:left w:val="nil"/>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before="75" w:after="75" w:line="240" w:lineRule="atLeast"/>
              <w:rPr>
                <w:rFonts w:ascii="Cambria" w:eastAsia="Times New Roman" w:hAnsi="Cambria"/>
                <w:szCs w:val="24"/>
                <w:lang w:val="en-US" w:eastAsia="zh-CN"/>
              </w:rPr>
            </w:pPr>
            <w:r w:rsidRPr="000E76D9">
              <w:rPr>
                <w:rFonts w:ascii="Cambria" w:eastAsia="Times New Roman" w:hAnsi="Cambria"/>
                <w:b/>
                <w:bCs/>
                <w:i/>
                <w:iCs/>
                <w:color w:val="212F23"/>
                <w:szCs w:val="24"/>
                <w:lang w:val="en-US" w:eastAsia="zh-CN"/>
              </w:rPr>
              <w:t>12.00 – 14.00       Lunch</w:t>
            </w:r>
          </w:p>
        </w:tc>
      </w:tr>
      <w:tr w:rsidR="0025696A" w:rsidRPr="000E76D9" w:rsidTr="00C854F6">
        <w:trPr>
          <w:cantSplit/>
          <w:trHeight w:val="1359"/>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spacing w:before="100" w:beforeAutospacing="1" w:after="100" w:afterAutospacing="1" w:line="240" w:lineRule="atLeast"/>
              <w:rPr>
                <w:rFonts w:ascii="Cambria" w:hAnsi="Cambria"/>
                <w:szCs w:val="24"/>
              </w:rPr>
            </w:pPr>
            <w:r w:rsidRPr="000E76D9">
              <w:rPr>
                <w:rFonts w:ascii="Cambria" w:eastAsia="Times New Roman" w:hAnsi="Cambria"/>
              </w:rPr>
              <w:t> </w:t>
            </w:r>
          </w:p>
        </w:tc>
        <w:tc>
          <w:tcPr>
            <w:tcW w:w="1049"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after="100" w:afterAutospacing="1" w:line="240" w:lineRule="atLeast"/>
              <w:rPr>
                <w:rFonts w:ascii="Cambria" w:hAnsi="Cambria"/>
                <w:szCs w:val="24"/>
              </w:rPr>
            </w:pPr>
            <w:r w:rsidRPr="000E76D9">
              <w:rPr>
                <w:rFonts w:ascii="Cambria" w:eastAsia="Times New Roman" w:hAnsi="Cambria"/>
                <w:color w:val="0F243E"/>
              </w:rPr>
              <w:t>14.00 – 16.00</w:t>
            </w:r>
          </w:p>
        </w:tc>
        <w:tc>
          <w:tcPr>
            <w:tcW w:w="3815"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tcPr>
          <w:p w:rsidR="0025696A" w:rsidRPr="000E76D9" w:rsidRDefault="0025696A" w:rsidP="00C854F6">
            <w:pPr>
              <w:keepNext/>
              <w:tabs>
                <w:tab w:val="clear" w:pos="794"/>
                <w:tab w:val="clear" w:pos="1191"/>
                <w:tab w:val="clear" w:pos="1588"/>
                <w:tab w:val="clear" w:pos="1985"/>
              </w:tabs>
              <w:spacing w:after="75" w:line="240" w:lineRule="atLeast"/>
              <w:rPr>
                <w:rFonts w:ascii="Cambria" w:eastAsia="Times New Roman" w:hAnsi="Cambria"/>
                <w:b/>
                <w:bCs/>
                <w:i/>
                <w:iCs/>
                <w:color w:val="0F243E"/>
                <w:szCs w:val="24"/>
                <w:lang w:val="en-US" w:eastAsia="zh-CN"/>
              </w:rPr>
            </w:pPr>
            <w:r w:rsidRPr="000E76D9">
              <w:rPr>
                <w:rFonts w:ascii="Cambria" w:eastAsia="Times New Roman" w:hAnsi="Cambria"/>
                <w:b/>
                <w:bCs/>
                <w:i/>
                <w:iCs/>
                <w:color w:val="0F243E"/>
                <w:szCs w:val="24"/>
                <w:lang w:val="en-US" w:eastAsia="zh-CN"/>
              </w:rPr>
              <w:t xml:space="preserve">Session 2: World Café@ Innovation </w:t>
            </w:r>
          </w:p>
          <w:p w:rsidR="0025696A" w:rsidRPr="000E76D9" w:rsidRDefault="0025696A" w:rsidP="00C854F6">
            <w:pPr>
              <w:keepNext/>
              <w:tabs>
                <w:tab w:val="clear" w:pos="794"/>
                <w:tab w:val="clear" w:pos="1191"/>
                <w:tab w:val="clear" w:pos="1588"/>
                <w:tab w:val="clear" w:pos="1985"/>
              </w:tabs>
              <w:spacing w:before="75" w:after="75" w:line="240" w:lineRule="atLeast"/>
              <w:rPr>
                <w:rFonts w:ascii="Cambria" w:eastAsia="Times New Roman" w:hAnsi="Cambria"/>
                <w:szCs w:val="24"/>
                <w:lang w:val="en-US" w:eastAsia="zh-CN"/>
              </w:rPr>
            </w:pPr>
            <w:r w:rsidRPr="000E76D9">
              <w:rPr>
                <w:rFonts w:ascii="Cambria" w:eastAsia="Times New Roman" w:hAnsi="Cambria"/>
                <w:szCs w:val="24"/>
                <w:lang w:val="en-US" w:eastAsia="zh-CN"/>
              </w:rPr>
              <w:t>This session will be conducted in a World Café Style to ensure the active involvement of each and every participant in a generative discussion around the key questions and issues that the Focus Group would need to address during its work and the working methods of the team.</w:t>
            </w:r>
          </w:p>
        </w:tc>
      </w:tr>
      <w:tr w:rsidR="0025696A" w:rsidRPr="000E76D9" w:rsidTr="00C854F6">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before="80" w:after="80" w:line="240" w:lineRule="atLeast"/>
              <w:jc w:val="center"/>
              <w:rPr>
                <w:rFonts w:ascii="Cambria" w:eastAsia="Times New Roman" w:hAnsi="Cambria"/>
                <w:szCs w:val="24"/>
                <w:lang w:val="en-US" w:eastAsia="zh-CN"/>
              </w:rPr>
            </w:pPr>
            <w:r w:rsidRPr="000E76D9">
              <w:rPr>
                <w:rFonts w:ascii="Cambria" w:eastAsia="Times New Roman" w:hAnsi="Cambria"/>
                <w:i/>
                <w:iCs/>
                <w:szCs w:val="24"/>
                <w:lang w:val="en-US" w:eastAsia="zh-CN"/>
              </w:rPr>
              <w:t> </w:t>
            </w:r>
          </w:p>
        </w:tc>
        <w:tc>
          <w:tcPr>
            <w:tcW w:w="4864" w:type="pct"/>
            <w:gridSpan w:val="2"/>
            <w:tcBorders>
              <w:top w:val="nil"/>
              <w:left w:val="nil"/>
              <w:bottom w:val="single" w:sz="8" w:space="0" w:color="4F6228"/>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before="75" w:after="75" w:line="240" w:lineRule="atLeast"/>
              <w:rPr>
                <w:rFonts w:ascii="Cambria" w:eastAsia="Times New Roman" w:hAnsi="Cambria"/>
                <w:szCs w:val="24"/>
                <w:lang w:val="en-US" w:eastAsia="zh-CN"/>
              </w:rPr>
            </w:pPr>
            <w:r w:rsidRPr="000E76D9">
              <w:rPr>
                <w:rFonts w:ascii="Cambria" w:eastAsia="Times New Roman" w:hAnsi="Cambria"/>
                <w:b/>
                <w:bCs/>
                <w:i/>
                <w:iCs/>
                <w:color w:val="212F23"/>
                <w:szCs w:val="24"/>
                <w:lang w:val="en-US" w:eastAsia="zh-CN"/>
              </w:rPr>
              <w:t>16.00 – 16.15     Coffee break </w:t>
            </w:r>
          </w:p>
        </w:tc>
      </w:tr>
      <w:tr w:rsidR="0025696A" w:rsidRPr="000E76D9" w:rsidTr="00C854F6">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spacing w:before="100" w:beforeAutospacing="1" w:after="100" w:afterAutospacing="1" w:line="240" w:lineRule="atLeast"/>
              <w:rPr>
                <w:rFonts w:ascii="Cambria" w:hAnsi="Cambria"/>
                <w:szCs w:val="24"/>
              </w:rPr>
            </w:pPr>
            <w:r w:rsidRPr="000E76D9">
              <w:rPr>
                <w:rFonts w:ascii="Cambria" w:eastAsia="Times New Roman" w:hAnsi="Cambria"/>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after="100" w:afterAutospacing="1" w:line="240" w:lineRule="atLeast"/>
              <w:rPr>
                <w:rFonts w:ascii="Cambria" w:hAnsi="Cambria"/>
                <w:szCs w:val="24"/>
              </w:rPr>
            </w:pPr>
            <w:r w:rsidRPr="000E76D9">
              <w:rPr>
                <w:rFonts w:ascii="Cambria" w:eastAsia="Times New Roman" w:hAnsi="Cambria"/>
              </w:rPr>
              <w:t>16.15 – 17.15</w:t>
            </w:r>
          </w:p>
        </w:tc>
        <w:tc>
          <w:tcPr>
            <w:tcW w:w="3815" w:type="pct"/>
            <w:tcBorders>
              <w:top w:val="single" w:sz="8" w:space="0" w:color="4F6228"/>
              <w:left w:val="nil"/>
              <w:bottom w:val="nil"/>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after="75" w:line="240" w:lineRule="atLeast"/>
              <w:rPr>
                <w:rFonts w:ascii="Cambria" w:eastAsia="Times New Roman" w:hAnsi="Cambria"/>
                <w:b/>
                <w:bCs/>
                <w:i/>
                <w:iCs/>
                <w:color w:val="0F243E"/>
                <w:szCs w:val="24"/>
                <w:lang w:val="en-US" w:eastAsia="zh-CN"/>
              </w:rPr>
            </w:pPr>
            <w:r w:rsidRPr="000E76D9">
              <w:rPr>
                <w:rFonts w:ascii="Cambria" w:eastAsia="Times New Roman" w:hAnsi="Cambria"/>
                <w:b/>
                <w:bCs/>
                <w:i/>
                <w:iCs/>
                <w:color w:val="0F243E"/>
                <w:szCs w:val="24"/>
                <w:lang w:val="en-US" w:eastAsia="zh-CN"/>
              </w:rPr>
              <w:t>Session 2: World Café @ Innovation (Continued)</w:t>
            </w:r>
          </w:p>
        </w:tc>
      </w:tr>
      <w:tr w:rsidR="0025696A" w:rsidRPr="000E76D9" w:rsidTr="00C854F6">
        <w:trPr>
          <w:cantSplit/>
        </w:trPr>
        <w:tc>
          <w:tcPr>
            <w:tcW w:w="136" w:type="pct"/>
            <w:tcBorders>
              <w:top w:val="nil"/>
              <w:left w:val="single" w:sz="8" w:space="0" w:color="auto"/>
              <w:bottom w:val="single" w:sz="8" w:space="0" w:color="4F6228"/>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spacing w:before="100" w:beforeAutospacing="1" w:after="100" w:afterAutospacing="1" w:line="240" w:lineRule="atLeast"/>
              <w:rPr>
                <w:rFonts w:ascii="Cambria" w:hAnsi="Cambria"/>
                <w:szCs w:val="24"/>
              </w:rPr>
            </w:pPr>
            <w:r w:rsidRPr="000E76D9">
              <w:rPr>
                <w:rFonts w:ascii="Cambria" w:eastAsia="Times New Roman" w:hAnsi="Cambria"/>
              </w:rPr>
              <w:t> </w:t>
            </w:r>
          </w:p>
        </w:tc>
        <w:tc>
          <w:tcPr>
            <w:tcW w:w="1049"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after="100" w:afterAutospacing="1" w:line="240" w:lineRule="atLeast"/>
              <w:rPr>
                <w:rFonts w:ascii="Cambria" w:hAnsi="Cambria"/>
                <w:szCs w:val="24"/>
              </w:rPr>
            </w:pPr>
            <w:r w:rsidRPr="000E76D9">
              <w:rPr>
                <w:rFonts w:ascii="Cambria" w:eastAsia="Times New Roman" w:hAnsi="Cambria"/>
                <w:color w:val="212F23"/>
              </w:rPr>
              <w:t>17.15 – 17.30</w:t>
            </w:r>
          </w:p>
        </w:tc>
        <w:tc>
          <w:tcPr>
            <w:tcW w:w="3815"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after="120" w:line="240" w:lineRule="atLeast"/>
              <w:rPr>
                <w:rFonts w:ascii="Cambria" w:hAnsi="Cambria"/>
                <w:szCs w:val="24"/>
              </w:rPr>
            </w:pPr>
            <w:r w:rsidRPr="000E76D9">
              <w:rPr>
                <w:rFonts w:ascii="Cambria" w:eastAsia="Times New Roman" w:hAnsi="Cambria"/>
                <w:i/>
                <w:iCs/>
                <w:color w:val="0F243E"/>
              </w:rPr>
              <w:t>Wrap up  Day 1</w:t>
            </w:r>
          </w:p>
        </w:tc>
      </w:tr>
    </w:tbl>
    <w:p w:rsidR="0025696A" w:rsidRPr="000E76D9" w:rsidRDefault="0025696A" w:rsidP="0025696A">
      <w:pPr>
        <w:tabs>
          <w:tab w:val="clear" w:pos="794"/>
        </w:tabs>
        <w:rPr>
          <w:rFonts w:eastAsia="Times New Roman"/>
        </w:rPr>
      </w:pPr>
    </w:p>
    <w:tbl>
      <w:tblPr>
        <w:tblW w:w="5018" w:type="pct"/>
        <w:tblInd w:w="282" w:type="dxa"/>
        <w:shd w:val="clear" w:color="auto" w:fill="FFFFFF"/>
        <w:tblCellMar>
          <w:left w:w="0" w:type="dxa"/>
          <w:right w:w="0" w:type="dxa"/>
        </w:tblCellMar>
        <w:tblLook w:val="04A0" w:firstRow="1" w:lastRow="0" w:firstColumn="1" w:lastColumn="0" w:noHBand="0" w:noVBand="1"/>
      </w:tblPr>
      <w:tblGrid>
        <w:gridCol w:w="269"/>
        <w:gridCol w:w="2075"/>
        <w:gridCol w:w="7546"/>
      </w:tblGrid>
      <w:tr w:rsidR="0025696A" w:rsidRPr="000E76D9" w:rsidTr="00C854F6">
        <w:trPr>
          <w:tblHeader/>
        </w:trPr>
        <w:tc>
          <w:tcPr>
            <w:tcW w:w="5000" w:type="pct"/>
            <w:gridSpan w:val="3"/>
            <w:tcBorders>
              <w:top w:val="single" w:sz="8" w:space="0" w:color="auto"/>
              <w:left w:val="single" w:sz="8" w:space="0" w:color="auto"/>
              <w:bottom w:val="single" w:sz="8" w:space="0" w:color="4F6228"/>
              <w:right w:val="single" w:sz="8" w:space="0" w:color="auto"/>
            </w:tcBorders>
            <w:shd w:val="clear" w:color="auto" w:fill="C6D9F1"/>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before="96" w:after="96" w:line="240" w:lineRule="atLeast"/>
              <w:jc w:val="center"/>
              <w:rPr>
                <w:rFonts w:ascii="Cambria" w:eastAsia="Times New Roman" w:hAnsi="Cambria"/>
                <w:szCs w:val="24"/>
                <w:lang w:val="en-US" w:eastAsia="zh-CN"/>
              </w:rPr>
            </w:pPr>
            <w:r w:rsidRPr="000E76D9">
              <w:rPr>
                <w:rFonts w:ascii="Cambria" w:eastAsia="Times New Roman" w:hAnsi="Cambria"/>
                <w:b/>
                <w:bCs/>
                <w:i/>
                <w:iCs/>
                <w:szCs w:val="24"/>
                <w:lang w:val="en-US" w:eastAsia="zh-CN"/>
              </w:rPr>
              <w:t>Day 2: Wednesday 21 March</w:t>
            </w:r>
          </w:p>
        </w:tc>
      </w:tr>
      <w:tr w:rsidR="0025696A" w:rsidRPr="000E76D9" w:rsidTr="00C854F6">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spacing w:before="100" w:beforeAutospacing="1" w:after="100" w:afterAutospacing="1" w:line="240" w:lineRule="atLeast"/>
              <w:rPr>
                <w:rFonts w:ascii="Cambria" w:hAnsi="Cambria"/>
                <w:szCs w:val="24"/>
              </w:rPr>
            </w:pPr>
            <w:r w:rsidRPr="000E76D9">
              <w:rPr>
                <w:rFonts w:ascii="Cambria" w:eastAsia="Times New Roman" w:hAnsi="Cambria"/>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after="100" w:afterAutospacing="1" w:line="240" w:lineRule="atLeast"/>
              <w:rPr>
                <w:rFonts w:ascii="Cambria" w:hAnsi="Cambria"/>
                <w:szCs w:val="24"/>
              </w:rPr>
            </w:pPr>
            <w:r w:rsidRPr="000E76D9">
              <w:rPr>
                <w:rFonts w:ascii="Cambria" w:eastAsia="Times New Roman" w:hAnsi="Cambria"/>
                <w:color w:val="0F243E"/>
              </w:rPr>
              <w:t> 09.00 – 10.30</w:t>
            </w:r>
          </w:p>
        </w:tc>
        <w:tc>
          <w:tcPr>
            <w:tcW w:w="3815"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line="240" w:lineRule="atLeast"/>
              <w:rPr>
                <w:rFonts w:ascii="Cambria" w:eastAsia="Times New Roman" w:hAnsi="Cambria"/>
                <w:szCs w:val="24"/>
              </w:rPr>
            </w:pPr>
            <w:r w:rsidRPr="000E76D9">
              <w:rPr>
                <w:rFonts w:ascii="Cambria" w:eastAsia="Times New Roman" w:hAnsi="Cambria"/>
                <w:b/>
                <w:bCs/>
                <w:i/>
                <w:iCs/>
                <w:color w:val="0F243E"/>
              </w:rPr>
              <w:t>Session 3: Innovator’s Corner</w:t>
            </w:r>
          </w:p>
          <w:p w:rsidR="0025696A" w:rsidRPr="000E76D9" w:rsidRDefault="0025696A" w:rsidP="00C854F6">
            <w:pPr>
              <w:keepNext/>
              <w:spacing w:before="0" w:after="120" w:line="240" w:lineRule="atLeast"/>
              <w:rPr>
                <w:rFonts w:ascii="Cambria" w:hAnsi="Cambria"/>
                <w:color w:val="0F243E"/>
                <w:szCs w:val="24"/>
              </w:rPr>
            </w:pPr>
            <w:r w:rsidRPr="000E76D9">
              <w:rPr>
                <w:rFonts w:ascii="Cambria" w:eastAsia="Times New Roman" w:hAnsi="Cambria"/>
                <w:color w:val="0F243E"/>
              </w:rPr>
              <w:t>During this session, presentations on successful ICT innovations will be made identifying the socioeconomic impact of the implementation and its applicability for the developing world.</w:t>
            </w:r>
          </w:p>
        </w:tc>
      </w:tr>
      <w:tr w:rsidR="0025696A" w:rsidRPr="000E76D9" w:rsidTr="00C854F6">
        <w:trPr>
          <w:cantSplit/>
          <w:trHeight w:val="547"/>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spacing w:before="0"/>
              <w:rPr>
                <w:rFonts w:ascii="Calibri" w:hAnsi="Calibri" w:cs="Arial"/>
                <w:szCs w:val="22"/>
              </w:rPr>
            </w:pPr>
          </w:p>
        </w:tc>
        <w:tc>
          <w:tcPr>
            <w:tcW w:w="4864" w:type="pct"/>
            <w:gridSpan w:val="2"/>
            <w:tcBorders>
              <w:top w:val="single" w:sz="8" w:space="0" w:color="4F6228"/>
              <w:left w:val="nil"/>
              <w:bottom w:val="outset" w:sz="8" w:space="0" w:color="4F6228"/>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keepNext/>
              <w:spacing w:after="100" w:afterAutospacing="1" w:line="240" w:lineRule="atLeast"/>
              <w:rPr>
                <w:rFonts w:ascii="Cambria" w:hAnsi="Cambria"/>
                <w:szCs w:val="24"/>
              </w:rPr>
            </w:pPr>
            <w:r w:rsidRPr="000E76D9">
              <w:rPr>
                <w:rFonts w:ascii="Cambria" w:eastAsia="Times New Roman" w:hAnsi="Cambria"/>
              </w:rPr>
              <w:t> </w:t>
            </w:r>
            <w:r w:rsidRPr="000E76D9">
              <w:rPr>
                <w:rFonts w:ascii="Cambria" w:eastAsia="Times New Roman" w:hAnsi="Cambria"/>
                <w:b/>
                <w:bCs/>
                <w:i/>
                <w:iCs/>
                <w:color w:val="212F23"/>
              </w:rPr>
              <w:t>10.30  – 10.45      Coffee break </w:t>
            </w:r>
          </w:p>
        </w:tc>
      </w:tr>
      <w:tr w:rsidR="0025696A" w:rsidRPr="000E76D9" w:rsidTr="00C854F6">
        <w:trPr>
          <w:cantSplit/>
          <w:trHeight w:val="245"/>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spacing w:before="0"/>
              <w:rPr>
                <w:rFonts w:ascii="Calibri" w:hAnsi="Calibri" w:cs="Arial"/>
                <w:szCs w:val="22"/>
              </w:rPr>
            </w:pPr>
          </w:p>
        </w:tc>
        <w:tc>
          <w:tcPr>
            <w:tcW w:w="1049" w:type="pct"/>
            <w:tcBorders>
              <w:top w:val="nil"/>
              <w:left w:val="nil"/>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after="100" w:afterAutospacing="1" w:line="240" w:lineRule="atLeast"/>
              <w:rPr>
                <w:rFonts w:ascii="Cambria" w:hAnsi="Cambria"/>
                <w:color w:val="212F23"/>
                <w:szCs w:val="24"/>
              </w:rPr>
            </w:pPr>
            <w:r w:rsidRPr="000E76D9">
              <w:rPr>
                <w:rFonts w:ascii="Cambria" w:eastAsia="Times New Roman" w:hAnsi="Cambria"/>
                <w:color w:val="212F23"/>
              </w:rPr>
              <w:t>10.45 – 12.00</w:t>
            </w:r>
          </w:p>
        </w:tc>
        <w:tc>
          <w:tcPr>
            <w:tcW w:w="3815" w:type="pct"/>
            <w:tcBorders>
              <w:top w:val="nil"/>
              <w:left w:val="nil"/>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line="240" w:lineRule="atLeast"/>
              <w:rPr>
                <w:rFonts w:ascii="Cambria" w:eastAsia="Times New Roman" w:hAnsi="Cambria"/>
                <w:b/>
                <w:bCs/>
                <w:i/>
                <w:iCs/>
                <w:color w:val="0F243E"/>
                <w:szCs w:val="24"/>
              </w:rPr>
            </w:pPr>
            <w:r w:rsidRPr="000E76D9">
              <w:rPr>
                <w:rFonts w:ascii="Cambria" w:eastAsia="Times New Roman" w:hAnsi="Cambria"/>
                <w:b/>
                <w:bCs/>
                <w:i/>
                <w:iCs/>
                <w:color w:val="0F243E"/>
              </w:rPr>
              <w:t>Session 4: Standardization Corner</w:t>
            </w:r>
          </w:p>
          <w:p w:rsidR="0025696A" w:rsidRPr="000E76D9" w:rsidRDefault="0025696A" w:rsidP="00C854F6">
            <w:pPr>
              <w:keepNext/>
              <w:spacing w:before="0" w:after="100" w:afterAutospacing="1" w:line="240" w:lineRule="atLeast"/>
              <w:rPr>
                <w:rFonts w:ascii="Cambria" w:hAnsi="Cambria"/>
                <w:b/>
                <w:bCs/>
                <w:i/>
                <w:iCs/>
                <w:color w:val="0F243E"/>
                <w:szCs w:val="24"/>
              </w:rPr>
            </w:pPr>
            <w:r w:rsidRPr="000E76D9">
              <w:rPr>
                <w:rFonts w:ascii="Cambria" w:eastAsia="Times New Roman" w:hAnsi="Cambria"/>
                <w:color w:val="0F243E"/>
              </w:rPr>
              <w:t>Standards play a key role in the virtuous cycle of innovation. They allow technology investment to concentrate in a much smaller area of innovation. During this session, presentations on the link between standards and innovation will demonstrate the importance of  global standards for developing countries.</w:t>
            </w:r>
          </w:p>
        </w:tc>
      </w:tr>
      <w:tr w:rsidR="0025696A" w:rsidRPr="000E76D9" w:rsidTr="00C854F6">
        <w:trPr>
          <w:cantSplit/>
          <w:trHeight w:val="245"/>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5696A" w:rsidRPr="000E76D9" w:rsidRDefault="0025696A" w:rsidP="00C854F6">
            <w:pPr>
              <w:spacing w:before="0"/>
              <w:rPr>
                <w:rFonts w:ascii="Calibri" w:hAnsi="Calibri" w:cs="Arial"/>
                <w:szCs w:val="22"/>
              </w:rPr>
            </w:pP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spacing w:after="100" w:afterAutospacing="1" w:line="240" w:lineRule="atLeast"/>
              <w:rPr>
                <w:rFonts w:ascii="Cambria" w:hAnsi="Cambria"/>
                <w:color w:val="212F23"/>
                <w:szCs w:val="24"/>
              </w:rPr>
            </w:pPr>
            <w:r w:rsidRPr="000E76D9">
              <w:rPr>
                <w:rFonts w:ascii="Cambria" w:eastAsia="Times New Roman" w:hAnsi="Cambria"/>
                <w:color w:val="212F23"/>
              </w:rPr>
              <w:t>12.00 – 12.30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25696A" w:rsidRPr="000E76D9" w:rsidRDefault="0025696A" w:rsidP="00C854F6">
            <w:pPr>
              <w:keepNext/>
              <w:tabs>
                <w:tab w:val="clear" w:pos="794"/>
                <w:tab w:val="clear" w:pos="1191"/>
                <w:tab w:val="clear" w:pos="1588"/>
                <w:tab w:val="clear" w:pos="1985"/>
              </w:tabs>
              <w:spacing w:after="75" w:line="240" w:lineRule="atLeast"/>
              <w:rPr>
                <w:rFonts w:ascii="Cambria" w:eastAsia="Times New Roman" w:hAnsi="Cambria"/>
                <w:b/>
                <w:bCs/>
                <w:color w:val="0F243E"/>
                <w:szCs w:val="24"/>
                <w:lang w:val="en-US" w:eastAsia="zh-CN"/>
              </w:rPr>
            </w:pPr>
            <w:r w:rsidRPr="000E76D9">
              <w:rPr>
                <w:rFonts w:ascii="Cambria" w:eastAsia="Times New Roman" w:hAnsi="Cambria"/>
                <w:b/>
                <w:bCs/>
                <w:color w:val="0F243E"/>
                <w:szCs w:val="24"/>
                <w:lang w:val="en-US" w:eastAsia="zh-CN"/>
              </w:rPr>
              <w:t xml:space="preserve">Concluding Remarks </w:t>
            </w:r>
          </w:p>
        </w:tc>
      </w:tr>
    </w:tbl>
    <w:p w:rsidR="0025696A" w:rsidRDefault="0025696A" w:rsidP="0025696A">
      <w:pPr>
        <w:tabs>
          <w:tab w:val="clear" w:pos="794"/>
          <w:tab w:val="clear" w:pos="1191"/>
          <w:tab w:val="clear" w:pos="1588"/>
          <w:tab w:val="clear" w:pos="1985"/>
        </w:tabs>
        <w:spacing w:before="0"/>
        <w:rPr>
          <w:lang w:eastAsia="zh-CN"/>
        </w:rPr>
      </w:pPr>
    </w:p>
    <w:p w:rsidR="004806D6" w:rsidRDefault="004806D6" w:rsidP="004806D6">
      <w:pPr>
        <w:tabs>
          <w:tab w:val="clear" w:pos="794"/>
        </w:tabs>
        <w:jc w:val="center"/>
        <w:rPr>
          <w:rFonts w:eastAsiaTheme="minorEastAsia"/>
          <w:szCs w:val="24"/>
          <w:lang w:val="en-US" w:eastAsia="zh-CN"/>
        </w:rPr>
      </w:pPr>
      <w:r>
        <w:rPr>
          <w:rFonts w:eastAsiaTheme="minorEastAsia"/>
          <w:szCs w:val="24"/>
          <w:lang w:val="en-US" w:eastAsia="zh-CN"/>
        </w:rPr>
        <w:lastRenderedPageBreak/>
        <w:t>ANNEX 4</w:t>
      </w:r>
    </w:p>
    <w:p w:rsidR="0025696A" w:rsidRDefault="004806D6" w:rsidP="004806D6">
      <w:pPr>
        <w:tabs>
          <w:tab w:val="clear" w:pos="794"/>
        </w:tabs>
        <w:spacing w:after="120"/>
        <w:jc w:val="center"/>
        <w:rPr>
          <w:lang w:eastAsia="zh-CN"/>
        </w:rPr>
      </w:pPr>
      <w:r>
        <w:rPr>
          <w:rFonts w:eastAsiaTheme="minorEastAsia"/>
          <w:szCs w:val="24"/>
          <w:lang w:val="en-US" w:eastAsia="zh-CN"/>
        </w:rPr>
        <w:t>(to TSB Circular 253)</w:t>
      </w:r>
    </w:p>
    <w:tbl>
      <w:tblPr>
        <w:tblW w:w="0" w:type="auto"/>
        <w:jc w:val="center"/>
        <w:tblLayout w:type="fixed"/>
        <w:tblLook w:val="0000" w:firstRow="0" w:lastRow="0" w:firstColumn="0" w:lastColumn="0" w:noHBand="0" w:noVBand="0"/>
      </w:tblPr>
      <w:tblGrid>
        <w:gridCol w:w="9360"/>
      </w:tblGrid>
      <w:tr w:rsidR="0025696A" w:rsidRPr="00C67AB9" w:rsidTr="00C854F6">
        <w:trPr>
          <w:cantSplit/>
          <w:jc w:val="center"/>
        </w:trPr>
        <w:tc>
          <w:tcPr>
            <w:tcW w:w="9360" w:type="dxa"/>
            <w:tcBorders>
              <w:top w:val="single" w:sz="6" w:space="0" w:color="auto"/>
              <w:left w:val="single" w:sz="6" w:space="0" w:color="auto"/>
              <w:bottom w:val="single" w:sz="6" w:space="0" w:color="auto"/>
              <w:right w:val="single" w:sz="6" w:space="0" w:color="auto"/>
            </w:tcBorders>
          </w:tcPr>
          <w:p w:rsidR="0025696A" w:rsidRDefault="0025696A" w:rsidP="00C854F6">
            <w:pPr>
              <w:tabs>
                <w:tab w:val="left" w:pos="1440"/>
                <w:tab w:val="left" w:pos="8647"/>
              </w:tabs>
              <w:spacing w:before="0"/>
              <w:ind w:right="133"/>
              <w:jc w:val="center"/>
              <w:rPr>
                <w:i/>
                <w:sz w:val="20"/>
                <w:lang w:eastAsia="zh-CN"/>
              </w:rPr>
            </w:pPr>
          </w:p>
          <w:p w:rsidR="0025696A" w:rsidRPr="001F5A0A" w:rsidRDefault="0025696A" w:rsidP="00C854F6">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48397C">
              <w:rPr>
                <w:b/>
                <w:bCs/>
                <w:i/>
                <w:szCs w:val="24"/>
              </w:rPr>
              <w:t>to the hotel</w:t>
            </w:r>
            <w:r w:rsidRPr="001F5A0A">
              <w:rPr>
                <w:b/>
                <w:i/>
                <w:szCs w:val="24"/>
              </w:rPr>
              <w:t xml:space="preserve"> </w:t>
            </w:r>
            <w:r w:rsidRPr="001F5A0A">
              <w:rPr>
                <w:i/>
                <w:szCs w:val="24"/>
              </w:rPr>
              <w:t>of your choice</w:t>
            </w:r>
          </w:p>
          <w:p w:rsidR="0025696A" w:rsidRPr="006C0802" w:rsidRDefault="0025696A" w:rsidP="00C854F6">
            <w:pPr>
              <w:spacing w:before="0" w:after="100"/>
              <w:ind w:right="130"/>
              <w:jc w:val="center"/>
              <w:rPr>
                <w:sz w:val="20"/>
              </w:rPr>
            </w:pPr>
          </w:p>
        </w:tc>
      </w:tr>
    </w:tbl>
    <w:p w:rsidR="0025696A" w:rsidRPr="00C67AB9" w:rsidRDefault="0025696A" w:rsidP="0025696A">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5696A" w:rsidTr="00C854F6">
        <w:trPr>
          <w:cantSplit/>
          <w:jc w:val="center"/>
        </w:trPr>
        <w:tc>
          <w:tcPr>
            <w:tcW w:w="1291" w:type="dxa"/>
          </w:tcPr>
          <w:p w:rsidR="0025696A" w:rsidRDefault="0025696A" w:rsidP="00C854F6">
            <w:pPr>
              <w:tabs>
                <w:tab w:val="center" w:pos="9639"/>
              </w:tabs>
              <w:spacing w:before="57"/>
              <w:ind w:right="-176"/>
              <w:jc w:val="center"/>
              <w:rPr>
                <w:sz w:val="28"/>
              </w:rPr>
            </w:pPr>
            <w:r>
              <w:rPr>
                <w:noProof/>
                <w:lang w:val="en-US" w:eastAsia="zh-CN"/>
              </w:rPr>
              <w:drawing>
                <wp:inline distT="0" distB="0" distL="0" distR="0" wp14:anchorId="624443E0" wp14:editId="6FECD924">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5696A" w:rsidRPr="001F5A0A" w:rsidRDefault="0025696A" w:rsidP="00C854F6">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5696A" w:rsidRDefault="0025696A" w:rsidP="00C854F6">
            <w:pPr>
              <w:tabs>
                <w:tab w:val="center" w:pos="9639"/>
              </w:tabs>
              <w:spacing w:before="57"/>
              <w:ind w:left="-142" w:right="-74"/>
              <w:jc w:val="center"/>
              <w:rPr>
                <w:sz w:val="28"/>
              </w:rPr>
            </w:pPr>
            <w:r>
              <w:rPr>
                <w:noProof/>
                <w:lang w:val="en-US" w:eastAsia="zh-CN"/>
              </w:rPr>
              <w:drawing>
                <wp:inline distT="0" distB="0" distL="0" distR="0" wp14:anchorId="6C532214" wp14:editId="4C4F379A">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5696A" w:rsidRDefault="0025696A" w:rsidP="0025696A">
      <w:pPr>
        <w:tabs>
          <w:tab w:val="left" w:pos="1440"/>
        </w:tabs>
        <w:spacing w:before="0"/>
        <w:ind w:left="284" w:right="-143"/>
        <w:jc w:val="center"/>
        <w:rPr>
          <w:b/>
        </w:rPr>
      </w:pPr>
    </w:p>
    <w:p w:rsidR="0025696A" w:rsidRPr="00403633" w:rsidRDefault="0025696A" w:rsidP="0025696A">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5696A" w:rsidRPr="00403633" w:rsidRDefault="0025696A" w:rsidP="0025696A">
      <w:pPr>
        <w:tabs>
          <w:tab w:val="left" w:pos="1440"/>
        </w:tabs>
        <w:spacing w:before="0"/>
        <w:ind w:left="284" w:right="-143"/>
        <w:rPr>
          <w:sz w:val="20"/>
          <w:lang w:val="en-US"/>
        </w:rPr>
      </w:pPr>
    </w:p>
    <w:p w:rsidR="0025696A" w:rsidRPr="00E20C97" w:rsidRDefault="0025696A" w:rsidP="0025696A">
      <w:pPr>
        <w:tabs>
          <w:tab w:val="left" w:pos="1440"/>
        </w:tabs>
        <w:spacing w:before="0"/>
        <w:ind w:left="284" w:right="515"/>
        <w:rPr>
          <w:sz w:val="20"/>
          <w:lang w:val="en-US"/>
        </w:rPr>
      </w:pPr>
      <w:r>
        <w:rPr>
          <w:i/>
          <w:sz w:val="20"/>
        </w:rPr>
        <w:t>Focus Group Innovation-----------------------------   from    -------------------------  to -----------------------</w:t>
      </w:r>
    </w:p>
    <w:p w:rsidR="0025696A" w:rsidRPr="00E20C97" w:rsidRDefault="0025696A" w:rsidP="0025696A">
      <w:pPr>
        <w:tabs>
          <w:tab w:val="left" w:pos="1440"/>
        </w:tabs>
        <w:spacing w:before="0"/>
        <w:ind w:left="284" w:right="515"/>
        <w:rPr>
          <w:sz w:val="20"/>
          <w:lang w:val="en-US"/>
        </w:rPr>
      </w:pPr>
    </w:p>
    <w:p w:rsidR="0025696A" w:rsidRPr="00E20C97" w:rsidRDefault="0025696A" w:rsidP="0025696A">
      <w:pPr>
        <w:tabs>
          <w:tab w:val="left" w:pos="1440"/>
        </w:tabs>
        <w:spacing w:before="0"/>
        <w:ind w:left="284" w:right="515"/>
        <w:rPr>
          <w:sz w:val="20"/>
          <w:lang w:val="en-US"/>
        </w:rPr>
      </w:pPr>
      <w:r>
        <w:rPr>
          <w:i/>
          <w:sz w:val="20"/>
        </w:rPr>
        <w:t>Confirmation of the reservation made on (date) -------------------------   with (hotel)   -------------------------------</w:t>
      </w:r>
    </w:p>
    <w:p w:rsidR="0025696A" w:rsidRPr="00E20C97" w:rsidRDefault="0025696A" w:rsidP="0025696A">
      <w:pPr>
        <w:tabs>
          <w:tab w:val="left" w:pos="1440"/>
        </w:tabs>
        <w:spacing w:before="0"/>
        <w:ind w:left="284" w:right="515"/>
        <w:rPr>
          <w:sz w:val="20"/>
          <w:lang w:val="en-US"/>
        </w:rPr>
      </w:pPr>
    </w:p>
    <w:p w:rsidR="0025696A" w:rsidRPr="00E20C97" w:rsidRDefault="0025696A" w:rsidP="0025696A">
      <w:pPr>
        <w:tabs>
          <w:tab w:val="left" w:pos="1440"/>
        </w:tabs>
        <w:spacing w:before="0"/>
        <w:ind w:left="284" w:right="515"/>
        <w:rPr>
          <w:sz w:val="20"/>
          <w:lang w:val="en-US"/>
        </w:rPr>
      </w:pPr>
    </w:p>
    <w:p w:rsidR="0025696A" w:rsidRPr="008B1814" w:rsidRDefault="0025696A" w:rsidP="0025696A">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25696A" w:rsidRPr="008B1814" w:rsidRDefault="0025696A" w:rsidP="0025696A">
      <w:pPr>
        <w:tabs>
          <w:tab w:val="left" w:pos="1440"/>
        </w:tabs>
        <w:spacing w:before="0"/>
        <w:ind w:left="284" w:right="515"/>
        <w:rPr>
          <w:sz w:val="20"/>
          <w:lang w:val="en-US"/>
        </w:rPr>
      </w:pPr>
    </w:p>
    <w:p w:rsidR="0025696A" w:rsidRDefault="0025696A" w:rsidP="0025696A">
      <w:pPr>
        <w:tabs>
          <w:tab w:val="left" w:pos="1440"/>
        </w:tabs>
        <w:spacing w:before="0"/>
        <w:ind w:left="284" w:right="515"/>
        <w:rPr>
          <w:i/>
          <w:sz w:val="20"/>
        </w:rPr>
      </w:pPr>
      <w:r>
        <w:rPr>
          <w:i/>
          <w:sz w:val="20"/>
        </w:rPr>
        <w:t>------------ single/double room(s)</w:t>
      </w:r>
    </w:p>
    <w:p w:rsidR="0025696A" w:rsidRDefault="0025696A" w:rsidP="0025696A">
      <w:pPr>
        <w:tabs>
          <w:tab w:val="left" w:pos="1440"/>
        </w:tabs>
        <w:spacing w:before="0"/>
        <w:ind w:left="284" w:right="515"/>
        <w:rPr>
          <w:i/>
          <w:sz w:val="20"/>
        </w:rPr>
      </w:pPr>
    </w:p>
    <w:p w:rsidR="0025696A" w:rsidRDefault="0025696A" w:rsidP="0025696A">
      <w:pPr>
        <w:tabs>
          <w:tab w:val="left" w:pos="1440"/>
        </w:tabs>
        <w:spacing w:before="0"/>
        <w:ind w:left="284" w:right="515"/>
        <w:rPr>
          <w:i/>
          <w:sz w:val="20"/>
        </w:rPr>
      </w:pPr>
      <w:r>
        <w:rPr>
          <w:i/>
          <w:sz w:val="20"/>
        </w:rPr>
        <w:t>arriving on (date) ---------------------------  at (time)  -------------  departing on (date) -------------------------------</w:t>
      </w:r>
    </w:p>
    <w:p w:rsidR="0025696A" w:rsidRDefault="0025696A" w:rsidP="0025696A">
      <w:pPr>
        <w:tabs>
          <w:tab w:val="left" w:pos="1440"/>
        </w:tabs>
        <w:spacing w:before="0"/>
        <w:ind w:left="284" w:right="515"/>
        <w:rPr>
          <w:sz w:val="20"/>
        </w:rPr>
      </w:pPr>
    </w:p>
    <w:p w:rsidR="0025696A" w:rsidRPr="00542259" w:rsidRDefault="0025696A" w:rsidP="0025696A">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25696A" w:rsidRPr="00C67AB9" w:rsidRDefault="0025696A" w:rsidP="0025696A">
      <w:pPr>
        <w:tabs>
          <w:tab w:val="left" w:pos="1440"/>
        </w:tabs>
        <w:spacing w:before="0"/>
        <w:ind w:left="284" w:right="515"/>
        <w:rPr>
          <w:sz w:val="20"/>
          <w:lang w:val="en-US"/>
        </w:rPr>
      </w:pPr>
    </w:p>
    <w:p w:rsidR="0025696A" w:rsidRPr="00C67AB9" w:rsidRDefault="0025696A" w:rsidP="0025696A">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5696A" w:rsidRPr="00C67AB9" w:rsidRDefault="0025696A" w:rsidP="0025696A">
      <w:pPr>
        <w:tabs>
          <w:tab w:val="left" w:pos="1440"/>
        </w:tabs>
        <w:spacing w:before="0"/>
        <w:ind w:left="284" w:right="515"/>
        <w:rPr>
          <w:sz w:val="20"/>
          <w:lang w:val="en-US"/>
        </w:rPr>
      </w:pPr>
    </w:p>
    <w:p w:rsidR="0025696A" w:rsidRPr="00C67AB9" w:rsidRDefault="0025696A" w:rsidP="0025696A">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5696A" w:rsidRPr="00C67AB9" w:rsidRDefault="0025696A" w:rsidP="0025696A">
      <w:pPr>
        <w:tabs>
          <w:tab w:val="left" w:pos="1440"/>
        </w:tabs>
        <w:spacing w:before="0"/>
        <w:ind w:left="284" w:right="515"/>
        <w:rPr>
          <w:sz w:val="20"/>
          <w:lang w:val="en-US"/>
        </w:rPr>
      </w:pPr>
    </w:p>
    <w:p w:rsidR="0025696A" w:rsidRPr="00C67AB9" w:rsidRDefault="0025696A" w:rsidP="0025696A">
      <w:pPr>
        <w:tabs>
          <w:tab w:val="left" w:pos="1440"/>
        </w:tabs>
        <w:spacing w:before="0"/>
        <w:ind w:left="284" w:right="515"/>
        <w:rPr>
          <w:sz w:val="20"/>
          <w:lang w:val="en-US"/>
        </w:rPr>
      </w:pPr>
    </w:p>
    <w:p w:rsidR="0025696A" w:rsidRPr="00C67AB9" w:rsidRDefault="0025696A" w:rsidP="0025696A">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5696A" w:rsidRPr="00C67AB9" w:rsidRDefault="0025696A" w:rsidP="0025696A">
      <w:pPr>
        <w:tabs>
          <w:tab w:val="left" w:pos="1440"/>
        </w:tabs>
        <w:spacing w:before="0"/>
        <w:ind w:left="284" w:right="515"/>
        <w:rPr>
          <w:i/>
          <w:iCs/>
          <w:sz w:val="20"/>
          <w:lang w:val="en-US"/>
        </w:rPr>
      </w:pPr>
    </w:p>
    <w:p w:rsidR="0025696A" w:rsidRPr="008B1814" w:rsidRDefault="0025696A" w:rsidP="0025696A">
      <w:pPr>
        <w:tabs>
          <w:tab w:val="left" w:pos="1440"/>
        </w:tabs>
        <w:spacing w:before="0"/>
        <w:ind w:left="284" w:right="515"/>
        <w:rPr>
          <w:i/>
          <w:iCs/>
          <w:sz w:val="20"/>
          <w:lang w:val="en-US"/>
        </w:rPr>
      </w:pPr>
      <w:r w:rsidRPr="008B1814">
        <w:rPr>
          <w:i/>
          <w:iCs/>
          <w:sz w:val="20"/>
          <w:lang w:val="en-US"/>
        </w:rPr>
        <w:t>-----------------------------------------------------------------------------------------         Fax:</w:t>
      </w:r>
      <w:r>
        <w:rPr>
          <w:i/>
          <w:iCs/>
          <w:sz w:val="20"/>
          <w:lang w:val="en-US"/>
        </w:rPr>
        <w:t xml:space="preserve"> -----------------------------</w:t>
      </w:r>
    </w:p>
    <w:p w:rsidR="0025696A" w:rsidRPr="008B1814" w:rsidRDefault="0025696A" w:rsidP="0025696A">
      <w:pPr>
        <w:tabs>
          <w:tab w:val="left" w:pos="1440"/>
        </w:tabs>
        <w:spacing w:before="0"/>
        <w:ind w:left="284" w:right="515"/>
        <w:rPr>
          <w:i/>
          <w:iCs/>
          <w:sz w:val="20"/>
          <w:lang w:val="en-US"/>
        </w:rPr>
      </w:pPr>
    </w:p>
    <w:p w:rsidR="0025696A" w:rsidRPr="00403633" w:rsidRDefault="0025696A" w:rsidP="0025696A">
      <w:pPr>
        <w:tabs>
          <w:tab w:val="left" w:pos="1440"/>
        </w:tabs>
        <w:spacing w:before="0"/>
        <w:ind w:left="284" w:right="515"/>
        <w:rPr>
          <w:sz w:val="20"/>
          <w:lang w:val="en-US"/>
        </w:rPr>
      </w:pPr>
      <w:r w:rsidRPr="00403633">
        <w:rPr>
          <w:i/>
          <w:iCs/>
          <w:sz w:val="20"/>
          <w:lang w:val="en-US"/>
        </w:rPr>
        <w:t>-----------------------------------------------------------------------------------------      E-mail:</w:t>
      </w:r>
      <w:r>
        <w:rPr>
          <w:sz w:val="20"/>
          <w:lang w:val="en-US"/>
        </w:rPr>
        <w:t xml:space="preserve"> ----------------------------</w:t>
      </w:r>
    </w:p>
    <w:p w:rsidR="0025696A" w:rsidRPr="00403633" w:rsidRDefault="0025696A" w:rsidP="0025696A">
      <w:pPr>
        <w:tabs>
          <w:tab w:val="left" w:pos="1440"/>
        </w:tabs>
        <w:spacing w:before="0"/>
        <w:ind w:left="284" w:right="515"/>
        <w:rPr>
          <w:sz w:val="20"/>
          <w:lang w:val="en-US"/>
        </w:rPr>
      </w:pPr>
    </w:p>
    <w:p w:rsidR="0025696A" w:rsidRPr="00403633" w:rsidRDefault="0025696A" w:rsidP="0025696A">
      <w:pPr>
        <w:tabs>
          <w:tab w:val="left" w:pos="1440"/>
        </w:tabs>
        <w:spacing w:before="0"/>
        <w:ind w:left="284" w:right="515"/>
        <w:rPr>
          <w:sz w:val="20"/>
          <w:lang w:val="en-US"/>
        </w:rPr>
      </w:pPr>
    </w:p>
    <w:p w:rsidR="0025696A" w:rsidRPr="00C67AB9" w:rsidRDefault="0025696A" w:rsidP="0025696A">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25696A" w:rsidRPr="00C67AB9" w:rsidRDefault="0025696A" w:rsidP="0025696A">
      <w:pPr>
        <w:tabs>
          <w:tab w:val="left" w:pos="1440"/>
        </w:tabs>
        <w:spacing w:before="0"/>
        <w:ind w:left="284" w:right="515"/>
        <w:rPr>
          <w:sz w:val="20"/>
          <w:lang w:val="en-US"/>
        </w:rPr>
      </w:pPr>
    </w:p>
    <w:p w:rsidR="0025696A" w:rsidRPr="00C67AB9" w:rsidRDefault="0025696A" w:rsidP="0025696A">
      <w:pPr>
        <w:tabs>
          <w:tab w:val="left" w:pos="1440"/>
        </w:tabs>
        <w:spacing w:before="0"/>
        <w:ind w:left="284" w:right="515"/>
        <w:rPr>
          <w:sz w:val="20"/>
          <w:lang w:val="en-US"/>
        </w:rPr>
      </w:pPr>
    </w:p>
    <w:p w:rsidR="0025696A" w:rsidRPr="00C67AB9" w:rsidRDefault="0025696A" w:rsidP="0025696A">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Pr>
          <w:sz w:val="20"/>
          <w:lang w:val="en-US"/>
        </w:rPr>
        <w:t>v</w:t>
      </w:r>
      <w:r w:rsidRPr="00C67AB9">
        <w:rPr>
          <w:i/>
          <w:sz w:val="20"/>
          <w:lang w:val="en-US"/>
        </w:rPr>
        <w:t>alid</w:t>
      </w:r>
      <w:r>
        <w:rPr>
          <w:i/>
          <w:sz w:val="20"/>
          <w:lang w:val="en-US"/>
        </w:rPr>
        <w:t xml:space="preserve"> until</w:t>
      </w:r>
      <w:r>
        <w:rPr>
          <w:sz w:val="20"/>
          <w:lang w:val="en-US"/>
        </w:rPr>
        <w:t xml:space="preserve">      --</w:t>
      </w:r>
      <w:r w:rsidRPr="00C67AB9">
        <w:rPr>
          <w:sz w:val="20"/>
          <w:lang w:val="en-US"/>
        </w:rPr>
        <w:t>-------------------</w:t>
      </w:r>
      <w:r>
        <w:rPr>
          <w:sz w:val="20"/>
          <w:lang w:val="en-US"/>
        </w:rPr>
        <w:t>---------------------------</w:t>
      </w:r>
    </w:p>
    <w:p w:rsidR="0025696A" w:rsidRPr="00C67AB9" w:rsidRDefault="0025696A" w:rsidP="0025696A">
      <w:pPr>
        <w:tabs>
          <w:tab w:val="left" w:pos="1440"/>
        </w:tabs>
        <w:spacing w:before="0"/>
        <w:ind w:left="284" w:right="515"/>
        <w:rPr>
          <w:sz w:val="20"/>
          <w:lang w:val="en-US"/>
        </w:rPr>
      </w:pPr>
    </w:p>
    <w:p w:rsidR="0025696A" w:rsidRPr="00C67AB9" w:rsidRDefault="0025696A" w:rsidP="0025696A">
      <w:pPr>
        <w:tabs>
          <w:tab w:val="left" w:pos="1440"/>
        </w:tabs>
        <w:spacing w:before="0"/>
        <w:ind w:left="284" w:right="515"/>
        <w:rPr>
          <w:sz w:val="20"/>
          <w:lang w:val="en-US"/>
        </w:rPr>
      </w:pPr>
    </w:p>
    <w:p w:rsidR="0025696A" w:rsidRDefault="0025696A" w:rsidP="0025696A">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25696A" w:rsidRDefault="0025696A" w:rsidP="0025696A">
      <w:pPr>
        <w:tabs>
          <w:tab w:val="clear" w:pos="794"/>
        </w:tabs>
      </w:pPr>
    </w:p>
    <w:p w:rsidR="0025696A" w:rsidRPr="00F047DB" w:rsidRDefault="0025696A" w:rsidP="0025696A">
      <w:pPr>
        <w:tabs>
          <w:tab w:val="clear" w:pos="794"/>
        </w:tabs>
        <w:jc w:val="center"/>
      </w:pPr>
      <w:r>
        <w:t>________________</w:t>
      </w:r>
    </w:p>
    <w:p w:rsidR="0025696A" w:rsidRPr="00A407BE" w:rsidRDefault="0025696A" w:rsidP="0025696A">
      <w:pPr>
        <w:spacing w:before="100" w:after="20"/>
        <w:rPr>
          <w:rStyle w:val="PageNumber"/>
          <w:sz w:val="2"/>
          <w:szCs w:val="2"/>
        </w:rPr>
      </w:pPr>
    </w:p>
    <w:p w:rsidR="0063445E" w:rsidRDefault="0063445E" w:rsidP="0025696A"/>
    <w:sectPr w:rsidR="0063445E">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21" w:rsidRDefault="00FB7021">
      <w:r>
        <w:separator/>
      </w:r>
    </w:p>
  </w:endnote>
  <w:endnote w:type="continuationSeparator" w:id="0">
    <w:p w:rsidR="00FB7021" w:rsidRDefault="00FB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BA" w:rsidRDefault="00572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72" w:rsidRPr="005725BA" w:rsidRDefault="005725BA" w:rsidP="005725BA">
    <w:pPr>
      <w:pStyle w:val="Footer"/>
      <w:tabs>
        <w:tab w:val="center" w:pos="4703"/>
        <w:tab w:val="right" w:pos="9406"/>
      </w:tabs>
      <w:spacing w:before="120" w:line="192" w:lineRule="auto"/>
      <w:rPr>
        <w:sz w:val="16"/>
        <w:szCs w:val="30"/>
        <w:lang w:val="fr-CH"/>
      </w:rPr>
    </w:pPr>
    <w:r>
      <w:rPr>
        <w:sz w:val="16"/>
        <w:lang w:val="fr-CH"/>
      </w:rPr>
      <w:t>ITU-T\BUREAU\CIRC\253C.DOC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72" w:rsidRDefault="00A73B72">
    <w:pPr>
      <w:pStyle w:val="BodyText"/>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A73B72" w:rsidRDefault="00A73B7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A73B72" w:rsidRDefault="00A73B7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21" w:rsidRDefault="00FB7021">
      <w:r>
        <w:separator/>
      </w:r>
    </w:p>
  </w:footnote>
  <w:footnote w:type="continuationSeparator" w:id="0">
    <w:p w:rsidR="00FB7021" w:rsidRDefault="00FB7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BA" w:rsidRDefault="00572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72" w:rsidRDefault="00A73B72">
    <w:pPr>
      <w:pStyle w:val="Header"/>
    </w:pPr>
    <w:r>
      <w:t xml:space="preserve">- </w:t>
    </w:r>
    <w:r>
      <w:fldChar w:fldCharType="begin"/>
    </w:r>
    <w:r>
      <w:instrText>PAGE</w:instrText>
    </w:r>
    <w:r>
      <w:fldChar w:fldCharType="separate"/>
    </w:r>
    <w:r w:rsidR="00955AAD">
      <w:rPr>
        <w:noProof/>
      </w:rPr>
      <w:t>9</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BA" w:rsidRDefault="00572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6A"/>
    <w:rsid w:val="00016F43"/>
    <w:rsid w:val="00027EE3"/>
    <w:rsid w:val="00081BA5"/>
    <w:rsid w:val="00090E72"/>
    <w:rsid w:val="00094C0B"/>
    <w:rsid w:val="001075C7"/>
    <w:rsid w:val="00117471"/>
    <w:rsid w:val="00160A43"/>
    <w:rsid w:val="001E1467"/>
    <w:rsid w:val="00202E3F"/>
    <w:rsid w:val="00234A9B"/>
    <w:rsid w:val="0025373C"/>
    <w:rsid w:val="0025696A"/>
    <w:rsid w:val="00282732"/>
    <w:rsid w:val="00284869"/>
    <w:rsid w:val="002E05E3"/>
    <w:rsid w:val="00303A2A"/>
    <w:rsid w:val="003064AD"/>
    <w:rsid w:val="00334A24"/>
    <w:rsid w:val="0034150A"/>
    <w:rsid w:val="0035674D"/>
    <w:rsid w:val="003B17C5"/>
    <w:rsid w:val="003D4887"/>
    <w:rsid w:val="003F1CCA"/>
    <w:rsid w:val="003F297C"/>
    <w:rsid w:val="0040315B"/>
    <w:rsid w:val="00464015"/>
    <w:rsid w:val="004806D6"/>
    <w:rsid w:val="00525112"/>
    <w:rsid w:val="00550D65"/>
    <w:rsid w:val="005725BA"/>
    <w:rsid w:val="005B1751"/>
    <w:rsid w:val="005C26FD"/>
    <w:rsid w:val="005D0E22"/>
    <w:rsid w:val="00620B2A"/>
    <w:rsid w:val="00627AE8"/>
    <w:rsid w:val="0063445E"/>
    <w:rsid w:val="00682625"/>
    <w:rsid w:val="00692CD9"/>
    <w:rsid w:val="006D22B1"/>
    <w:rsid w:val="006D42C6"/>
    <w:rsid w:val="00752154"/>
    <w:rsid w:val="007568DA"/>
    <w:rsid w:val="008078A5"/>
    <w:rsid w:val="00841612"/>
    <w:rsid w:val="0084436D"/>
    <w:rsid w:val="008B2BDA"/>
    <w:rsid w:val="008B4D3F"/>
    <w:rsid w:val="009128F1"/>
    <w:rsid w:val="009424FC"/>
    <w:rsid w:val="00955AAD"/>
    <w:rsid w:val="00956D38"/>
    <w:rsid w:val="00967FBB"/>
    <w:rsid w:val="009727EA"/>
    <w:rsid w:val="009B2534"/>
    <w:rsid w:val="009C2FF6"/>
    <w:rsid w:val="00A042FD"/>
    <w:rsid w:val="00A1090D"/>
    <w:rsid w:val="00A16AB0"/>
    <w:rsid w:val="00A73B72"/>
    <w:rsid w:val="00AB5A7A"/>
    <w:rsid w:val="00B158EC"/>
    <w:rsid w:val="00B23D1B"/>
    <w:rsid w:val="00B56780"/>
    <w:rsid w:val="00B56B75"/>
    <w:rsid w:val="00BB5392"/>
    <w:rsid w:val="00BC7AEE"/>
    <w:rsid w:val="00BE339D"/>
    <w:rsid w:val="00C03E87"/>
    <w:rsid w:val="00C6016A"/>
    <w:rsid w:val="00C7008A"/>
    <w:rsid w:val="00C854F6"/>
    <w:rsid w:val="00C916ED"/>
    <w:rsid w:val="00CB7D59"/>
    <w:rsid w:val="00CE583C"/>
    <w:rsid w:val="00D11132"/>
    <w:rsid w:val="00D34F86"/>
    <w:rsid w:val="00D55A40"/>
    <w:rsid w:val="00DC7C15"/>
    <w:rsid w:val="00E22435"/>
    <w:rsid w:val="00E35907"/>
    <w:rsid w:val="00E43449"/>
    <w:rsid w:val="00E47AFF"/>
    <w:rsid w:val="00E72784"/>
    <w:rsid w:val="00F07A3C"/>
    <w:rsid w:val="00F24752"/>
    <w:rsid w:val="00F346AB"/>
    <w:rsid w:val="00F9383A"/>
    <w:rsid w:val="00FB70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character" w:customStyle="1" w:styleId="FooterChar">
    <w:name w:val="Footer Char"/>
    <w:basedOn w:val="DefaultParagraphFont"/>
    <w:link w:val="Footer"/>
    <w:rsid w:val="005725BA"/>
    <w:rPr>
      <w:caps/>
      <w:sz w:val="18"/>
      <w:lang w:val="en-GB" w:eastAsia="en-US"/>
    </w:rPr>
  </w:style>
  <w:style w:type="character" w:styleId="FollowedHyperlink">
    <w:name w:val="FollowedHyperlink"/>
    <w:basedOn w:val="DefaultParagraphFont"/>
    <w:rsid w:val="004806D6"/>
    <w:rPr>
      <w:color w:val="800080" w:themeColor="followedHyperlink"/>
      <w:u w:val="single"/>
    </w:rPr>
  </w:style>
  <w:style w:type="paragraph" w:styleId="BalloonText">
    <w:name w:val="Balloon Text"/>
    <w:basedOn w:val="Normal"/>
    <w:link w:val="BalloonTextChar"/>
    <w:rsid w:val="003D4887"/>
    <w:pPr>
      <w:spacing w:before="0"/>
    </w:pPr>
    <w:rPr>
      <w:rFonts w:ascii="Tahoma" w:hAnsi="Tahoma" w:cs="Tahoma"/>
      <w:sz w:val="16"/>
      <w:szCs w:val="16"/>
    </w:rPr>
  </w:style>
  <w:style w:type="character" w:customStyle="1" w:styleId="BalloonTextChar">
    <w:name w:val="Balloon Text Char"/>
    <w:basedOn w:val="DefaultParagraphFont"/>
    <w:link w:val="BalloonText"/>
    <w:rsid w:val="003D488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character" w:customStyle="1" w:styleId="FooterChar">
    <w:name w:val="Footer Char"/>
    <w:basedOn w:val="DefaultParagraphFont"/>
    <w:link w:val="Footer"/>
    <w:rsid w:val="005725BA"/>
    <w:rPr>
      <w:caps/>
      <w:sz w:val="18"/>
      <w:lang w:val="en-GB" w:eastAsia="en-US"/>
    </w:rPr>
  </w:style>
  <w:style w:type="character" w:styleId="FollowedHyperlink">
    <w:name w:val="FollowedHyperlink"/>
    <w:basedOn w:val="DefaultParagraphFont"/>
    <w:rsid w:val="004806D6"/>
    <w:rPr>
      <w:color w:val="800080" w:themeColor="followedHyperlink"/>
      <w:u w:val="single"/>
    </w:rPr>
  </w:style>
  <w:style w:type="paragraph" w:styleId="BalloonText">
    <w:name w:val="Balloon Text"/>
    <w:basedOn w:val="Normal"/>
    <w:link w:val="BalloonTextChar"/>
    <w:rsid w:val="003D4887"/>
    <w:pPr>
      <w:spacing w:before="0"/>
    </w:pPr>
    <w:rPr>
      <w:rFonts w:ascii="Tahoma" w:hAnsi="Tahoma" w:cs="Tahoma"/>
      <w:sz w:val="16"/>
      <w:szCs w:val="16"/>
    </w:rPr>
  </w:style>
  <w:style w:type="character" w:customStyle="1" w:styleId="BalloonTextChar">
    <w:name w:val="Balloon Text Char"/>
    <w:basedOn w:val="DefaultParagraphFont"/>
    <w:link w:val="BalloonText"/>
    <w:rsid w:val="003D488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fginnovation@itu.int" TargetMode="External"/><Relationship Id="rId18" Type="http://schemas.openxmlformats.org/officeDocument/2006/relationships/hyperlink" Target="http://www.itu.int/reg/tsg/3000358"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focusgroups/innovation/" TargetMode="External"/><Relationship Id="rId17" Type="http://schemas.openxmlformats.org/officeDocument/2006/relationships/hyperlink" Target="http://www.itu.int/trave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itu.int/ITU-T/edh/faqs-support.html"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focusgroups/innovatio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fa.itu.int/t/fg/innovation/docs/1203-gva/i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tu.int/en/ITU-T/focusgroups/m2m/" TargetMode="External"/><Relationship Id="rId19"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fginnovation@itu.int" TargetMode="External"/><Relationship Id="rId14" Type="http://schemas.openxmlformats.org/officeDocument/2006/relationships/hyperlink" Target="http://ifa.itu.int/t/fg/innovation/docs/incoming/"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0</TotalTime>
  <Pages>9</Pages>
  <Words>3903</Words>
  <Characters>5792</Characters>
  <Application>Microsoft Office Word</Application>
  <DocSecurity>4</DocSecurity>
  <Lines>48</Lines>
  <Paragraphs>19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9676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Bettini, Nadine</cp:lastModifiedBy>
  <cp:revision>2</cp:revision>
  <cp:lastPrinted>2012-02-29T09:28:00Z</cp:lastPrinted>
  <dcterms:created xsi:type="dcterms:W3CDTF">2012-02-29T10:12:00Z</dcterms:created>
  <dcterms:modified xsi:type="dcterms:W3CDTF">2012-02-29T10:12:00Z</dcterms:modified>
</cp:coreProperties>
</file>