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199E81B" wp14:editId="686A4D6A">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E633A0" w:rsidRDefault="00C34772" w:rsidP="00303D62">
      <w:pPr>
        <w:tabs>
          <w:tab w:val="clear" w:pos="794"/>
          <w:tab w:val="clear" w:pos="1191"/>
          <w:tab w:val="clear" w:pos="1588"/>
          <w:tab w:val="clear" w:pos="1985"/>
          <w:tab w:val="left" w:pos="4962"/>
        </w:tabs>
        <w:spacing w:before="0"/>
      </w:pPr>
      <w:r w:rsidRPr="00BB01E0">
        <w:tab/>
      </w:r>
      <w:r>
        <w:t xml:space="preserve">Ginebra, </w:t>
      </w:r>
      <w:bookmarkStart w:id="0" w:name="ddate"/>
      <w:bookmarkEnd w:id="0"/>
      <w:r w:rsidR="00492978">
        <w:t>11 de junio de 2012</w:t>
      </w:r>
    </w:p>
    <w:p w:rsidR="00C3477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3D16F1"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Pr="00E633A0" w:rsidRDefault="00C34772" w:rsidP="00492978">
            <w:pPr>
              <w:tabs>
                <w:tab w:val="left" w:pos="4111"/>
              </w:tabs>
              <w:spacing w:before="0"/>
              <w:ind w:left="57"/>
              <w:rPr>
                <w:b/>
                <w:lang w:val="en-US"/>
              </w:rPr>
            </w:pPr>
            <w:r>
              <w:rPr>
                <w:b/>
                <w:lang w:val="en-US"/>
              </w:rPr>
              <w:t xml:space="preserve">Circular TSB </w:t>
            </w:r>
            <w:bookmarkStart w:id="1" w:name="dnum"/>
            <w:bookmarkEnd w:id="1"/>
            <w:r w:rsidR="00492978">
              <w:rPr>
                <w:b/>
                <w:lang w:val="en-US"/>
              </w:rPr>
              <w:t>276</w:t>
            </w:r>
          </w:p>
          <w:p w:rsidR="00C34772" w:rsidRDefault="00C34772" w:rsidP="00E42DCF">
            <w:pPr>
              <w:tabs>
                <w:tab w:val="left" w:pos="4111"/>
              </w:tabs>
              <w:spacing w:before="0"/>
              <w:ind w:left="57"/>
              <w:rPr>
                <w:b/>
                <w:lang w:val="en-US"/>
              </w:rPr>
            </w:pPr>
            <w:r>
              <w:rPr>
                <w:lang w:val="en-US"/>
              </w:rPr>
              <w:t xml:space="preserve">TSB </w:t>
            </w:r>
            <w:r w:rsidR="00E42DCF">
              <w:rPr>
                <w:lang w:val="en-US"/>
              </w:rPr>
              <w:t>Kaleidoscope</w:t>
            </w:r>
            <w:r>
              <w:rPr>
                <w:lang w:val="en-US"/>
              </w:rPr>
              <w:t>/</w:t>
            </w:r>
            <w:r w:rsidR="00E42DCF">
              <w:rPr>
                <w:lang w:val="en-US"/>
              </w:rPr>
              <w:t>AM</w:t>
            </w:r>
          </w:p>
          <w:p w:rsidR="00C34772" w:rsidRDefault="00C34772" w:rsidP="00303D62">
            <w:pPr>
              <w:tabs>
                <w:tab w:val="left" w:pos="4111"/>
              </w:tabs>
              <w:spacing w:before="0"/>
              <w:ind w:left="57"/>
              <w:rPr>
                <w:lang w:val="en-US"/>
              </w:rPr>
            </w:pPr>
          </w:p>
          <w:p w:rsidR="00C34772" w:rsidRDefault="00C34772" w:rsidP="00303D62">
            <w:pPr>
              <w:tabs>
                <w:tab w:val="left" w:pos="4111"/>
              </w:tabs>
              <w:spacing w:before="0"/>
              <w:ind w:left="57"/>
            </w:pPr>
            <w:r>
              <w:t>+41 22 730</w:t>
            </w:r>
            <w:r w:rsidR="00492978">
              <w:t xml:space="preserve"> 5882</w:t>
            </w:r>
            <w:r>
              <w:br/>
              <w:t>+41 22 730 5853</w:t>
            </w:r>
          </w:p>
        </w:tc>
        <w:tc>
          <w:tcPr>
            <w:tcW w:w="5329" w:type="dxa"/>
          </w:tcPr>
          <w:p w:rsidR="00C34772" w:rsidRPr="003D16F1" w:rsidRDefault="00C34772" w:rsidP="00303D62">
            <w:pPr>
              <w:tabs>
                <w:tab w:val="clear" w:pos="794"/>
                <w:tab w:val="clear" w:pos="1191"/>
                <w:tab w:val="clear" w:pos="1588"/>
                <w:tab w:val="clear" w:pos="1985"/>
                <w:tab w:val="left" w:pos="226"/>
              </w:tabs>
              <w:spacing w:before="0"/>
              <w:ind w:left="226" w:hanging="226"/>
            </w:pPr>
            <w:r w:rsidRPr="003D16F1">
              <w:t>-</w:t>
            </w:r>
            <w:r w:rsidRPr="003D16F1">
              <w:tab/>
              <w:t>A las Administracio</w:t>
            </w:r>
            <w:r>
              <w:t xml:space="preserve">nes de los Estados Miembros de </w:t>
            </w:r>
            <w:r w:rsidRPr="003D16F1">
              <w:t>la Unión</w:t>
            </w:r>
            <w:r>
              <w:t>;</w:t>
            </w:r>
          </w:p>
          <w:p w:rsidR="00C34772" w:rsidRPr="003D16F1" w:rsidRDefault="00C34772" w:rsidP="00303D62">
            <w:pPr>
              <w:tabs>
                <w:tab w:val="clear" w:pos="794"/>
                <w:tab w:val="num" w:pos="0"/>
                <w:tab w:val="left" w:pos="226"/>
                <w:tab w:val="left" w:pos="4111"/>
              </w:tabs>
              <w:spacing w:before="0"/>
            </w:pPr>
            <w:r w:rsidRPr="003D16F1">
              <w:t>-</w:t>
            </w:r>
            <w:r w:rsidRPr="003D16F1">
              <w:tab/>
              <w:t>A los Miembros del Sector UIT-T;</w:t>
            </w:r>
          </w:p>
          <w:p w:rsidR="00C34772" w:rsidRDefault="00C34772" w:rsidP="00303D62">
            <w:pPr>
              <w:tabs>
                <w:tab w:val="clear" w:pos="794"/>
                <w:tab w:val="num" w:pos="0"/>
                <w:tab w:val="left" w:pos="226"/>
                <w:tab w:val="left" w:pos="4111"/>
              </w:tabs>
              <w:spacing w:before="0"/>
            </w:pPr>
            <w:r w:rsidRPr="003D16F1">
              <w:t>-</w:t>
            </w:r>
            <w:r w:rsidRPr="003D16F1">
              <w:tab/>
              <w:t>A los Asociados del UIT</w:t>
            </w:r>
            <w:r w:rsidRPr="003D16F1">
              <w:noBreakHyphen/>
              <w:t>T;</w:t>
            </w:r>
          </w:p>
          <w:p w:rsidR="00C34772" w:rsidRPr="003D16F1" w:rsidRDefault="00C34772" w:rsidP="00303D62">
            <w:pPr>
              <w:tabs>
                <w:tab w:val="clear" w:pos="794"/>
                <w:tab w:val="num" w:pos="0"/>
                <w:tab w:val="left" w:pos="226"/>
                <w:tab w:val="left" w:pos="4111"/>
              </w:tabs>
              <w:spacing w:before="0"/>
            </w:pPr>
            <w:r w:rsidRPr="00665FBD">
              <w:t>-</w:t>
            </w:r>
            <w:r>
              <w:tab/>
              <w:t xml:space="preserve">A las Instituciones Académicas del </w:t>
            </w:r>
            <w:r w:rsidRPr="00665FBD">
              <w:t>UIT-T</w:t>
            </w:r>
          </w:p>
        </w:tc>
      </w:tr>
      <w:tr w:rsidR="00C34772" w:rsidRPr="003D16F1" w:rsidTr="00303D62">
        <w:trPr>
          <w:cantSplit/>
        </w:trPr>
        <w:tc>
          <w:tcPr>
            <w:tcW w:w="993" w:type="dxa"/>
          </w:tcPr>
          <w:p w:rsidR="00C34772" w:rsidRPr="003D16F1"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Correo-e:</w:t>
            </w:r>
          </w:p>
        </w:tc>
        <w:tc>
          <w:tcPr>
            <w:tcW w:w="3884" w:type="dxa"/>
          </w:tcPr>
          <w:p w:rsidR="00C34772" w:rsidRDefault="00C34772" w:rsidP="00303D62">
            <w:pPr>
              <w:tabs>
                <w:tab w:val="left" w:pos="4111"/>
              </w:tabs>
              <w:spacing w:before="0"/>
              <w:ind w:left="57"/>
            </w:pPr>
          </w:p>
          <w:p w:rsidR="00C34772" w:rsidRDefault="0009339A" w:rsidP="00492978">
            <w:pPr>
              <w:tabs>
                <w:tab w:val="left" w:pos="4111"/>
              </w:tabs>
              <w:spacing w:before="0"/>
              <w:ind w:left="57"/>
            </w:pPr>
            <w:hyperlink r:id="rId10" w:history="1">
              <w:r w:rsidR="00492978" w:rsidRPr="00480455">
                <w:rPr>
                  <w:rStyle w:val="Hyperlink"/>
                </w:rPr>
                <w:t>kaleidoscope@itu.int</w:t>
              </w:r>
            </w:hyperlink>
            <w:r w:rsidR="00C34772">
              <w:t xml:space="preserve"> </w:t>
            </w:r>
          </w:p>
        </w:tc>
        <w:tc>
          <w:tcPr>
            <w:tcW w:w="5329" w:type="dxa"/>
          </w:tcPr>
          <w:p w:rsidR="00C34772" w:rsidRPr="003D16F1" w:rsidRDefault="00C34772" w:rsidP="00303D62">
            <w:pPr>
              <w:tabs>
                <w:tab w:val="left" w:pos="4111"/>
              </w:tabs>
              <w:spacing w:before="0"/>
            </w:pPr>
            <w:r w:rsidRPr="003D16F1">
              <w:rPr>
                <w:b/>
              </w:rPr>
              <w:t>Copia</w:t>
            </w:r>
            <w:r w:rsidRPr="003D16F1">
              <w:t>:</w:t>
            </w:r>
          </w:p>
          <w:p w:rsidR="00C34772" w:rsidRPr="003D16F1" w:rsidRDefault="00C34772" w:rsidP="00492978">
            <w:pPr>
              <w:tabs>
                <w:tab w:val="left" w:pos="226"/>
                <w:tab w:val="left" w:pos="4111"/>
              </w:tabs>
              <w:spacing w:before="0"/>
              <w:ind w:left="226" w:hanging="226"/>
            </w:pPr>
            <w:r w:rsidRPr="003D16F1">
              <w:t>-</w:t>
            </w:r>
            <w:r w:rsidRPr="003D16F1">
              <w:tab/>
              <w:t>A</w:t>
            </w:r>
            <w:r w:rsidR="00492978">
              <w:t xml:space="preserve"> </w:t>
            </w:r>
            <w:r w:rsidRPr="003D16F1">
              <w:t>l</w:t>
            </w:r>
            <w:r w:rsidR="00492978">
              <w:t>os</w:t>
            </w:r>
            <w:r w:rsidRPr="003D16F1">
              <w:t xml:space="preserve"> Presidente</w:t>
            </w:r>
            <w:r w:rsidR="00492978">
              <w:t>s</w:t>
            </w:r>
            <w:r w:rsidRPr="003D16F1">
              <w:t xml:space="preserve"> y Vicepresidentes de la</w:t>
            </w:r>
            <w:r w:rsidR="00492978">
              <w:t>s Comisiones de Estudio</w:t>
            </w:r>
            <w:r w:rsidRPr="003D16F1">
              <w:t xml:space="preserve"> </w:t>
            </w:r>
            <w:r>
              <w:t>del UIT-T</w:t>
            </w:r>
            <w:r w:rsidRPr="003D16F1">
              <w:t>;</w:t>
            </w:r>
          </w:p>
          <w:p w:rsidR="00C34772" w:rsidRPr="003D16F1" w:rsidRDefault="00C34772" w:rsidP="00303D62">
            <w:pPr>
              <w:tabs>
                <w:tab w:val="clear" w:pos="794"/>
                <w:tab w:val="clear" w:pos="1191"/>
                <w:tab w:val="clear" w:pos="1588"/>
                <w:tab w:val="clear" w:pos="1985"/>
                <w:tab w:val="left" w:pos="226"/>
                <w:tab w:val="left" w:pos="510"/>
              </w:tabs>
              <w:spacing w:before="0"/>
              <w:ind w:left="226" w:hanging="169"/>
            </w:pPr>
            <w:r w:rsidRPr="003D16F1">
              <w:t>-</w:t>
            </w:r>
            <w:r w:rsidRPr="003D16F1">
              <w:tab/>
              <w:t>Al Director de la Oficina de Desarrollo de las Telecomunicaciones;</w:t>
            </w:r>
          </w:p>
          <w:p w:rsidR="00C34772" w:rsidRPr="003D16F1" w:rsidRDefault="00C34772" w:rsidP="00303D62">
            <w:pPr>
              <w:tabs>
                <w:tab w:val="clear" w:pos="794"/>
                <w:tab w:val="clear" w:pos="1191"/>
                <w:tab w:val="clear" w:pos="1588"/>
                <w:tab w:val="clear" w:pos="1985"/>
                <w:tab w:val="left" w:pos="226"/>
                <w:tab w:val="left" w:pos="510"/>
              </w:tabs>
              <w:spacing w:before="0"/>
              <w:ind w:left="226" w:hanging="169"/>
            </w:pPr>
            <w:r w:rsidRPr="003D16F1">
              <w:t>-</w:t>
            </w:r>
            <w:r w:rsidRPr="003D16F1">
              <w:tab/>
              <w:t>Al Director de la Oficina de Radiocomunicaciones</w:t>
            </w:r>
          </w:p>
        </w:tc>
      </w:tr>
    </w:tbl>
    <w:p w:rsidR="00C34772" w:rsidRPr="003D16F1" w:rsidRDefault="00C34772" w:rsidP="00303D62"/>
    <w:tbl>
      <w:tblPr>
        <w:tblW w:w="9915" w:type="dxa"/>
        <w:tblInd w:w="8" w:type="dxa"/>
        <w:tblLayout w:type="fixed"/>
        <w:tblCellMar>
          <w:left w:w="0" w:type="dxa"/>
          <w:right w:w="0" w:type="dxa"/>
        </w:tblCellMar>
        <w:tblLook w:val="0000" w:firstRow="0" w:lastRow="0" w:firstColumn="0" w:lastColumn="0" w:noHBand="0" w:noVBand="0"/>
      </w:tblPr>
      <w:tblGrid>
        <w:gridCol w:w="843"/>
        <w:gridCol w:w="9072"/>
      </w:tblGrid>
      <w:tr w:rsidR="00C34772" w:rsidRPr="004639F3" w:rsidTr="00492978">
        <w:trPr>
          <w:cantSplit/>
        </w:trPr>
        <w:tc>
          <w:tcPr>
            <w:tcW w:w="843" w:type="dxa"/>
          </w:tcPr>
          <w:p w:rsidR="00C34772" w:rsidRPr="004639F3" w:rsidRDefault="00C34772" w:rsidP="00303D62">
            <w:pPr>
              <w:tabs>
                <w:tab w:val="left" w:pos="4111"/>
              </w:tabs>
              <w:spacing w:before="10"/>
              <w:ind w:left="57"/>
              <w:rPr>
                <w:sz w:val="22"/>
              </w:rPr>
            </w:pPr>
            <w:r w:rsidRPr="004639F3">
              <w:rPr>
                <w:sz w:val="22"/>
              </w:rPr>
              <w:t>Asunto:</w:t>
            </w:r>
          </w:p>
        </w:tc>
        <w:tc>
          <w:tcPr>
            <w:tcW w:w="9072" w:type="dxa"/>
          </w:tcPr>
          <w:p w:rsidR="00492978" w:rsidRDefault="00492978" w:rsidP="00492978">
            <w:pPr>
              <w:tabs>
                <w:tab w:val="left" w:pos="4111"/>
              </w:tabs>
              <w:spacing w:before="0"/>
              <w:rPr>
                <w:b/>
              </w:rPr>
            </w:pPr>
            <w:r>
              <w:rPr>
                <w:b/>
              </w:rPr>
              <w:t xml:space="preserve">Caleidoscopio 2013 </w:t>
            </w:r>
            <w:r w:rsidR="008E1939">
              <w:rPr>
                <w:b/>
              </w:rPr>
              <w:t>"</w:t>
            </w:r>
            <w:r>
              <w:rPr>
                <w:b/>
              </w:rPr>
              <w:t>Construir comunidades sostenibles</w:t>
            </w:r>
            <w:r w:rsidR="008E1939">
              <w:rPr>
                <w:b/>
              </w:rPr>
              <w:t>"</w:t>
            </w:r>
            <w:r w:rsidR="00C34772" w:rsidRPr="004639F3">
              <w:rPr>
                <w:b/>
              </w:rPr>
              <w:t xml:space="preserve"> </w:t>
            </w:r>
          </w:p>
          <w:p w:rsidR="00C34772" w:rsidRPr="004639F3" w:rsidRDefault="00492978" w:rsidP="00492978">
            <w:pPr>
              <w:tabs>
                <w:tab w:val="left" w:pos="4111"/>
              </w:tabs>
              <w:spacing w:before="0"/>
              <w:rPr>
                <w:b/>
              </w:rPr>
            </w:pPr>
            <w:proofErr w:type="spellStart"/>
            <w:r>
              <w:rPr>
                <w:b/>
              </w:rPr>
              <w:t>Kyoto</w:t>
            </w:r>
            <w:proofErr w:type="spellEnd"/>
            <w:r>
              <w:rPr>
                <w:b/>
              </w:rPr>
              <w:t xml:space="preserve"> (Japón), 22-24 de abril de 2013</w:t>
            </w:r>
            <w:r w:rsidR="00C34772" w:rsidRPr="004639F3">
              <w:rPr>
                <w:b/>
              </w:rPr>
              <w:br/>
            </w:r>
            <w:r>
              <w:rPr>
                <w:b/>
              </w:rPr>
              <w:t xml:space="preserve">Taller sobre la UIT y las Instituciones Académicas, </w:t>
            </w:r>
            <w:proofErr w:type="spellStart"/>
            <w:r>
              <w:rPr>
                <w:b/>
              </w:rPr>
              <w:t>Kyoto</w:t>
            </w:r>
            <w:proofErr w:type="spellEnd"/>
            <w:r>
              <w:rPr>
                <w:b/>
              </w:rPr>
              <w:t xml:space="preserve"> (Japón), 25 de abril de 2013</w:t>
            </w:r>
          </w:p>
        </w:tc>
      </w:tr>
    </w:tbl>
    <w:p w:rsidR="00C34772" w:rsidRPr="004639F3" w:rsidRDefault="00C34772" w:rsidP="00303D62">
      <w:pPr>
        <w:spacing w:before="240"/>
        <w:ind w:left="-199"/>
        <w:rPr>
          <w:rFonts w:ascii="Century Gothic" w:hAnsi="Century Gothic"/>
          <w:sz w:val="16"/>
        </w:rPr>
      </w:pPr>
    </w:p>
    <w:p w:rsidR="00C34772" w:rsidRPr="00F03976" w:rsidRDefault="00C34772" w:rsidP="00E369B1">
      <w:pPr>
        <w:pStyle w:val="ITUintr"/>
        <w:tabs>
          <w:tab w:val="clear" w:pos="737"/>
          <w:tab w:val="clear" w:pos="1134"/>
          <w:tab w:val="left" w:pos="794"/>
        </w:tabs>
        <w:spacing w:before="120"/>
        <w:ind w:right="92"/>
        <w:rPr>
          <w:sz w:val="24"/>
        </w:rPr>
      </w:pPr>
      <w:r w:rsidRPr="00F03976">
        <w:rPr>
          <w:sz w:val="24"/>
        </w:rPr>
        <w:t xml:space="preserve">Muy </w:t>
      </w:r>
      <w:r w:rsidR="00E369B1">
        <w:rPr>
          <w:sz w:val="24"/>
        </w:rPr>
        <w:t>S</w:t>
      </w:r>
      <w:r w:rsidRPr="00F03976">
        <w:rPr>
          <w:sz w:val="24"/>
        </w:rPr>
        <w:t xml:space="preserve">eñora mía/Muy </w:t>
      </w:r>
      <w:r w:rsidR="00E369B1">
        <w:rPr>
          <w:sz w:val="24"/>
        </w:rPr>
        <w:t>S</w:t>
      </w:r>
      <w:r w:rsidRPr="00F03976">
        <w:rPr>
          <w:sz w:val="24"/>
        </w:rPr>
        <w:t>eñor mío:</w:t>
      </w:r>
    </w:p>
    <w:p w:rsidR="00C34772" w:rsidRPr="003D16F1" w:rsidRDefault="00C34772" w:rsidP="00D61183">
      <w:bookmarkStart w:id="2" w:name="lettre"/>
      <w:bookmarkEnd w:id="2"/>
      <w:r w:rsidRPr="003D16F1">
        <w:rPr>
          <w:bCs/>
        </w:rPr>
        <w:t>1</w:t>
      </w:r>
      <w:r w:rsidRPr="003D16F1">
        <w:tab/>
      </w:r>
      <w:r w:rsidR="00492978" w:rsidRPr="00492978">
        <w:t>En el marco de los eventos Caleidoscopio, una iniciativa del UIT</w:t>
      </w:r>
      <w:r w:rsidR="00492978">
        <w:t>-</w:t>
      </w:r>
      <w:r w:rsidR="00492978" w:rsidRPr="00492978">
        <w:t xml:space="preserve">T destinada a aumentar la cooperación con </w:t>
      </w:r>
      <w:r w:rsidR="00492978">
        <w:t>las instituciones académicas</w:t>
      </w:r>
      <w:r w:rsidR="00492978" w:rsidRPr="00492978">
        <w:t xml:space="preserve"> y de investigación, tengo el gusto de informarle acerca de la </w:t>
      </w:r>
      <w:r w:rsidR="00492978">
        <w:t>quinta</w:t>
      </w:r>
      <w:r w:rsidR="00492978" w:rsidRPr="00492978">
        <w:t xml:space="preserve"> de una serie de conferencias académicas examinadas por expertos de igual nivel, que tienen como finalidad incrementar el diálogo entre las instituciones académicas y los expertos que trabajan en la normalización de las tecnologías de la información y la comunicación (TIC)</w:t>
      </w:r>
      <w:r w:rsidRPr="003D16F1">
        <w:t>.</w:t>
      </w:r>
      <w:r w:rsidR="00492978">
        <w:t xml:space="preserve"> </w:t>
      </w:r>
      <w:r w:rsidR="00492978" w:rsidRPr="00492978">
        <w:t xml:space="preserve">Caleidoscopio 2013 </w:t>
      </w:r>
      <w:r w:rsidR="008E1939">
        <w:t>"</w:t>
      </w:r>
      <w:r w:rsidR="00492978" w:rsidRPr="00492978">
        <w:t>Construir comunidades sostenibles</w:t>
      </w:r>
      <w:r w:rsidR="008E1939">
        <w:t>"</w:t>
      </w:r>
      <w:r w:rsidR="00492978">
        <w:t xml:space="preserve"> se celebrará por amable invitación de la Administración del Japón en la Universidad de </w:t>
      </w:r>
      <w:proofErr w:type="spellStart"/>
      <w:r w:rsidR="00492978">
        <w:t>Kyoto</w:t>
      </w:r>
      <w:proofErr w:type="spellEnd"/>
      <w:r w:rsidR="00492978">
        <w:t xml:space="preserve">, </w:t>
      </w:r>
      <w:proofErr w:type="spellStart"/>
      <w:r w:rsidR="00492978">
        <w:t>Kyoto</w:t>
      </w:r>
      <w:proofErr w:type="spellEnd"/>
      <w:r w:rsidR="00492978">
        <w:t xml:space="preserve"> (Japón), del 22 al 24 de abril de 2013.</w:t>
      </w:r>
    </w:p>
    <w:p w:rsidR="00697881" w:rsidRDefault="00C34772" w:rsidP="00D61183">
      <w:r w:rsidRPr="003D16F1">
        <w:rPr>
          <w:bCs/>
        </w:rPr>
        <w:t>2</w:t>
      </w:r>
      <w:r w:rsidRPr="003D16F1">
        <w:tab/>
      </w:r>
      <w:r w:rsidR="00697881">
        <w:t>Deberían concebirse futuras tecnologías para mejorar la calidad de vida de las personas. Caleidoscopio 2013 pondrá de manifiesto aspectos multidisciplinarios de las TIC del futuro, incluidos la futura demanda de servicios y aplicaciones y los aspectos socioeconómicos, culturales, éticos, legales y de política de desarrollo sostenible de las comunidades del futuro.</w:t>
      </w:r>
    </w:p>
    <w:p w:rsidR="00697881" w:rsidRDefault="00C34772" w:rsidP="00DD38AF">
      <w:r w:rsidRPr="003D16F1">
        <w:rPr>
          <w:bCs/>
        </w:rPr>
        <w:t>3</w:t>
      </w:r>
      <w:r w:rsidRPr="003D16F1">
        <w:tab/>
      </w:r>
      <w:r w:rsidR="00697881">
        <w:t xml:space="preserve">Caleidoscopio 2013 solicita ponencias académicas originales en las que se propongan enfoques de investigación y desarrollo innovadores y atrevidos para construir comunidades inteligentes, éticas y sostenibles. En el </w:t>
      </w:r>
      <w:r w:rsidR="00DD38AF">
        <w:rPr>
          <w:b/>
          <w:bCs/>
        </w:rPr>
        <w:t>a</w:t>
      </w:r>
      <w:r w:rsidR="00697881" w:rsidRPr="00697881">
        <w:rPr>
          <w:b/>
          <w:bCs/>
        </w:rPr>
        <w:t>nexo 1</w:t>
      </w:r>
      <w:r w:rsidR="00697881">
        <w:t xml:space="preserve"> figura el texto completo de la solicitud de ponencias. Las ponencias pueden presentarse hasta el 10 de septiembre de 2012.</w:t>
      </w:r>
      <w:r w:rsidR="00266A4E">
        <w:t xml:space="preserve"> </w:t>
      </w:r>
      <w:r w:rsidR="00697881">
        <w:t xml:space="preserve"> </w:t>
      </w:r>
    </w:p>
    <w:p w:rsidR="00C34772" w:rsidRPr="003D16F1" w:rsidRDefault="00697881" w:rsidP="00D61183">
      <w:r>
        <w:t>4</w:t>
      </w:r>
      <w:r>
        <w:tab/>
      </w:r>
      <w:r w:rsidR="00C34772" w:rsidRPr="003D16F1">
        <w:t>La participación está abierta a los Estados Miembros, a los Miembros de Sector</w:t>
      </w:r>
      <w:r w:rsidR="00C34772">
        <w:t>,</w:t>
      </w:r>
      <w:r w:rsidR="00C34772" w:rsidRPr="003D16F1">
        <w:t xml:space="preserve"> a los Asociados </w:t>
      </w:r>
      <w:r w:rsidR="00C34772">
        <w:t xml:space="preserve">y a las Instituciones Académicas </w:t>
      </w:r>
      <w:r w:rsidR="00C34772" w:rsidRPr="003D16F1">
        <w:t>de la UIT, y a cualquier persona de un país que sea miembro de la UIT y desee contribuir a los trabajos.</w:t>
      </w:r>
      <w:r w:rsidR="00266A4E">
        <w:t xml:space="preserve"> </w:t>
      </w:r>
      <w:r w:rsidR="00C34772" w:rsidRPr="003D16F1">
        <w:t>Esto incluye a las personas que también sean miembros de organizaciones nacionales, regionales e internacionales.</w:t>
      </w:r>
      <w:r w:rsidR="00266A4E">
        <w:t xml:space="preserve"> </w:t>
      </w:r>
      <w:r w:rsidR="00C34772" w:rsidRPr="003D16F1">
        <w:t>La participación en el taller es gratuita pero ninguna beca será otorgada.</w:t>
      </w:r>
    </w:p>
    <w:p w:rsidR="004E434F" w:rsidRDefault="00697881" w:rsidP="00D61183">
      <w:r>
        <w:t>5</w:t>
      </w:r>
      <w:r w:rsidR="00C34772" w:rsidRPr="003D16F1">
        <w:tab/>
      </w:r>
      <w:r>
        <w:t xml:space="preserve">Esta conferencia Caleidoscopio de la UIT irá seguida de un Taller sobre la UIT y las Instituciones Académicas, que se celebrará el 25 de abril de 2013. En breve se facilitarán más detalles en la página web de la conferencia. </w:t>
      </w:r>
    </w:p>
    <w:p w:rsidR="00C34772" w:rsidRPr="003D16F1" w:rsidRDefault="004E434F" w:rsidP="004E434F">
      <w:r>
        <w:lastRenderedPageBreak/>
        <w:t>6</w:t>
      </w:r>
      <w:r>
        <w:tab/>
        <w:t xml:space="preserve">En paralelo con las sesiones de Conferencias y de Carteles que constituirán el programa de Caleidoscopio 2013, se </w:t>
      </w:r>
      <w:r w:rsidR="00EA7466">
        <w:t>celebrará</w:t>
      </w:r>
      <w:r>
        <w:t xml:space="preserve"> </w:t>
      </w:r>
      <w:r w:rsidR="00EA7466">
        <w:t>una</w:t>
      </w:r>
      <w:r>
        <w:t xml:space="preserve"> exposición de la Universidad local. Este evento creará una oportunidad para que representantes de la industria, expertos en normalización de las TIC, y docentes compartan ideas y proyectos en curso en los círculos académicos del Japón</w:t>
      </w:r>
      <w:r w:rsidR="00C34772" w:rsidRPr="003D16F1">
        <w:t>.</w:t>
      </w:r>
    </w:p>
    <w:p w:rsidR="00C34772" w:rsidRPr="003D16F1" w:rsidRDefault="004E434F" w:rsidP="004E434F">
      <w:r>
        <w:rPr>
          <w:bCs/>
        </w:rPr>
        <w:t>7</w:t>
      </w:r>
      <w:r w:rsidR="00C34772" w:rsidRPr="003D16F1">
        <w:tab/>
      </w:r>
      <w:r>
        <w:t xml:space="preserve">Alentamos a todos los miembros de la UIT a promover estos eventos entre la comunidad académica de sus países. </w:t>
      </w:r>
    </w:p>
    <w:p w:rsidR="00C34772" w:rsidRPr="003D16F1" w:rsidRDefault="004E434F" w:rsidP="004E434F">
      <w:pPr>
        <w:pStyle w:val="enumlev1"/>
        <w:tabs>
          <w:tab w:val="left" w:pos="0"/>
        </w:tabs>
        <w:ind w:left="0" w:firstLine="0"/>
        <w:rPr>
          <w:b/>
        </w:rPr>
      </w:pPr>
      <w:r>
        <w:rPr>
          <w:bCs/>
        </w:rPr>
        <w:t>8</w:t>
      </w:r>
      <w:r w:rsidR="00C34772" w:rsidRPr="003D16F1">
        <w:tab/>
      </w:r>
      <w:r>
        <w:t xml:space="preserve">En la página web del evento </w:t>
      </w:r>
      <w:hyperlink r:id="rId11" w:history="1">
        <w:r w:rsidRPr="00480455">
          <w:rPr>
            <w:rStyle w:val="Hyperlink"/>
          </w:rPr>
          <w:t>http://www.itu-kaleidoscope.org/2013</w:t>
        </w:r>
      </w:hyperlink>
      <w:r>
        <w:t xml:space="preserve"> se facilitará información detallada relativa a la inscripción y la logística cuando se aproxime la fecha de la conferencia.</w:t>
      </w:r>
      <w:r w:rsidR="00266A4E">
        <w:t xml:space="preserve"> </w:t>
      </w:r>
      <w:r w:rsidRPr="004E434F">
        <w:rPr>
          <w:b/>
          <w:bCs/>
        </w:rPr>
        <w:t>Rogamos tenga presente que la preinscripción de los participantes en los talleres se efec</w:t>
      </w:r>
      <w:r>
        <w:rPr>
          <w:b/>
          <w:bCs/>
        </w:rPr>
        <w:t>t</w:t>
      </w:r>
      <w:r w:rsidRPr="004E434F">
        <w:rPr>
          <w:b/>
          <w:bCs/>
        </w:rPr>
        <w:t xml:space="preserve">úa exclusivamente </w:t>
      </w:r>
      <w:r w:rsidRPr="004E434F">
        <w:rPr>
          <w:b/>
          <w:bCs/>
          <w:i/>
          <w:iCs/>
        </w:rPr>
        <w:t>en línea</w:t>
      </w:r>
      <w:r>
        <w:t xml:space="preserve">. </w:t>
      </w:r>
    </w:p>
    <w:p w:rsidR="00C34772" w:rsidRPr="003D16F1" w:rsidRDefault="004E434F" w:rsidP="004E434F">
      <w:r>
        <w:t>9</w:t>
      </w:r>
      <w:r w:rsidR="00C34772" w:rsidRPr="003D16F1">
        <w:tab/>
      </w:r>
      <w:r w:rsidRPr="004E434F">
        <w:t xml:space="preserve">Le recordamos que los ciudadanos procedentes de ciertos países necesitan visado para entrar y permanecer en </w:t>
      </w:r>
      <w:r>
        <w:t>Japón</w:t>
      </w:r>
      <w:r w:rsidRPr="004E434F">
        <w:t xml:space="preserve">. Cuando así sea, dicho visado debe solicitarse y obtenerse en la oficina (embajada o consulado) que representa a </w:t>
      </w:r>
      <w:r>
        <w:t>Japón</w:t>
      </w:r>
      <w:r w:rsidRPr="004E434F">
        <w:t xml:space="preserve"> en su país o, en su defecto, en la más próxima a su país de partida. Se ruega a los participantes que requieran la asistencia del país anfitrión para obtener un visado de entrada que </w:t>
      </w:r>
      <w:proofErr w:type="gramStart"/>
      <w:r w:rsidRPr="004E434F">
        <w:t>consulten</w:t>
      </w:r>
      <w:proofErr w:type="gramEnd"/>
      <w:r w:rsidRPr="004E434F">
        <w:t xml:space="preserve"> la página web del Caleidoscopio en la dirección </w:t>
      </w:r>
      <w:hyperlink r:id="rId12" w:history="1">
        <w:r w:rsidRPr="00480455">
          <w:rPr>
            <w:rStyle w:val="Hyperlink"/>
          </w:rPr>
          <w:t>www.itu-kaleidoscope.org/2013</w:t>
        </w:r>
      </w:hyperlink>
      <w:r>
        <w:t>. S</w:t>
      </w:r>
      <w:r w:rsidRPr="004E434F">
        <w:t>e publicará más información</w:t>
      </w:r>
      <w:r>
        <w:t xml:space="preserve"> tan pronto se disponga de ella</w:t>
      </w:r>
      <w:r w:rsidR="00C34772" w:rsidRPr="003D16F1">
        <w:t>.</w:t>
      </w:r>
    </w:p>
    <w:p w:rsidR="00C34772" w:rsidRPr="003D16F1" w:rsidRDefault="004E434F" w:rsidP="00E369B1">
      <w:pPr>
        <w:spacing w:before="240"/>
        <w:ind w:right="92"/>
      </w:pPr>
      <w:r>
        <w:t>A</w:t>
      </w:r>
      <w:r w:rsidR="00C34772" w:rsidRPr="003D16F1">
        <w:t>tentamente</w:t>
      </w:r>
      <w:r w:rsidR="00E369B1">
        <w:t>.</w:t>
      </w:r>
    </w:p>
    <w:p w:rsidR="00C34772" w:rsidRDefault="00C34772" w:rsidP="00303D62">
      <w:pPr>
        <w:pStyle w:val="BodyText2"/>
      </w:pPr>
      <w:r w:rsidRPr="00B40A03">
        <w:t>Malcolm Johnson</w:t>
      </w:r>
      <w:r>
        <w:br/>
        <w:t>Director de la Oficina de Normalización</w:t>
      </w:r>
      <w:r>
        <w:br/>
        <w:t>de las Telecomunicaciones</w:t>
      </w:r>
    </w:p>
    <w:p w:rsidR="00C34772" w:rsidRDefault="00C34772" w:rsidP="00303D62">
      <w:pPr>
        <w:spacing w:before="400"/>
        <w:ind w:right="91"/>
      </w:pPr>
    </w:p>
    <w:p w:rsidR="001518AD" w:rsidRPr="003D16F1" w:rsidRDefault="001518AD" w:rsidP="00303D62">
      <w:pPr>
        <w:spacing w:before="400"/>
        <w:ind w:right="91"/>
      </w:pPr>
    </w:p>
    <w:p w:rsidR="00C34772" w:rsidRPr="003D16F1" w:rsidRDefault="00C34772" w:rsidP="004E434F">
      <w:pPr>
        <w:ind w:right="92"/>
        <w:rPr>
          <w:u w:val="single"/>
          <w:lang w:val="en-US"/>
        </w:rPr>
      </w:pPr>
      <w:proofErr w:type="spellStart"/>
      <w:r w:rsidRPr="003D16F1">
        <w:rPr>
          <w:b/>
          <w:lang w:val="en-US"/>
        </w:rPr>
        <w:t>Anexo</w:t>
      </w:r>
      <w:proofErr w:type="spellEnd"/>
      <w:r w:rsidRPr="001518AD">
        <w:rPr>
          <w:bCs/>
          <w:lang w:val="en-US"/>
        </w:rPr>
        <w:t>:</w:t>
      </w:r>
      <w:r w:rsidR="004E434F" w:rsidRPr="001518AD">
        <w:rPr>
          <w:bCs/>
          <w:lang w:val="en-US"/>
        </w:rPr>
        <w:t xml:space="preserve"> 1</w:t>
      </w:r>
    </w:p>
    <w:p w:rsidR="001518AD" w:rsidRDefault="001518AD">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EF368B" w:rsidRPr="00D61183" w:rsidRDefault="00EF368B" w:rsidP="00EF368B">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0"/>
          <w:lang w:val="en-US"/>
        </w:rPr>
      </w:pPr>
      <w:r w:rsidRPr="00D61183">
        <w:rPr>
          <w:rFonts w:asciiTheme="majorBidi" w:hAnsiTheme="majorBidi" w:cstheme="majorBidi"/>
          <w:lang w:val="en-US"/>
        </w:rPr>
        <w:lastRenderedPageBreak/>
        <w:tab/>
        <w:t>ANNEX 1</w:t>
      </w:r>
      <w:r w:rsidRPr="00D61183">
        <w:rPr>
          <w:rFonts w:asciiTheme="majorBidi" w:hAnsiTheme="majorBidi" w:cstheme="majorBidi"/>
          <w:lang w:val="en-US"/>
        </w:rPr>
        <w:br/>
      </w:r>
      <w:r w:rsidRPr="00D61183">
        <w:rPr>
          <w:rFonts w:asciiTheme="majorBidi" w:hAnsiTheme="majorBidi" w:cstheme="majorBidi"/>
          <w:lang w:val="en-US"/>
        </w:rPr>
        <w:tab/>
        <w:t>(to TSB Circular 276)</w:t>
      </w:r>
      <w:r w:rsidRPr="00D61183">
        <w:rPr>
          <w:rFonts w:asciiTheme="majorBidi" w:hAnsiTheme="majorBidi" w:cstheme="majorBidi"/>
          <w:sz w:val="20"/>
          <w:lang w:val="en-US"/>
        </w:rPr>
        <w:t xml:space="preserve"> </w:t>
      </w:r>
    </w:p>
    <w:p w:rsidR="00EF368B" w:rsidRPr="00D61183" w:rsidRDefault="00EF368B" w:rsidP="00EF368B">
      <w:pPr>
        <w:pStyle w:val="Annex"/>
        <w:spacing w:before="0"/>
        <w:rPr>
          <w:rFonts w:asciiTheme="majorBidi" w:hAnsiTheme="majorBidi" w:cstheme="majorBidi"/>
          <w:lang w:val="en-US"/>
        </w:rPr>
      </w:pPr>
    </w:p>
    <w:p w:rsidR="00EF368B" w:rsidRPr="00EF368B" w:rsidRDefault="00EF368B" w:rsidP="00EF368B">
      <w:pPr>
        <w:jc w:val="center"/>
        <w:rPr>
          <w:b/>
          <w:bCs/>
          <w:sz w:val="28"/>
          <w:szCs w:val="28"/>
          <w:lang w:val="en-US"/>
        </w:rPr>
      </w:pPr>
      <w:r w:rsidRPr="00EF368B">
        <w:rPr>
          <w:b/>
          <w:bCs/>
          <w:sz w:val="28"/>
          <w:szCs w:val="28"/>
          <w:lang w:val="en-US"/>
        </w:rPr>
        <w:t>Building Sustainable Communities</w:t>
      </w:r>
    </w:p>
    <w:p w:rsidR="00EF368B" w:rsidRPr="00EF368B" w:rsidRDefault="00EF368B" w:rsidP="00EF368B">
      <w:pPr>
        <w:jc w:val="center"/>
        <w:rPr>
          <w:sz w:val="22"/>
          <w:szCs w:val="22"/>
          <w:lang w:val="en-US"/>
        </w:rPr>
      </w:pPr>
      <w:r w:rsidRPr="00EF368B">
        <w:rPr>
          <w:lang w:val="en-US"/>
        </w:rPr>
        <w:t>The 5th ITU Kaleidoscope academic conference</w:t>
      </w:r>
    </w:p>
    <w:p w:rsidR="00EF368B" w:rsidRPr="00EF368B" w:rsidRDefault="00EF368B" w:rsidP="00EF368B">
      <w:pPr>
        <w:jc w:val="center"/>
        <w:rPr>
          <w:lang w:val="en-US"/>
        </w:rPr>
      </w:pPr>
      <w:r w:rsidRPr="00EF368B">
        <w:rPr>
          <w:lang w:val="en-US"/>
        </w:rPr>
        <w:t>22–24 April 2013</w:t>
      </w:r>
    </w:p>
    <w:p w:rsidR="00EF368B" w:rsidRPr="00EF368B" w:rsidRDefault="00EF368B" w:rsidP="00EF368B">
      <w:pPr>
        <w:jc w:val="center"/>
        <w:rPr>
          <w:lang w:val="en-US"/>
        </w:rPr>
      </w:pPr>
      <w:r w:rsidRPr="00EF368B">
        <w:rPr>
          <w:lang w:val="en-US"/>
        </w:rPr>
        <w:t xml:space="preserve"> Kyoto, Japan</w:t>
      </w:r>
    </w:p>
    <w:p w:rsidR="00EF368B" w:rsidRPr="00EF368B" w:rsidRDefault="00EF368B" w:rsidP="00EF368B">
      <w:pPr>
        <w:jc w:val="center"/>
        <w:rPr>
          <w:b/>
          <w:bCs/>
          <w:lang w:val="en-US"/>
        </w:rPr>
      </w:pPr>
      <w:r w:rsidRPr="00EF368B">
        <w:rPr>
          <w:b/>
          <w:bCs/>
          <w:lang w:val="en-US"/>
        </w:rPr>
        <w:t>Call for Papers</w:t>
      </w:r>
    </w:p>
    <w:p w:rsidR="00EF368B" w:rsidRPr="00EF368B" w:rsidRDefault="00EF368B" w:rsidP="00EF368B">
      <w:pPr>
        <w:jc w:val="center"/>
        <w:rPr>
          <w:lang w:val="en-US"/>
        </w:rPr>
      </w:pPr>
    </w:p>
    <w:p w:rsidR="00EF368B" w:rsidRPr="00EF368B" w:rsidRDefault="00EF368B" w:rsidP="00EF368B">
      <w:pPr>
        <w:jc w:val="center"/>
        <w:rPr>
          <w:lang w:val="en-US"/>
        </w:rPr>
      </w:pPr>
    </w:p>
    <w:p w:rsidR="00EF368B" w:rsidRPr="00EF368B" w:rsidRDefault="00EF368B" w:rsidP="00EF368B">
      <w:pPr>
        <w:rPr>
          <w:lang w:val="en-US"/>
        </w:rPr>
      </w:pPr>
      <w:r w:rsidRPr="00EF368B">
        <w:rPr>
          <w:lang w:val="en-US"/>
        </w:rPr>
        <w:t>Kaleidoscope 2013 Building Sustainable Communities − is the fifth in a series of peer-reviewed academic conferences organized by ITU that brings together a wide range of views from universities, industry and research institutions of different fields. The aim of Kaleidoscope conferences is to identify emerging developments in Information and Communication Technologies (ICTs) at an early stage to generate successful products and services through the development of international and open standards.</w:t>
      </w:r>
    </w:p>
    <w:p w:rsidR="00EF368B" w:rsidRPr="00EF368B" w:rsidRDefault="00EF368B" w:rsidP="00EF368B">
      <w:pPr>
        <w:rPr>
          <w:lang w:val="en-US"/>
        </w:rPr>
      </w:pPr>
      <w:r w:rsidRPr="00EF368B">
        <w:rPr>
          <w:lang w:val="en-US"/>
        </w:rPr>
        <w:t xml:space="preserve">Future technologies should be designed to enhance the quality of human life. </w:t>
      </w:r>
    </w:p>
    <w:p w:rsidR="00EF368B" w:rsidRPr="00EF368B" w:rsidRDefault="00EF368B" w:rsidP="00EF368B">
      <w:pPr>
        <w:rPr>
          <w:lang w:val="en-US"/>
        </w:rPr>
      </w:pPr>
      <w:r w:rsidRPr="00EF368B">
        <w:rPr>
          <w:lang w:val="en-US"/>
        </w:rPr>
        <w:t xml:space="preserve">Kaleidoscope 2013 will, therefore, highlight multidisciplinary aspects of future ICTs including future services and applications demand as well as socio-economic, cultural, ethical, legal, and sustainable development policy aspects of communities of the future. </w:t>
      </w:r>
    </w:p>
    <w:p w:rsidR="00EF368B" w:rsidRPr="00EF368B" w:rsidRDefault="00EF368B" w:rsidP="00EF368B">
      <w:pPr>
        <w:rPr>
          <w:lang w:val="en-US"/>
        </w:rPr>
      </w:pPr>
      <w:r w:rsidRPr="00EF368B">
        <w:rPr>
          <w:lang w:val="en-US"/>
        </w:rPr>
        <w:t>ICTs can be used as a catalyst for transforming life to meet the challenges of the new millennium, including global economic and financial crises, high unemployment rates, accessibility issues, global diseases, food availability and distribution, climate change, environmental disasters, energy consumption, transport systems, safety, security, and welfare.</w:t>
      </w:r>
    </w:p>
    <w:p w:rsidR="00EF368B" w:rsidRPr="00EF368B" w:rsidRDefault="00EF368B" w:rsidP="00EF368B">
      <w:pPr>
        <w:rPr>
          <w:lang w:val="en-US"/>
        </w:rPr>
      </w:pPr>
      <w:r w:rsidRPr="00EF368B">
        <w:rPr>
          <w:lang w:val="en-US"/>
        </w:rPr>
        <w:t>Sustainable communities will combine human-oriented technologies and human values.</w:t>
      </w:r>
    </w:p>
    <w:p w:rsidR="00EF368B" w:rsidRPr="00EF368B" w:rsidRDefault="00EF368B" w:rsidP="00EF368B">
      <w:pPr>
        <w:rPr>
          <w:lang w:val="en-US"/>
        </w:rPr>
      </w:pPr>
      <w:r w:rsidRPr="00EF368B">
        <w:rPr>
          <w:lang w:val="en-US"/>
        </w:rPr>
        <w:t>Besides technical issues, building sustainable communities also raises ethical concerns such as responsibility for future generations and for the environment, as well as for data and information privacy. Therefore, an improved understanding of technology, its suitable application, and a high consideration of its potential consequences are necessary.</w:t>
      </w:r>
    </w:p>
    <w:p w:rsidR="00EF368B" w:rsidRPr="00EF368B" w:rsidRDefault="00EF368B" w:rsidP="00EF368B">
      <w:pPr>
        <w:rPr>
          <w:lang w:val="en-US"/>
        </w:rPr>
      </w:pPr>
      <w:r w:rsidRPr="00EF368B">
        <w:rPr>
          <w:lang w:val="en-US"/>
        </w:rPr>
        <w:t>To address these issues, and for a co-evolution of technology and sustainable communities, standards are indispensable. Developing these standards will require concerted global efforts by inter-</w:t>
      </w:r>
      <w:proofErr w:type="spellStart"/>
      <w:r w:rsidRPr="00EF368B">
        <w:rPr>
          <w:lang w:val="en-US"/>
        </w:rPr>
        <w:t>sectoral</w:t>
      </w:r>
      <w:proofErr w:type="spellEnd"/>
      <w:r w:rsidRPr="00EF368B">
        <w:rPr>
          <w:lang w:val="en-US"/>
        </w:rPr>
        <w:t xml:space="preserve"> stakeholders. This conference will help to further such collaborations. </w:t>
      </w:r>
    </w:p>
    <w:p w:rsidR="00EF368B" w:rsidRPr="00EF368B" w:rsidRDefault="00EF368B" w:rsidP="00EF368B">
      <w:pPr>
        <w:rPr>
          <w:lang w:val="en-US"/>
        </w:rPr>
      </w:pPr>
      <w:r w:rsidRPr="00EF368B">
        <w:rPr>
          <w:lang w:val="en-US"/>
        </w:rPr>
        <w:t xml:space="preserve">Building Sustainable Communities − is calling for original academic papers offering innovative and bold approaches in research and development to build smart, ethical, and sustainable communities. </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Audience</w:t>
      </w:r>
    </w:p>
    <w:p w:rsidR="00EF368B" w:rsidRPr="00EF368B" w:rsidRDefault="00EF368B" w:rsidP="00EF368B">
      <w:pPr>
        <w:rPr>
          <w:lang w:val="en-US"/>
        </w:rPr>
      </w:pPr>
      <w:r w:rsidRPr="00EF368B">
        <w:rPr>
          <w:lang w:val="en-US"/>
        </w:rPr>
        <w:t>Kaleidoscope 2013 is targeted at all specialists with a role in the field, including researchers, academics, students, engineers, policy-makers and regulators, innovators and futurists from all over the world.</w:t>
      </w:r>
    </w:p>
    <w:p w:rsidR="00EF368B" w:rsidRPr="00EF368B" w:rsidRDefault="00EF368B" w:rsidP="00EF368B">
      <w:pPr>
        <w:rPr>
          <w:b/>
          <w:bCs/>
          <w:lang w:val="en-US"/>
        </w:rPr>
      </w:pPr>
    </w:p>
    <w:p w:rsidR="00EF368B" w:rsidRPr="00EF368B" w:rsidRDefault="00EF368B" w:rsidP="00EF368B">
      <w:pPr>
        <w:rPr>
          <w:b/>
          <w:bCs/>
          <w:lang w:val="en-US"/>
        </w:rPr>
      </w:pPr>
      <w:r w:rsidRPr="00EF368B">
        <w:rPr>
          <w:b/>
          <w:bCs/>
          <w:lang w:val="en-US"/>
        </w:rPr>
        <w:t>Date and venue</w:t>
      </w:r>
    </w:p>
    <w:p w:rsidR="00EF368B" w:rsidRPr="00EF368B" w:rsidRDefault="00EF368B" w:rsidP="00EF368B">
      <w:pPr>
        <w:rPr>
          <w:lang w:val="en-US"/>
        </w:rPr>
      </w:pPr>
      <w:r w:rsidRPr="00EF368B">
        <w:rPr>
          <w:lang w:val="en-US"/>
        </w:rPr>
        <w:t>22–24 April 2013, Kyoto, Japan</w:t>
      </w:r>
    </w:p>
    <w:p w:rsidR="00EF368B" w:rsidRPr="00EF368B" w:rsidRDefault="00EF368B" w:rsidP="00EF368B">
      <w:pPr>
        <w:rPr>
          <w:b/>
          <w:bCs/>
          <w:lang w:val="en-US"/>
        </w:rPr>
      </w:pPr>
    </w:p>
    <w:p w:rsidR="00EF368B" w:rsidRPr="00EF368B" w:rsidRDefault="00EF368B" w:rsidP="00EF368B">
      <w:pPr>
        <w:rPr>
          <w:b/>
          <w:bCs/>
          <w:lang w:val="en-US"/>
        </w:rPr>
      </w:pPr>
    </w:p>
    <w:p w:rsidR="00EF368B" w:rsidRPr="00EF368B" w:rsidRDefault="00EF368B" w:rsidP="00EF368B">
      <w:pPr>
        <w:rPr>
          <w:b/>
          <w:bCs/>
          <w:lang w:val="en-US"/>
        </w:rPr>
      </w:pPr>
      <w:r w:rsidRPr="00EF368B">
        <w:rPr>
          <w:b/>
          <w:bCs/>
          <w:lang w:val="en-US"/>
        </w:rPr>
        <w:lastRenderedPageBreak/>
        <w:t>Submission of papers</w:t>
      </w:r>
    </w:p>
    <w:p w:rsidR="00EF368B" w:rsidRPr="00EF368B" w:rsidRDefault="00EF368B" w:rsidP="00EF368B">
      <w:pPr>
        <w:rPr>
          <w:lang w:val="en-US"/>
        </w:rPr>
      </w:pPr>
      <w:r w:rsidRPr="00EF368B">
        <w:rPr>
          <w:lang w:val="en-US"/>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3" w:history="1">
        <w:r w:rsidRPr="00EF368B">
          <w:rPr>
            <w:rStyle w:val="Hyperlink"/>
            <w:lang w:val="en-US"/>
          </w:rPr>
          <w:t>http://itu-kaleidoscope.org/2013</w:t>
        </w:r>
      </w:hyperlink>
      <w:r w:rsidRPr="00EF368B">
        <w:rPr>
          <w:lang w:val="en-US"/>
        </w:rPr>
        <w:t xml:space="preserve"> for the online submission (EDAS). Paper proposals will be evaluated according to content, originality, clarity, relevance to the conference’s theme and in particular significance to future standards. </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Deadlines</w:t>
      </w:r>
    </w:p>
    <w:p w:rsidR="00EF368B" w:rsidRPr="00EF368B" w:rsidRDefault="00EF368B" w:rsidP="00EF368B">
      <w:pPr>
        <w:rPr>
          <w:lang w:val="en-US"/>
        </w:rPr>
      </w:pPr>
      <w:r w:rsidRPr="00EF368B">
        <w:rPr>
          <w:lang w:val="en-US"/>
        </w:rPr>
        <w:t xml:space="preserve">Submission of full paper proposals: </w:t>
      </w:r>
      <w:r w:rsidRPr="00EF368B">
        <w:rPr>
          <w:color w:val="FF0000"/>
          <w:lang w:val="en-US"/>
        </w:rPr>
        <w:t>Mon 10 Sept 2012</w:t>
      </w:r>
    </w:p>
    <w:p w:rsidR="00EF368B" w:rsidRPr="00EF368B" w:rsidRDefault="00EF368B" w:rsidP="00EF368B">
      <w:pPr>
        <w:rPr>
          <w:lang w:val="en-US"/>
        </w:rPr>
      </w:pPr>
      <w:r w:rsidRPr="00EF368B">
        <w:rPr>
          <w:lang w:val="en-US"/>
        </w:rPr>
        <w:t>Notification of paper acceptance: Mon 12 Nov 2012</w:t>
      </w:r>
    </w:p>
    <w:p w:rsidR="00EF368B" w:rsidRPr="00EF368B" w:rsidRDefault="00EF368B" w:rsidP="00EF368B">
      <w:pPr>
        <w:rPr>
          <w:lang w:val="en-US"/>
        </w:rPr>
      </w:pPr>
      <w:r w:rsidRPr="00EF368B">
        <w:rPr>
          <w:lang w:val="en-US"/>
        </w:rPr>
        <w:t>Submission of camera-ready accepted papers: Mon 3 Dec 2012</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Publication and presentation</w:t>
      </w:r>
    </w:p>
    <w:p w:rsidR="00EF368B" w:rsidRPr="00EF368B" w:rsidRDefault="00EF368B" w:rsidP="00EF368B">
      <w:pPr>
        <w:spacing w:before="0"/>
        <w:rPr>
          <w:lang w:val="en-US"/>
        </w:rPr>
      </w:pPr>
      <w:r w:rsidRPr="00EF368B">
        <w:rPr>
          <w:lang w:val="en-US"/>
        </w:rPr>
        <w:t xml:space="preserve">Accepted papers will be presented during the event and published in the proceedings and in IEEE </w:t>
      </w:r>
      <w:proofErr w:type="spellStart"/>
      <w:r w:rsidRPr="00EF368B">
        <w:rPr>
          <w:lang w:val="en-US"/>
        </w:rPr>
        <w:t>Xplore</w:t>
      </w:r>
      <w:proofErr w:type="spellEnd"/>
      <w:r w:rsidRPr="00EF368B">
        <w:rPr>
          <w:lang w:val="en-US"/>
        </w:rPr>
        <w:t>. The best papers will be evaluated for potential publication in IEEE Communications Magazine. In addition, selected papers will be considered for publication in the International Journal of Technology Marketing or the International Journal of IT Standards &amp; Standardization Research.</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Awards</w:t>
      </w:r>
    </w:p>
    <w:p w:rsidR="00EF368B" w:rsidRPr="00EF368B" w:rsidRDefault="00EF368B" w:rsidP="00EF368B">
      <w:pPr>
        <w:rPr>
          <w:lang w:val="en-US"/>
        </w:rPr>
      </w:pPr>
      <w:r w:rsidRPr="00EF368B">
        <w:rPr>
          <w:lang w:val="en-US"/>
        </w:rPr>
        <w:t xml:space="preserve">Awards of USD 5k, 3k and 2k will be granted to selected best papers, as judged by the Steering and Technical </w:t>
      </w:r>
      <w:proofErr w:type="spellStart"/>
      <w:r w:rsidRPr="00EF368B">
        <w:rPr>
          <w:lang w:val="en-US"/>
        </w:rPr>
        <w:t>Programme</w:t>
      </w:r>
      <w:proofErr w:type="spellEnd"/>
      <w:r w:rsidRPr="00EF368B">
        <w:rPr>
          <w:lang w:val="en-US"/>
        </w:rPr>
        <w:t xml:space="preserve"> Committees. In addition, young authors presenting accepted papers will receive a Young Author Recognition certificate.</w:t>
      </w:r>
    </w:p>
    <w:p w:rsidR="00EF368B" w:rsidRPr="00EF368B" w:rsidRDefault="00EF368B" w:rsidP="00EF368B">
      <w:pPr>
        <w:rPr>
          <w:lang w:val="en-US"/>
        </w:rPr>
      </w:pPr>
    </w:p>
    <w:p w:rsidR="00EF368B" w:rsidRDefault="00EF368B" w:rsidP="00EF368B">
      <w:pPr>
        <w:rPr>
          <w:b/>
          <w:bCs/>
        </w:rPr>
      </w:pPr>
      <w:proofErr w:type="spellStart"/>
      <w:r>
        <w:rPr>
          <w:b/>
          <w:bCs/>
        </w:rPr>
        <w:t>Steering</w:t>
      </w:r>
      <w:proofErr w:type="spellEnd"/>
      <w:r>
        <w:rPr>
          <w:b/>
          <w:bCs/>
        </w:rPr>
        <w:t xml:space="preserve"> </w:t>
      </w:r>
      <w:proofErr w:type="spellStart"/>
      <w:r>
        <w:rPr>
          <w:b/>
          <w:bCs/>
        </w:rPr>
        <w:t>Committee</w:t>
      </w:r>
      <w:proofErr w:type="spellEnd"/>
    </w:p>
    <w:p w:rsidR="00EF368B" w:rsidRDefault="00EF368B" w:rsidP="00EF368B">
      <w:pPr>
        <w:pStyle w:val="ListParagraph"/>
        <w:numPr>
          <w:ilvl w:val="0"/>
          <w:numId w:val="5"/>
        </w:numPr>
      </w:pPr>
      <w:proofErr w:type="spellStart"/>
      <w:r>
        <w:t>Christoph</w:t>
      </w:r>
      <w:proofErr w:type="spellEnd"/>
      <w:r>
        <w:t xml:space="preserve"> </w:t>
      </w:r>
      <w:proofErr w:type="spellStart"/>
      <w:r>
        <w:t>Dosch</w:t>
      </w:r>
      <w:proofErr w:type="spellEnd"/>
      <w:r>
        <w:t xml:space="preserve"> (ITU-R Study Group 6 Chairman; IRT GmbH, DE) </w:t>
      </w:r>
    </w:p>
    <w:p w:rsidR="00EF368B" w:rsidRDefault="00EF368B" w:rsidP="00EF368B">
      <w:pPr>
        <w:pStyle w:val="ListParagraph"/>
        <w:numPr>
          <w:ilvl w:val="0"/>
          <w:numId w:val="5"/>
        </w:numPr>
      </w:pPr>
      <w:proofErr w:type="spellStart"/>
      <w:r>
        <w:t>Roch</w:t>
      </w:r>
      <w:proofErr w:type="spellEnd"/>
      <w:r>
        <w:t xml:space="preserve"> </w:t>
      </w:r>
      <w:proofErr w:type="spellStart"/>
      <w:r>
        <w:t>Glitho</w:t>
      </w:r>
      <w:proofErr w:type="spellEnd"/>
      <w:r>
        <w:t xml:space="preserve"> (Concordia University, CA) </w:t>
      </w:r>
    </w:p>
    <w:p w:rsidR="00EF368B" w:rsidRDefault="00EF368B" w:rsidP="00EF368B">
      <w:pPr>
        <w:pStyle w:val="ListParagraph"/>
        <w:numPr>
          <w:ilvl w:val="0"/>
          <w:numId w:val="5"/>
        </w:numPr>
      </w:pPr>
      <w:r>
        <w:t xml:space="preserve">Kai </w:t>
      </w:r>
      <w:proofErr w:type="spellStart"/>
      <w:r>
        <w:t>Jakobs</w:t>
      </w:r>
      <w:proofErr w:type="spellEnd"/>
      <w:r>
        <w:t xml:space="preserve"> (RWTH Aachen University, DE)</w:t>
      </w:r>
      <w:r w:rsidR="00266A4E">
        <w:t xml:space="preserve"> </w:t>
      </w:r>
    </w:p>
    <w:p w:rsidR="00EF368B" w:rsidRDefault="00EF368B" w:rsidP="00EF368B">
      <w:pPr>
        <w:pStyle w:val="ListParagraph"/>
        <w:numPr>
          <w:ilvl w:val="0"/>
          <w:numId w:val="5"/>
        </w:numPr>
      </w:pPr>
      <w:proofErr w:type="spellStart"/>
      <w:r>
        <w:t>Mostafa</w:t>
      </w:r>
      <w:proofErr w:type="spellEnd"/>
      <w:r>
        <w:t xml:space="preserve"> </w:t>
      </w:r>
      <w:proofErr w:type="spellStart"/>
      <w:r>
        <w:t>Hashem</w:t>
      </w:r>
      <w:proofErr w:type="spellEnd"/>
      <w:r>
        <w:t xml:space="preserve"> </w:t>
      </w:r>
      <w:proofErr w:type="spellStart"/>
      <w:r>
        <w:t>Sherif</w:t>
      </w:r>
      <w:proofErr w:type="spellEnd"/>
      <w:r>
        <w:t xml:space="preserve"> (AT&amp;T, US) </w:t>
      </w:r>
    </w:p>
    <w:p w:rsidR="00EF368B" w:rsidRPr="004E67EA" w:rsidRDefault="00EF368B" w:rsidP="00EF368B">
      <w:pPr>
        <w:pStyle w:val="ListParagraph"/>
        <w:numPr>
          <w:ilvl w:val="0"/>
          <w:numId w:val="5"/>
        </w:numPr>
        <w:rPr>
          <w:lang w:val="es-ES_tradnl"/>
        </w:rPr>
      </w:pPr>
      <w:r w:rsidRPr="004E67EA">
        <w:rPr>
          <w:lang w:val="es-ES_tradnl"/>
        </w:rPr>
        <w:t xml:space="preserve">Alfredo </w:t>
      </w:r>
      <w:proofErr w:type="spellStart"/>
      <w:r w:rsidRPr="004E67EA">
        <w:rPr>
          <w:lang w:val="es-ES_tradnl"/>
        </w:rPr>
        <w:t>Terzoli</w:t>
      </w:r>
      <w:proofErr w:type="spellEnd"/>
      <w:r w:rsidRPr="004E67EA">
        <w:rPr>
          <w:lang w:val="es-ES_tradnl"/>
        </w:rPr>
        <w:t xml:space="preserve"> (</w:t>
      </w:r>
      <w:proofErr w:type="spellStart"/>
      <w:r w:rsidRPr="004E67EA">
        <w:rPr>
          <w:lang w:val="es-ES_tradnl"/>
        </w:rPr>
        <w:t>Rhodes</w:t>
      </w:r>
      <w:proofErr w:type="spellEnd"/>
      <w:r w:rsidRPr="004E67EA">
        <w:rPr>
          <w:lang w:val="es-ES_tradnl"/>
        </w:rPr>
        <w:t xml:space="preserve"> </w:t>
      </w:r>
      <w:proofErr w:type="spellStart"/>
      <w:r w:rsidRPr="004E67EA">
        <w:rPr>
          <w:lang w:val="es-ES_tradnl"/>
        </w:rPr>
        <w:t>University</w:t>
      </w:r>
      <w:proofErr w:type="spellEnd"/>
      <w:r w:rsidRPr="004E67EA">
        <w:rPr>
          <w:lang w:val="es-ES_tradnl"/>
        </w:rPr>
        <w:t>, ZA)</w:t>
      </w:r>
    </w:p>
    <w:p w:rsidR="00EF368B" w:rsidRDefault="00EF368B" w:rsidP="00EF368B">
      <w:pPr>
        <w:rPr>
          <w:b/>
          <w:bCs/>
        </w:rPr>
      </w:pPr>
      <w:r>
        <w:rPr>
          <w:b/>
          <w:bCs/>
        </w:rPr>
        <w:t xml:space="preserve">Host </w:t>
      </w:r>
      <w:proofErr w:type="spellStart"/>
      <w:r>
        <w:rPr>
          <w:b/>
          <w:bCs/>
        </w:rPr>
        <w:t>Committee</w:t>
      </w:r>
      <w:proofErr w:type="spellEnd"/>
    </w:p>
    <w:p w:rsidR="00EF368B" w:rsidRDefault="00EF368B" w:rsidP="00EF368B">
      <w:pPr>
        <w:pStyle w:val="ListParagraph"/>
        <w:numPr>
          <w:ilvl w:val="0"/>
          <w:numId w:val="5"/>
        </w:numPr>
      </w:pPr>
      <w:r>
        <w:t xml:space="preserve">Chairman: </w:t>
      </w:r>
      <w:proofErr w:type="spellStart"/>
      <w:r>
        <w:t>Tatsuro</w:t>
      </w:r>
      <w:proofErr w:type="spellEnd"/>
      <w:r>
        <w:t xml:space="preserve"> Takahashi (Kyoto University, JP)</w:t>
      </w:r>
    </w:p>
    <w:p w:rsidR="00EF368B" w:rsidRDefault="00EF368B" w:rsidP="00EF368B">
      <w:pPr>
        <w:pStyle w:val="ListParagraph"/>
        <w:numPr>
          <w:ilvl w:val="0"/>
          <w:numId w:val="5"/>
        </w:numPr>
      </w:pPr>
      <w:proofErr w:type="spellStart"/>
      <w:r>
        <w:t>Tohru</w:t>
      </w:r>
      <w:proofErr w:type="spellEnd"/>
      <w:r>
        <w:t xml:space="preserve"> </w:t>
      </w:r>
      <w:proofErr w:type="spellStart"/>
      <w:r>
        <w:t>Asami</w:t>
      </w:r>
      <w:proofErr w:type="spellEnd"/>
      <w:r>
        <w:t xml:space="preserve"> (University of Tokyo, JP) </w:t>
      </w:r>
    </w:p>
    <w:p w:rsidR="00EF368B" w:rsidRDefault="00EF368B" w:rsidP="00EF368B">
      <w:pPr>
        <w:pStyle w:val="ListParagraph"/>
        <w:numPr>
          <w:ilvl w:val="0"/>
          <w:numId w:val="5"/>
        </w:numPr>
        <w:rPr>
          <w:lang w:val="es-ES_tradnl"/>
        </w:rPr>
      </w:pPr>
      <w:proofErr w:type="spellStart"/>
      <w:r w:rsidRPr="004E67EA">
        <w:rPr>
          <w:lang w:val="es-ES_tradnl"/>
        </w:rPr>
        <w:t>Yoshikazu</w:t>
      </w:r>
      <w:proofErr w:type="spellEnd"/>
      <w:r w:rsidRPr="004E67EA">
        <w:rPr>
          <w:lang w:val="es-ES_tradnl"/>
        </w:rPr>
        <w:t xml:space="preserve"> </w:t>
      </w:r>
      <w:proofErr w:type="spellStart"/>
      <w:r w:rsidRPr="004E67EA">
        <w:rPr>
          <w:lang w:val="es-ES_tradnl"/>
        </w:rPr>
        <w:t>Ikeda</w:t>
      </w:r>
      <w:proofErr w:type="spellEnd"/>
      <w:r w:rsidRPr="004E67EA">
        <w:rPr>
          <w:lang w:val="es-ES_tradnl"/>
        </w:rPr>
        <w:t xml:space="preserve"> (</w:t>
      </w:r>
      <w:proofErr w:type="spellStart"/>
      <w:r w:rsidRPr="004E67EA">
        <w:rPr>
          <w:lang w:val="es-ES_tradnl"/>
        </w:rPr>
        <w:t>Otani</w:t>
      </w:r>
      <w:proofErr w:type="spellEnd"/>
      <w:r w:rsidRPr="004E67EA">
        <w:rPr>
          <w:lang w:val="es-ES_tradnl"/>
        </w:rPr>
        <w:t xml:space="preserve"> </w:t>
      </w:r>
      <w:proofErr w:type="spellStart"/>
      <w:r w:rsidRPr="004E67EA">
        <w:rPr>
          <w:lang w:val="es-ES_tradnl"/>
        </w:rPr>
        <w:t>University</w:t>
      </w:r>
      <w:proofErr w:type="spellEnd"/>
      <w:r w:rsidRPr="004E67EA">
        <w:rPr>
          <w:lang w:val="es-ES_tradnl"/>
        </w:rPr>
        <w:t>, JP)</w:t>
      </w:r>
    </w:p>
    <w:p w:rsidR="00EF368B" w:rsidRPr="009A176F" w:rsidRDefault="00EF368B" w:rsidP="00EF368B">
      <w:pPr>
        <w:pStyle w:val="ListParagraph"/>
        <w:numPr>
          <w:ilvl w:val="0"/>
          <w:numId w:val="5"/>
        </w:numPr>
        <w:rPr>
          <w:lang w:val="es-ES_tradnl"/>
        </w:rPr>
      </w:pPr>
      <w:proofErr w:type="spellStart"/>
      <w:r w:rsidRPr="009A176F">
        <w:rPr>
          <w:lang w:val="es-ES_tradnl"/>
        </w:rPr>
        <w:t>Yasuyuki</w:t>
      </w:r>
      <w:proofErr w:type="spellEnd"/>
      <w:r w:rsidRPr="009A176F">
        <w:rPr>
          <w:lang w:val="es-ES_tradnl"/>
        </w:rPr>
        <w:t xml:space="preserve"> </w:t>
      </w:r>
      <w:proofErr w:type="spellStart"/>
      <w:r w:rsidRPr="009A176F">
        <w:rPr>
          <w:lang w:val="es-ES_tradnl"/>
        </w:rPr>
        <w:t>Koga</w:t>
      </w:r>
      <w:proofErr w:type="spellEnd"/>
      <w:r w:rsidRPr="009A176F">
        <w:rPr>
          <w:lang w:val="es-ES_tradnl"/>
        </w:rPr>
        <w:t xml:space="preserve"> (NICT, JP)</w:t>
      </w:r>
    </w:p>
    <w:p w:rsidR="00EF368B" w:rsidRPr="004E67EA" w:rsidRDefault="00EF368B" w:rsidP="00EF368B">
      <w:pPr>
        <w:pStyle w:val="ListParagraph"/>
        <w:numPr>
          <w:ilvl w:val="0"/>
          <w:numId w:val="5"/>
        </w:numPr>
        <w:rPr>
          <w:lang w:val="es-ES_tradnl"/>
        </w:rPr>
      </w:pPr>
      <w:proofErr w:type="spellStart"/>
      <w:r w:rsidRPr="004E67EA">
        <w:rPr>
          <w:lang w:val="es-ES_tradnl"/>
        </w:rPr>
        <w:t>Yoichi</w:t>
      </w:r>
      <w:proofErr w:type="spellEnd"/>
      <w:r w:rsidRPr="004E67EA">
        <w:rPr>
          <w:lang w:val="es-ES_tradnl"/>
        </w:rPr>
        <w:t xml:space="preserve"> </w:t>
      </w:r>
      <w:proofErr w:type="spellStart"/>
      <w:r w:rsidRPr="004E67EA">
        <w:rPr>
          <w:lang w:val="es-ES_tradnl"/>
        </w:rPr>
        <w:t>Maeda</w:t>
      </w:r>
      <w:proofErr w:type="spellEnd"/>
      <w:r w:rsidRPr="004E67EA">
        <w:rPr>
          <w:lang w:val="es-ES_tradnl"/>
        </w:rPr>
        <w:t xml:space="preserve"> (TTC, JP) </w:t>
      </w:r>
    </w:p>
    <w:p w:rsidR="00EF368B" w:rsidRPr="004E67EA" w:rsidRDefault="00EF368B" w:rsidP="00EF368B">
      <w:pPr>
        <w:pStyle w:val="ListParagraph"/>
        <w:numPr>
          <w:ilvl w:val="0"/>
          <w:numId w:val="5"/>
        </w:numPr>
        <w:rPr>
          <w:lang w:val="en-US"/>
        </w:rPr>
      </w:pPr>
      <w:proofErr w:type="spellStart"/>
      <w:r>
        <w:t>Mitsuji</w:t>
      </w:r>
      <w:proofErr w:type="spellEnd"/>
      <w:r>
        <w:t xml:space="preserve"> Matsumoto (</w:t>
      </w:r>
      <w:proofErr w:type="spellStart"/>
      <w:r>
        <w:t>Waseda</w:t>
      </w:r>
      <w:proofErr w:type="spellEnd"/>
      <w:r>
        <w:t xml:space="preserve"> University, JP) </w:t>
      </w:r>
    </w:p>
    <w:p w:rsidR="00EF368B" w:rsidRDefault="00EF368B" w:rsidP="00EF368B">
      <w:pPr>
        <w:pStyle w:val="ListParagraph"/>
        <w:numPr>
          <w:ilvl w:val="0"/>
          <w:numId w:val="5"/>
        </w:numPr>
      </w:pPr>
      <w:proofErr w:type="spellStart"/>
      <w:r>
        <w:rPr>
          <w:rFonts w:hint="eastAsia"/>
        </w:rPr>
        <w:t>Tetsutaro</w:t>
      </w:r>
      <w:proofErr w:type="spellEnd"/>
      <w:r>
        <w:rPr>
          <w:rFonts w:hint="eastAsia"/>
        </w:rPr>
        <w:t xml:space="preserve"> </w:t>
      </w:r>
      <w:proofErr w:type="spellStart"/>
      <w:r>
        <w:rPr>
          <w:rFonts w:hint="eastAsia"/>
        </w:rPr>
        <w:t>Uehara</w:t>
      </w:r>
      <w:proofErr w:type="spellEnd"/>
      <w:r>
        <w:rPr>
          <w:rFonts w:hint="eastAsia"/>
        </w:rPr>
        <w:t xml:space="preserve"> (Ministry of Internal Affairs and Communication</w:t>
      </w:r>
      <w:r>
        <w:t>, JP</w:t>
      </w:r>
      <w:r>
        <w:rPr>
          <w:rFonts w:hint="eastAsia"/>
        </w:rPr>
        <w:t>)</w:t>
      </w:r>
    </w:p>
    <w:p w:rsidR="00EF368B" w:rsidRPr="00EF368B" w:rsidRDefault="00EF368B" w:rsidP="00EF368B">
      <w:pPr>
        <w:rPr>
          <w:b/>
          <w:bCs/>
          <w:lang w:val="en-US"/>
        </w:rPr>
      </w:pPr>
      <w:r w:rsidRPr="00EF368B">
        <w:rPr>
          <w:b/>
          <w:bCs/>
          <w:lang w:val="en-US"/>
        </w:rPr>
        <w:t xml:space="preserve">Technical </w:t>
      </w:r>
      <w:proofErr w:type="spellStart"/>
      <w:r w:rsidRPr="00EF368B">
        <w:rPr>
          <w:b/>
          <w:bCs/>
          <w:lang w:val="en-US"/>
        </w:rPr>
        <w:t>Programme</w:t>
      </w:r>
      <w:proofErr w:type="spellEnd"/>
      <w:r w:rsidRPr="00EF368B">
        <w:rPr>
          <w:b/>
          <w:bCs/>
          <w:lang w:val="en-US"/>
        </w:rPr>
        <w:t xml:space="preserve"> Committee</w:t>
      </w:r>
    </w:p>
    <w:p w:rsidR="00EF368B" w:rsidRPr="00EF368B" w:rsidRDefault="00EF368B" w:rsidP="00EF368B">
      <w:pPr>
        <w:rPr>
          <w:lang w:val="en-US"/>
        </w:rPr>
      </w:pPr>
      <w:r w:rsidRPr="00EF368B">
        <w:rPr>
          <w:lang w:val="en-US"/>
        </w:rPr>
        <w:t xml:space="preserve">Chairman: Kai </w:t>
      </w:r>
      <w:proofErr w:type="spellStart"/>
      <w:r w:rsidRPr="00EF368B">
        <w:rPr>
          <w:lang w:val="en-US"/>
        </w:rPr>
        <w:t>Jakobs</w:t>
      </w:r>
      <w:proofErr w:type="spellEnd"/>
      <w:r w:rsidRPr="00EF368B">
        <w:rPr>
          <w:lang w:val="en-US"/>
        </w:rPr>
        <w:t xml:space="preserve"> (RWTH Aachen University, DE)</w:t>
      </w:r>
    </w:p>
    <w:p w:rsidR="00EF368B" w:rsidRPr="00EF368B" w:rsidRDefault="00EF368B" w:rsidP="00EF368B">
      <w:pPr>
        <w:rPr>
          <w:lang w:val="en-US"/>
        </w:rPr>
      </w:pPr>
      <w:r w:rsidRPr="00EF368B">
        <w:rPr>
          <w:lang w:val="en-US"/>
        </w:rPr>
        <w:t xml:space="preserve">The Technical </w:t>
      </w:r>
      <w:proofErr w:type="spellStart"/>
      <w:r w:rsidRPr="00EF368B">
        <w:rPr>
          <w:lang w:val="en-US"/>
        </w:rPr>
        <w:t>Programme</w:t>
      </w:r>
      <w:proofErr w:type="spellEnd"/>
      <w:r w:rsidRPr="00EF368B">
        <w:rPr>
          <w:lang w:val="en-US"/>
        </w:rPr>
        <w:t xml:space="preserve"> Committee is composed of over 100 subject matter experts worldwide. Full details are available at </w:t>
      </w:r>
      <w:hyperlink r:id="rId14" w:history="1">
        <w:r w:rsidRPr="00EF368B">
          <w:rPr>
            <w:rStyle w:val="Hyperlink"/>
            <w:lang w:val="en-US"/>
          </w:rPr>
          <w:t>http://www.itu.int/ITU-T/uni/kaleidoscope/2013/progcom.html</w:t>
        </w:r>
      </w:hyperlink>
      <w:r w:rsidRPr="00EF368B">
        <w:rPr>
          <w:rStyle w:val="Hyperlink"/>
          <w:lang w:val="en-US"/>
        </w:rPr>
        <w:t>.</w:t>
      </w:r>
    </w:p>
    <w:p w:rsidR="00EF368B" w:rsidRDefault="00EF368B" w:rsidP="00EF368B">
      <w:pPr>
        <w:tabs>
          <w:tab w:val="clear" w:pos="794"/>
          <w:tab w:val="clear" w:pos="1191"/>
          <w:tab w:val="clear" w:pos="1588"/>
          <w:tab w:val="clear" w:pos="1985"/>
        </w:tabs>
        <w:spacing w:before="0"/>
        <w:rPr>
          <w:b/>
          <w:bCs/>
          <w:lang w:val="en-US"/>
        </w:rPr>
      </w:pPr>
    </w:p>
    <w:p w:rsidR="00EF368B" w:rsidRDefault="00EF368B" w:rsidP="00EF368B">
      <w:pPr>
        <w:tabs>
          <w:tab w:val="clear" w:pos="794"/>
          <w:tab w:val="clear" w:pos="1191"/>
          <w:tab w:val="clear" w:pos="1588"/>
          <w:tab w:val="clear" w:pos="1985"/>
        </w:tabs>
        <w:spacing w:before="0"/>
        <w:rPr>
          <w:b/>
          <w:bCs/>
          <w:lang w:val="en-US"/>
        </w:rPr>
      </w:pPr>
    </w:p>
    <w:p w:rsidR="00EF368B" w:rsidRPr="00EF368B" w:rsidRDefault="00EF368B" w:rsidP="00EF368B">
      <w:pPr>
        <w:tabs>
          <w:tab w:val="clear" w:pos="794"/>
          <w:tab w:val="clear" w:pos="1191"/>
          <w:tab w:val="clear" w:pos="1588"/>
          <w:tab w:val="clear" w:pos="1985"/>
        </w:tabs>
        <w:spacing w:before="0"/>
        <w:rPr>
          <w:b/>
          <w:bCs/>
          <w:lang w:val="en-US"/>
        </w:rPr>
      </w:pPr>
      <w:r w:rsidRPr="00EF368B">
        <w:rPr>
          <w:b/>
          <w:bCs/>
          <w:lang w:val="en-US"/>
        </w:rPr>
        <w:lastRenderedPageBreak/>
        <w:t>Keywords</w:t>
      </w:r>
    </w:p>
    <w:p w:rsidR="00EF368B" w:rsidRPr="00EF368B" w:rsidRDefault="00EF368B" w:rsidP="00EF368B">
      <w:pPr>
        <w:rPr>
          <w:lang w:val="en-US"/>
        </w:rPr>
      </w:pPr>
      <w:r w:rsidRPr="00EF368B">
        <w:rPr>
          <w:lang w:val="en-US"/>
        </w:rPr>
        <w:t>Information and communication technologies (ICTs), human-oriented technologies, technological innovation, standardization, ambient intelligence, ubiquitous networks, internet of things, M2M</w:t>
      </w:r>
      <w:proofErr w:type="gramStart"/>
      <w:r w:rsidRPr="00EF368B">
        <w:rPr>
          <w:lang w:val="en-US"/>
        </w:rPr>
        <w:t>,</w:t>
      </w:r>
      <w:proofErr w:type="gramEnd"/>
      <w:r w:rsidRPr="00EF368B">
        <w:rPr>
          <w:lang w:val="en-US"/>
        </w:rPr>
        <w:br/>
        <w:t>e-applications, information society, ethics, sustainability, environment.</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For additional information</w:t>
      </w:r>
    </w:p>
    <w:p w:rsidR="00EF368B" w:rsidRPr="00EF368B" w:rsidRDefault="00EF368B" w:rsidP="00EF368B">
      <w:pPr>
        <w:rPr>
          <w:lang w:val="en-US"/>
        </w:rPr>
      </w:pPr>
      <w:r w:rsidRPr="00EF368B">
        <w:rPr>
          <w:lang w:val="en-US"/>
        </w:rPr>
        <w:t xml:space="preserve">Additional information is available on the conference website: </w:t>
      </w:r>
      <w:hyperlink r:id="rId15" w:history="1">
        <w:r w:rsidRPr="00EF368B">
          <w:rPr>
            <w:rStyle w:val="Hyperlink"/>
            <w:lang w:val="en-US"/>
          </w:rPr>
          <w:t>http://itu-kaleidoscope.org/2013</w:t>
        </w:r>
      </w:hyperlink>
      <w:r w:rsidRPr="00EF368B">
        <w:rPr>
          <w:lang w:val="en-US"/>
        </w:rPr>
        <w:t>.</w:t>
      </w:r>
    </w:p>
    <w:p w:rsidR="00EF368B" w:rsidRPr="00EF368B" w:rsidRDefault="00EF368B" w:rsidP="00EF368B">
      <w:pPr>
        <w:rPr>
          <w:lang w:val="en-US"/>
        </w:rPr>
      </w:pPr>
      <w:r w:rsidRPr="00EF368B">
        <w:rPr>
          <w:lang w:val="en-US"/>
        </w:rPr>
        <w:t xml:space="preserve">Inquiries should be addressed to </w:t>
      </w:r>
      <w:hyperlink r:id="rId16" w:history="1">
        <w:r w:rsidRPr="00EF368B">
          <w:rPr>
            <w:rStyle w:val="Hyperlink"/>
            <w:lang w:val="en-US"/>
          </w:rPr>
          <w:t>kaleidoscop</w:t>
        </w:r>
        <w:bookmarkStart w:id="3" w:name="_GoBack"/>
        <w:bookmarkEnd w:id="3"/>
        <w:r w:rsidRPr="00EF368B">
          <w:rPr>
            <w:rStyle w:val="Hyperlink"/>
            <w:lang w:val="en-US"/>
          </w:rPr>
          <w:t>e@itu.int</w:t>
        </w:r>
      </w:hyperlink>
      <w:r w:rsidRPr="00EF368B">
        <w:rPr>
          <w:rStyle w:val="Hyperlink"/>
          <w:lang w:val="en-US"/>
        </w:rPr>
        <w:t>.</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Suggested (non-exclusive) list of topics</w:t>
      </w:r>
    </w:p>
    <w:p w:rsidR="00EF368B" w:rsidRPr="00EF368B" w:rsidRDefault="00EF368B" w:rsidP="00EF368B">
      <w:pPr>
        <w:rPr>
          <w:b/>
          <w:bCs/>
          <w:lang w:val="en-US"/>
        </w:rPr>
        <w:sectPr w:rsidR="00EF368B" w:rsidRPr="00EF368B" w:rsidSect="00EF368B">
          <w:headerReference w:type="default" r:id="rId17"/>
          <w:footerReference w:type="default" r:id="rId18"/>
          <w:footerReference w:type="first" r:id="rId19"/>
          <w:pgSz w:w="11907" w:h="16840" w:code="9"/>
          <w:pgMar w:top="567" w:right="1089" w:bottom="567" w:left="1089" w:header="567" w:footer="567" w:gutter="0"/>
          <w:paperSrc w:first="15" w:other="15"/>
          <w:cols w:space="720"/>
          <w:titlePg/>
        </w:sectPr>
      </w:pPr>
    </w:p>
    <w:p w:rsidR="00EF368B" w:rsidRPr="00EF368B" w:rsidRDefault="00EF368B" w:rsidP="00EF368B">
      <w:pPr>
        <w:rPr>
          <w:b/>
          <w:bCs/>
          <w:lang w:val="en-US"/>
        </w:rPr>
      </w:pPr>
      <w:r w:rsidRPr="00EF368B">
        <w:rPr>
          <w:b/>
          <w:bCs/>
          <w:lang w:val="en-US"/>
        </w:rPr>
        <w:lastRenderedPageBreak/>
        <w:t>Track 1: Technology and architecture evolution</w:t>
      </w:r>
    </w:p>
    <w:p w:rsidR="00EF368B" w:rsidRPr="00EF368B" w:rsidRDefault="00EF368B" w:rsidP="00EF368B">
      <w:pPr>
        <w:spacing w:before="60"/>
        <w:rPr>
          <w:lang w:val="en-US"/>
        </w:rPr>
      </w:pPr>
      <w:r w:rsidRPr="00EF368B">
        <w:rPr>
          <w:lang w:val="en-US"/>
        </w:rPr>
        <w:t xml:space="preserve">• Long distance and ultra-high-speed transmission network systems (terabit, </w:t>
      </w:r>
      <w:proofErr w:type="spellStart"/>
      <w:r w:rsidRPr="00EF368B">
        <w:rPr>
          <w:lang w:val="en-US"/>
        </w:rPr>
        <w:t>exabit</w:t>
      </w:r>
      <w:proofErr w:type="spellEnd"/>
      <w:r w:rsidRPr="00EF368B">
        <w:rPr>
          <w:lang w:val="en-US"/>
        </w:rPr>
        <w:t>)</w:t>
      </w:r>
    </w:p>
    <w:p w:rsidR="00EF368B" w:rsidRPr="00EF368B" w:rsidRDefault="00EF368B" w:rsidP="00EF368B">
      <w:pPr>
        <w:spacing w:before="60"/>
        <w:rPr>
          <w:lang w:val="en-US"/>
        </w:rPr>
      </w:pPr>
      <w:r w:rsidRPr="00EF368B">
        <w:rPr>
          <w:lang w:val="en-US"/>
        </w:rPr>
        <w:t>• Disaster relief systems, network resilience and recovery</w:t>
      </w:r>
    </w:p>
    <w:p w:rsidR="00EF368B" w:rsidRPr="00EF368B" w:rsidRDefault="00EF368B" w:rsidP="00EF368B">
      <w:pPr>
        <w:spacing w:before="60"/>
        <w:rPr>
          <w:lang w:val="en-US"/>
        </w:rPr>
      </w:pPr>
      <w:r w:rsidRPr="00EF368B">
        <w:rPr>
          <w:lang w:val="en-US"/>
        </w:rPr>
        <w:t>• Wireless sensor networks</w:t>
      </w:r>
    </w:p>
    <w:p w:rsidR="00EF368B" w:rsidRPr="00EF368B" w:rsidRDefault="00EF368B" w:rsidP="00EF368B">
      <w:pPr>
        <w:spacing w:before="60"/>
        <w:rPr>
          <w:lang w:val="en-US"/>
        </w:rPr>
      </w:pPr>
      <w:r w:rsidRPr="00EF368B">
        <w:rPr>
          <w:lang w:val="en-US"/>
        </w:rPr>
        <w:t xml:space="preserve">• Optical wireless communication </w:t>
      </w:r>
    </w:p>
    <w:p w:rsidR="00EF368B" w:rsidRPr="00EF368B" w:rsidRDefault="00EF368B" w:rsidP="00EF368B">
      <w:pPr>
        <w:spacing w:before="60"/>
        <w:rPr>
          <w:lang w:val="en-US"/>
        </w:rPr>
      </w:pPr>
      <w:r w:rsidRPr="00EF368B">
        <w:rPr>
          <w:lang w:val="en-US"/>
        </w:rPr>
        <w:t>• Human-centric, cognitive and context-aware systems</w:t>
      </w:r>
    </w:p>
    <w:p w:rsidR="00EF368B" w:rsidRPr="00EF368B" w:rsidRDefault="00EF368B" w:rsidP="00EF368B">
      <w:pPr>
        <w:spacing w:before="60"/>
        <w:rPr>
          <w:lang w:val="en-US"/>
        </w:rPr>
      </w:pPr>
      <w:r w:rsidRPr="00EF368B">
        <w:rPr>
          <w:lang w:val="en-US"/>
        </w:rPr>
        <w:t>• Machine-to-machine communication and Internet of Things</w:t>
      </w:r>
    </w:p>
    <w:p w:rsidR="00EF368B" w:rsidRPr="00EF368B" w:rsidRDefault="00EF368B" w:rsidP="00EF368B">
      <w:pPr>
        <w:spacing w:before="60"/>
        <w:rPr>
          <w:lang w:val="en-US"/>
        </w:rPr>
      </w:pPr>
      <w:r w:rsidRPr="00EF368B">
        <w:rPr>
          <w:lang w:val="en-US"/>
        </w:rPr>
        <w:t>• Body-area networks</w:t>
      </w:r>
    </w:p>
    <w:p w:rsidR="00EF368B" w:rsidRPr="00EF368B" w:rsidRDefault="00EF368B" w:rsidP="00EF368B">
      <w:pPr>
        <w:spacing w:before="60"/>
        <w:rPr>
          <w:lang w:val="en-US"/>
        </w:rPr>
      </w:pPr>
      <w:r w:rsidRPr="00EF368B">
        <w:rPr>
          <w:lang w:val="en-US"/>
        </w:rPr>
        <w:t>• Near-field communications</w:t>
      </w:r>
    </w:p>
    <w:p w:rsidR="00EF368B" w:rsidRPr="00EF368B" w:rsidRDefault="00EF368B" w:rsidP="00EF368B">
      <w:pPr>
        <w:spacing w:before="60"/>
        <w:rPr>
          <w:lang w:val="en-US"/>
        </w:rPr>
      </w:pPr>
      <w:r w:rsidRPr="00EF368B">
        <w:rPr>
          <w:lang w:val="en-US"/>
        </w:rPr>
        <w:t>• Environmental and biometric actuators and sensors</w:t>
      </w:r>
    </w:p>
    <w:p w:rsidR="00EF368B" w:rsidRPr="00EF368B" w:rsidRDefault="00EF368B" w:rsidP="00EF368B">
      <w:pPr>
        <w:spacing w:before="60"/>
        <w:rPr>
          <w:lang w:val="en-US"/>
        </w:rPr>
      </w:pPr>
      <w:r w:rsidRPr="00EF368B">
        <w:rPr>
          <w:lang w:val="en-US"/>
        </w:rPr>
        <w:t>• Security and privacy-enhancing technologies</w:t>
      </w:r>
    </w:p>
    <w:p w:rsidR="00EF368B" w:rsidRPr="00EF368B" w:rsidRDefault="00EF368B" w:rsidP="00EF368B">
      <w:pPr>
        <w:spacing w:before="60"/>
        <w:rPr>
          <w:lang w:val="en-US"/>
        </w:rPr>
      </w:pPr>
      <w:r w:rsidRPr="00EF368B">
        <w:rPr>
          <w:lang w:val="en-US"/>
        </w:rPr>
        <w:t>• Pervasive and trusted network and service infrastructure</w:t>
      </w:r>
    </w:p>
    <w:p w:rsidR="00EF368B" w:rsidRPr="00EF368B" w:rsidRDefault="00EF368B" w:rsidP="00EF368B">
      <w:pPr>
        <w:spacing w:before="60"/>
        <w:rPr>
          <w:lang w:val="en-US"/>
        </w:rPr>
      </w:pPr>
      <w:r w:rsidRPr="00EF368B">
        <w:rPr>
          <w:lang w:val="en-US"/>
        </w:rPr>
        <w:t xml:space="preserve">• Mobility and </w:t>
      </w:r>
      <w:proofErr w:type="spellStart"/>
      <w:r w:rsidRPr="00EF368B">
        <w:rPr>
          <w:lang w:val="en-US"/>
        </w:rPr>
        <w:t>nomadicity</w:t>
      </w:r>
      <w:proofErr w:type="spellEnd"/>
    </w:p>
    <w:p w:rsidR="00EF368B" w:rsidRPr="00EF368B" w:rsidRDefault="00EF368B" w:rsidP="00EF368B">
      <w:pPr>
        <w:spacing w:before="60"/>
        <w:rPr>
          <w:lang w:val="en-US"/>
        </w:rPr>
      </w:pPr>
      <w:r w:rsidRPr="00EF368B">
        <w:rPr>
          <w:lang w:val="en-US"/>
        </w:rPr>
        <w:t>• Adaptive antenna techniques</w:t>
      </w:r>
    </w:p>
    <w:p w:rsidR="00EF368B" w:rsidRPr="00EF368B" w:rsidRDefault="00EF368B" w:rsidP="00EF368B">
      <w:pPr>
        <w:rPr>
          <w:b/>
          <w:bCs/>
          <w:lang w:val="en-US"/>
        </w:rPr>
      </w:pPr>
    </w:p>
    <w:p w:rsidR="00EF368B" w:rsidRPr="00EF368B" w:rsidRDefault="00EF368B" w:rsidP="00EF368B">
      <w:pPr>
        <w:rPr>
          <w:b/>
          <w:bCs/>
          <w:lang w:val="en-US"/>
        </w:rPr>
      </w:pPr>
      <w:r w:rsidRPr="00EF368B">
        <w:rPr>
          <w:b/>
          <w:bCs/>
          <w:lang w:val="en-US"/>
        </w:rPr>
        <w:t>Track 2: ICT applications and services for sustainable communities</w:t>
      </w:r>
    </w:p>
    <w:p w:rsidR="00EF368B" w:rsidRPr="00EF368B" w:rsidRDefault="00EF368B" w:rsidP="00EF368B">
      <w:pPr>
        <w:spacing w:before="60"/>
        <w:rPr>
          <w:lang w:val="en-US"/>
        </w:rPr>
      </w:pPr>
      <w:r w:rsidRPr="00EF368B">
        <w:rPr>
          <w:lang w:val="en-US"/>
        </w:rPr>
        <w:t xml:space="preserve">• </w:t>
      </w:r>
      <w:proofErr w:type="gramStart"/>
      <w:r w:rsidRPr="00EF368B">
        <w:rPr>
          <w:lang w:val="en-US"/>
        </w:rPr>
        <w:t>e-government</w:t>
      </w:r>
      <w:proofErr w:type="gramEnd"/>
      <w:r w:rsidRPr="00EF368B">
        <w:rPr>
          <w:lang w:val="en-US"/>
        </w:rPr>
        <w:t xml:space="preserve"> and e-democracy</w:t>
      </w:r>
    </w:p>
    <w:p w:rsidR="00EF368B" w:rsidRPr="00EF368B" w:rsidRDefault="00EF368B" w:rsidP="00EF368B">
      <w:pPr>
        <w:spacing w:before="60"/>
        <w:rPr>
          <w:lang w:val="en-US"/>
        </w:rPr>
      </w:pPr>
      <w:r w:rsidRPr="00EF368B">
        <w:rPr>
          <w:lang w:val="en-US"/>
        </w:rPr>
        <w:t xml:space="preserve">• </w:t>
      </w:r>
      <w:proofErr w:type="gramStart"/>
      <w:r w:rsidRPr="00EF368B">
        <w:rPr>
          <w:lang w:val="en-US"/>
        </w:rPr>
        <w:t>e-learning</w:t>
      </w:r>
      <w:proofErr w:type="gramEnd"/>
      <w:r w:rsidRPr="00EF368B">
        <w:rPr>
          <w:lang w:val="en-US"/>
        </w:rPr>
        <w:t xml:space="preserve"> and e-science</w:t>
      </w:r>
    </w:p>
    <w:p w:rsidR="00EF368B" w:rsidRPr="00EF368B" w:rsidRDefault="00EF368B" w:rsidP="00EF368B">
      <w:pPr>
        <w:spacing w:before="60"/>
        <w:rPr>
          <w:lang w:val="en-US"/>
        </w:rPr>
      </w:pPr>
      <w:r w:rsidRPr="00EF368B">
        <w:rPr>
          <w:lang w:val="en-US"/>
        </w:rPr>
        <w:t xml:space="preserve">• </w:t>
      </w:r>
      <w:proofErr w:type="gramStart"/>
      <w:r w:rsidRPr="00EF368B">
        <w:rPr>
          <w:lang w:val="en-US"/>
        </w:rPr>
        <w:t>e-agriculture</w:t>
      </w:r>
      <w:proofErr w:type="gramEnd"/>
    </w:p>
    <w:p w:rsidR="00EF368B" w:rsidRPr="00EF368B" w:rsidRDefault="00EF368B" w:rsidP="00EF368B">
      <w:pPr>
        <w:spacing w:before="60"/>
        <w:rPr>
          <w:lang w:val="en-US"/>
        </w:rPr>
      </w:pPr>
      <w:r w:rsidRPr="00EF368B">
        <w:rPr>
          <w:lang w:val="en-US"/>
        </w:rPr>
        <w:t xml:space="preserve">• </w:t>
      </w:r>
      <w:proofErr w:type="gramStart"/>
      <w:r w:rsidRPr="00EF368B">
        <w:rPr>
          <w:lang w:val="en-US"/>
        </w:rPr>
        <w:t>e-health</w:t>
      </w:r>
      <w:proofErr w:type="gramEnd"/>
      <w:r w:rsidRPr="00EF368B">
        <w:rPr>
          <w:lang w:val="en-US"/>
        </w:rPr>
        <w:t xml:space="preserve"> and telemedicine</w:t>
      </w:r>
    </w:p>
    <w:p w:rsidR="00EF368B" w:rsidRPr="00662445" w:rsidRDefault="00EF368B" w:rsidP="00EF368B">
      <w:pPr>
        <w:spacing w:before="60"/>
        <w:rPr>
          <w:lang w:val="en-GB"/>
        </w:rPr>
      </w:pPr>
      <w:r w:rsidRPr="00662445">
        <w:rPr>
          <w:lang w:val="en-GB"/>
        </w:rPr>
        <w:t>• Ageing and ambient assistive living</w:t>
      </w:r>
    </w:p>
    <w:p w:rsidR="00EF368B" w:rsidRPr="00EF368B" w:rsidRDefault="00EF368B" w:rsidP="00EF368B">
      <w:pPr>
        <w:spacing w:before="60"/>
        <w:rPr>
          <w:lang w:val="en-US"/>
        </w:rPr>
      </w:pPr>
      <w:r w:rsidRPr="00EF368B">
        <w:rPr>
          <w:lang w:val="en-US"/>
        </w:rPr>
        <w:t>• Smart cities: utilities, transport, buildings and homes</w:t>
      </w:r>
    </w:p>
    <w:p w:rsidR="00EF368B" w:rsidRPr="00EF368B" w:rsidRDefault="00EF368B" w:rsidP="00EF368B">
      <w:pPr>
        <w:spacing w:before="60"/>
        <w:rPr>
          <w:lang w:val="en-US"/>
        </w:rPr>
      </w:pPr>
      <w:r w:rsidRPr="00EF368B">
        <w:rPr>
          <w:lang w:val="en-US"/>
        </w:rPr>
        <w:lastRenderedPageBreak/>
        <w:t>• Innovative applications and content delivery (IPTV, games, etc.)</w:t>
      </w:r>
    </w:p>
    <w:p w:rsidR="00EF368B" w:rsidRPr="00EF368B" w:rsidRDefault="00EF368B" w:rsidP="00EF368B">
      <w:pPr>
        <w:spacing w:before="60"/>
        <w:rPr>
          <w:lang w:val="en-US"/>
        </w:rPr>
      </w:pPr>
      <w:r w:rsidRPr="00EF368B">
        <w:rPr>
          <w:lang w:val="en-US"/>
        </w:rPr>
        <w:t>• Mobile payment and money transfer</w:t>
      </w:r>
    </w:p>
    <w:p w:rsidR="00EF368B" w:rsidRPr="00EF368B" w:rsidRDefault="00EF368B" w:rsidP="00EF368B">
      <w:pPr>
        <w:spacing w:before="60"/>
        <w:rPr>
          <w:lang w:val="en-US"/>
        </w:rPr>
      </w:pPr>
      <w:r w:rsidRPr="00EF368B">
        <w:rPr>
          <w:lang w:val="en-US"/>
        </w:rPr>
        <w:t>• Augmented reality and technology intelligence</w:t>
      </w:r>
    </w:p>
    <w:p w:rsidR="00EF368B" w:rsidRPr="00EF368B" w:rsidRDefault="00EF368B" w:rsidP="00EF368B">
      <w:pPr>
        <w:spacing w:before="60"/>
        <w:rPr>
          <w:lang w:val="en-US"/>
        </w:rPr>
      </w:pPr>
      <w:r w:rsidRPr="00EF368B">
        <w:rPr>
          <w:lang w:val="en-US"/>
        </w:rPr>
        <w:t>• Location-based services</w:t>
      </w:r>
    </w:p>
    <w:p w:rsidR="00EF368B" w:rsidRPr="00EF368B" w:rsidRDefault="00EF368B" w:rsidP="00EF368B">
      <w:pPr>
        <w:spacing w:before="60"/>
        <w:rPr>
          <w:lang w:val="en-US"/>
        </w:rPr>
      </w:pPr>
      <w:r w:rsidRPr="00EF368B">
        <w:rPr>
          <w:lang w:val="en-US"/>
        </w:rPr>
        <w:t>• Service layer requirements</w:t>
      </w:r>
    </w:p>
    <w:p w:rsidR="00EF368B" w:rsidRPr="00EF368B" w:rsidRDefault="00EF368B" w:rsidP="00EF368B">
      <w:pPr>
        <w:spacing w:before="60"/>
        <w:rPr>
          <w:lang w:val="en-US"/>
        </w:rPr>
      </w:pPr>
      <w:r w:rsidRPr="00EF368B">
        <w:rPr>
          <w:lang w:val="en-US"/>
        </w:rPr>
        <w:t xml:space="preserve">• </w:t>
      </w:r>
      <w:proofErr w:type="spellStart"/>
      <w:r w:rsidRPr="00EF368B">
        <w:rPr>
          <w:lang w:val="en-US"/>
        </w:rPr>
        <w:t>XaaS</w:t>
      </w:r>
      <w:proofErr w:type="spellEnd"/>
      <w:r w:rsidRPr="00EF368B">
        <w:rPr>
          <w:lang w:val="en-US"/>
        </w:rPr>
        <w:t xml:space="preserve"> (Anything as a Service)</w:t>
      </w:r>
    </w:p>
    <w:p w:rsidR="00EF368B" w:rsidRPr="00EF368B" w:rsidRDefault="00EF368B" w:rsidP="00EF368B">
      <w:pPr>
        <w:spacing w:before="60"/>
        <w:rPr>
          <w:lang w:val="en-US"/>
        </w:rPr>
      </w:pPr>
      <w:r w:rsidRPr="00EF368B">
        <w:rPr>
          <w:lang w:val="en-US"/>
        </w:rPr>
        <w:t xml:space="preserve">• </w:t>
      </w:r>
      <w:proofErr w:type="spellStart"/>
      <w:r w:rsidRPr="00EF368B">
        <w:rPr>
          <w:lang w:val="en-US"/>
        </w:rPr>
        <w:t>QoS</w:t>
      </w:r>
      <w:proofErr w:type="spellEnd"/>
      <w:r w:rsidRPr="00EF368B">
        <w:rPr>
          <w:lang w:val="en-US"/>
        </w:rPr>
        <w:t xml:space="preserve"> for differentiated source</w:t>
      </w:r>
    </w:p>
    <w:p w:rsidR="00EF368B" w:rsidRPr="00EF368B" w:rsidRDefault="00EF368B" w:rsidP="00EF368B">
      <w:pPr>
        <w:spacing w:before="60"/>
        <w:rPr>
          <w:lang w:val="en-US"/>
        </w:rPr>
      </w:pPr>
      <w:r w:rsidRPr="00EF368B">
        <w:rPr>
          <w:lang w:val="en-US"/>
        </w:rPr>
        <w:t>• Location services</w:t>
      </w:r>
    </w:p>
    <w:p w:rsidR="00EF368B" w:rsidRPr="00EF368B" w:rsidRDefault="00EF368B" w:rsidP="00EF368B">
      <w:pPr>
        <w:rPr>
          <w:lang w:val="en-US"/>
        </w:rPr>
      </w:pPr>
    </w:p>
    <w:p w:rsidR="00EF368B" w:rsidRPr="00EF368B" w:rsidRDefault="00EF368B" w:rsidP="00EF368B">
      <w:pPr>
        <w:rPr>
          <w:b/>
          <w:bCs/>
          <w:lang w:val="en-US"/>
        </w:rPr>
      </w:pPr>
      <w:r w:rsidRPr="00EF368B">
        <w:rPr>
          <w:b/>
          <w:bCs/>
          <w:lang w:val="en-US"/>
        </w:rPr>
        <w:t xml:space="preserve">Track 3: Social, economic and policy aspects of ICT in sustainable communities </w:t>
      </w:r>
    </w:p>
    <w:p w:rsidR="00EF368B" w:rsidRPr="00EF368B" w:rsidRDefault="00EF368B" w:rsidP="00EF368B">
      <w:pPr>
        <w:spacing w:before="60"/>
        <w:rPr>
          <w:lang w:val="en-US"/>
        </w:rPr>
      </w:pPr>
      <w:r w:rsidRPr="00EF368B">
        <w:rPr>
          <w:lang w:val="en-US"/>
        </w:rPr>
        <w:t>• Digital rights and identity management</w:t>
      </w:r>
    </w:p>
    <w:p w:rsidR="00EF368B" w:rsidRPr="00EF368B" w:rsidRDefault="00EF368B" w:rsidP="00EF368B">
      <w:pPr>
        <w:spacing w:before="60"/>
        <w:rPr>
          <w:lang w:val="en-US"/>
        </w:rPr>
      </w:pPr>
      <w:r w:rsidRPr="00EF368B">
        <w:rPr>
          <w:lang w:val="en-US"/>
        </w:rPr>
        <w:t>• Societal impact</w:t>
      </w:r>
    </w:p>
    <w:p w:rsidR="00EF368B" w:rsidRPr="00EF368B" w:rsidRDefault="00EF368B" w:rsidP="00EF368B">
      <w:pPr>
        <w:spacing w:before="60"/>
        <w:rPr>
          <w:lang w:val="en-US"/>
        </w:rPr>
      </w:pPr>
      <w:r w:rsidRPr="00EF368B">
        <w:rPr>
          <w:lang w:val="en-US"/>
        </w:rPr>
        <w:t>• Legislative and regulatory frameworks</w:t>
      </w:r>
    </w:p>
    <w:p w:rsidR="00EF368B" w:rsidRPr="00EF368B" w:rsidRDefault="00EF368B" w:rsidP="00EF368B">
      <w:pPr>
        <w:spacing w:before="60"/>
        <w:rPr>
          <w:lang w:val="en-US"/>
        </w:rPr>
      </w:pPr>
      <w:r w:rsidRPr="00EF368B">
        <w:rPr>
          <w:lang w:val="en-US"/>
        </w:rPr>
        <w:t>• Security, confidentiality and privacy</w:t>
      </w:r>
    </w:p>
    <w:p w:rsidR="00EF368B" w:rsidRPr="00EF368B" w:rsidRDefault="00EF368B" w:rsidP="00EF368B">
      <w:pPr>
        <w:spacing w:before="60"/>
        <w:rPr>
          <w:lang w:val="en-US"/>
        </w:rPr>
      </w:pPr>
      <w:r w:rsidRPr="00EF368B">
        <w:rPr>
          <w:lang w:val="en-US"/>
        </w:rPr>
        <w:t>• Accessibility and usability</w:t>
      </w:r>
    </w:p>
    <w:p w:rsidR="00EF368B" w:rsidRPr="00EF368B" w:rsidRDefault="00EF368B" w:rsidP="00EF368B">
      <w:pPr>
        <w:spacing w:before="60"/>
        <w:rPr>
          <w:lang w:val="en-US"/>
        </w:rPr>
      </w:pPr>
      <w:r w:rsidRPr="00EF368B">
        <w:rPr>
          <w:lang w:val="en-US"/>
        </w:rPr>
        <w:t>• Business models (including accounting, billing and charging)</w:t>
      </w:r>
    </w:p>
    <w:p w:rsidR="00EF368B" w:rsidRPr="00EF368B" w:rsidRDefault="00EF368B" w:rsidP="00EF368B">
      <w:pPr>
        <w:spacing w:before="60"/>
        <w:rPr>
          <w:lang w:val="en-US"/>
        </w:rPr>
      </w:pPr>
      <w:r w:rsidRPr="00EF368B">
        <w:rPr>
          <w:lang w:val="en-US"/>
        </w:rPr>
        <w:t>• Standardization models</w:t>
      </w:r>
    </w:p>
    <w:p w:rsidR="00EF368B" w:rsidRPr="00EF368B" w:rsidRDefault="00EF368B" w:rsidP="00EF368B">
      <w:pPr>
        <w:spacing w:before="60"/>
        <w:rPr>
          <w:lang w:val="en-US"/>
        </w:rPr>
      </w:pPr>
      <w:r w:rsidRPr="00EF368B">
        <w:rPr>
          <w:lang w:val="en-US"/>
        </w:rPr>
        <w:t>• Network neutrality</w:t>
      </w:r>
    </w:p>
    <w:p w:rsidR="00EF368B" w:rsidRPr="00EF368B" w:rsidRDefault="00EF368B" w:rsidP="00EF368B">
      <w:pPr>
        <w:spacing w:before="60"/>
        <w:rPr>
          <w:lang w:val="en-US"/>
        </w:rPr>
      </w:pPr>
      <w:r w:rsidRPr="00EF368B">
        <w:rPr>
          <w:lang w:val="en-US"/>
        </w:rPr>
        <w:t>• Inclusiveness, affordability and equal access</w:t>
      </w:r>
    </w:p>
    <w:p w:rsidR="00EF368B" w:rsidRPr="00EF368B" w:rsidRDefault="00EF368B" w:rsidP="00EF368B">
      <w:pPr>
        <w:spacing w:before="60"/>
        <w:rPr>
          <w:lang w:val="en-US"/>
        </w:rPr>
      </w:pPr>
      <w:r w:rsidRPr="00EF368B">
        <w:rPr>
          <w:lang w:val="en-US"/>
        </w:rPr>
        <w:t>• Internationalization and localization</w:t>
      </w:r>
    </w:p>
    <w:p w:rsidR="00EF368B" w:rsidRPr="00EF368B" w:rsidRDefault="00EF368B" w:rsidP="00EF368B">
      <w:pPr>
        <w:spacing w:before="60"/>
        <w:rPr>
          <w:lang w:val="en-US"/>
        </w:rPr>
      </w:pPr>
      <w:r w:rsidRPr="00EF368B">
        <w:rPr>
          <w:lang w:val="en-US"/>
        </w:rPr>
        <w:t>• Environmental sustainability</w:t>
      </w:r>
    </w:p>
    <w:p w:rsidR="00EF368B" w:rsidRPr="00EF368B" w:rsidRDefault="00EF368B" w:rsidP="00EF368B">
      <w:pPr>
        <w:spacing w:before="60"/>
        <w:rPr>
          <w:lang w:val="en-US"/>
        </w:rPr>
      </w:pPr>
      <w:r w:rsidRPr="00EF368B">
        <w:rPr>
          <w:lang w:val="en-US"/>
        </w:rPr>
        <w:t>• Ethical issues</w:t>
      </w:r>
    </w:p>
    <w:p w:rsidR="00EF368B" w:rsidRPr="00EF368B" w:rsidRDefault="00EF368B" w:rsidP="00EF368B">
      <w:pPr>
        <w:spacing w:before="60"/>
        <w:rPr>
          <w:lang w:val="en-US"/>
        </w:rPr>
      </w:pPr>
      <w:r w:rsidRPr="00EF368B">
        <w:rPr>
          <w:lang w:val="en-US"/>
        </w:rPr>
        <w:t xml:space="preserve">• Regulation (for </w:t>
      </w:r>
      <w:proofErr w:type="spellStart"/>
      <w:r w:rsidRPr="00EF368B">
        <w:rPr>
          <w:lang w:val="en-US"/>
        </w:rPr>
        <w:t>QoS</w:t>
      </w:r>
      <w:proofErr w:type="spellEnd"/>
      <w:r w:rsidRPr="00EF368B">
        <w:rPr>
          <w:lang w:val="en-US"/>
        </w:rPr>
        <w:t>, network sharing, etc.)</w:t>
      </w:r>
    </w:p>
    <w:p w:rsidR="00EF368B" w:rsidRPr="00EF368B" w:rsidRDefault="00EF368B" w:rsidP="00EF368B">
      <w:pPr>
        <w:spacing w:before="60"/>
        <w:rPr>
          <w:lang w:val="en-US"/>
        </w:rPr>
      </w:pPr>
      <w:r w:rsidRPr="00EF368B">
        <w:rPr>
          <w:lang w:val="en-US"/>
        </w:rPr>
        <w:t>• Standardization and innovation management</w:t>
      </w:r>
    </w:p>
    <w:p w:rsidR="00EF368B" w:rsidRPr="00EF368B" w:rsidRDefault="00EF368B" w:rsidP="00EF368B">
      <w:pPr>
        <w:spacing w:before="60"/>
        <w:rPr>
          <w:lang w:val="en-US"/>
        </w:rPr>
      </w:pPr>
      <w:r w:rsidRPr="00EF368B">
        <w:rPr>
          <w:lang w:val="en-US"/>
        </w:rPr>
        <w:t>• Stakeholder perceptions in standards</w:t>
      </w:r>
    </w:p>
    <w:p w:rsidR="00EF368B" w:rsidRDefault="00EF368B" w:rsidP="00EF368B">
      <w:pPr>
        <w:spacing w:before="60"/>
      </w:pPr>
      <w:r>
        <w:t xml:space="preserve">• </w:t>
      </w:r>
      <w:proofErr w:type="spellStart"/>
      <w:r>
        <w:t>Standards</w:t>
      </w:r>
      <w:proofErr w:type="spellEnd"/>
      <w:r>
        <w:t xml:space="preserve"> in </w:t>
      </w:r>
      <w:proofErr w:type="spellStart"/>
      <w:r>
        <w:t>healthcare</w:t>
      </w:r>
      <w:proofErr w:type="spellEnd"/>
      <w:r>
        <w:t xml:space="preserve"> </w:t>
      </w:r>
      <w:proofErr w:type="spellStart"/>
      <w:r>
        <w:t>services</w:t>
      </w:r>
      <w:proofErr w:type="spellEnd"/>
    </w:p>
    <w:p w:rsidR="00EF368B" w:rsidRDefault="00EF368B" w:rsidP="00EF368B">
      <w:pPr>
        <w:pStyle w:val="AnnexRef"/>
        <w:rPr>
          <w:lang w:val="en-US"/>
        </w:rPr>
        <w:sectPr w:rsidR="00EF368B" w:rsidSect="00D61183">
          <w:type w:val="continuous"/>
          <w:pgSz w:w="11907" w:h="16840" w:code="9"/>
          <w:pgMar w:top="567" w:right="1089" w:bottom="567" w:left="1089" w:header="567" w:footer="567" w:gutter="0"/>
          <w:paperSrc w:first="15" w:other="15"/>
          <w:cols w:num="2" w:space="720"/>
          <w:titlePg/>
        </w:sectPr>
      </w:pPr>
    </w:p>
    <w:p w:rsidR="00EF368B" w:rsidRPr="0060123F" w:rsidRDefault="00EF368B" w:rsidP="00EF368B">
      <w:pPr>
        <w:pStyle w:val="AnnexRef"/>
        <w:rPr>
          <w:lang w:val="en-US"/>
        </w:rPr>
      </w:pPr>
    </w:p>
    <w:p w:rsidR="00EF368B" w:rsidRPr="0060123F" w:rsidRDefault="00EF368B" w:rsidP="00EF368B">
      <w:pPr>
        <w:spacing w:before="60"/>
        <w:rPr>
          <w:lang w:val="en-US"/>
        </w:rPr>
      </w:pPr>
    </w:p>
    <w:sectPr w:rsidR="00EF368B" w:rsidRPr="0060123F" w:rsidSect="00EF368B">
      <w:headerReference w:type="default" r:id="rId20"/>
      <w:footerReference w:type="default" r:id="rId21"/>
      <w:footerReference w:type="first" r:id="rId22"/>
      <w:type w:val="continuous"/>
      <w:pgSz w:w="11907" w:h="16840" w:code="9"/>
      <w:pgMar w:top="567" w:right="1089" w:bottom="567" w:left="1089" w:header="567" w:footer="567" w:gutter="0"/>
      <w:paperSrc w:first="15" w:other="15"/>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83" w:rsidRDefault="00D61183">
      <w:r>
        <w:separator/>
      </w:r>
    </w:p>
  </w:endnote>
  <w:endnote w:type="continuationSeparator" w:id="0">
    <w:p w:rsidR="00D61183" w:rsidRDefault="00D6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83" w:rsidRPr="00662445" w:rsidRDefault="00662445" w:rsidP="00662445">
    <w:pPr>
      <w:pStyle w:val="Footer"/>
      <w:rPr>
        <w:lang w:val="fr-CH"/>
      </w:rPr>
    </w:pPr>
    <w:r w:rsidRPr="00662445">
      <w:rPr>
        <w:lang w:val="fr-CH"/>
      </w:rPr>
      <w:t>ITU-T\BUREAU\CIRC\276S.DOC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C4592" w:rsidRPr="00662445">
      <w:trPr>
        <w:cantSplit/>
      </w:trPr>
      <w:tc>
        <w:tcPr>
          <w:tcW w:w="1062" w:type="pct"/>
          <w:tcBorders>
            <w:top w:val="single" w:sz="6" w:space="0" w:color="auto"/>
          </w:tcBorders>
          <w:tcMar>
            <w:top w:w="57" w:type="dxa"/>
          </w:tcMar>
        </w:tcPr>
        <w:p w:rsidR="002C4592" w:rsidRDefault="002C4592">
          <w:pPr>
            <w:pStyle w:val="itu"/>
          </w:pPr>
          <w:r>
            <w:t>Place des Nations</w:t>
          </w:r>
        </w:p>
      </w:tc>
      <w:tc>
        <w:tcPr>
          <w:tcW w:w="1584" w:type="pct"/>
          <w:tcBorders>
            <w:top w:val="single" w:sz="6" w:space="0" w:color="auto"/>
          </w:tcBorders>
          <w:tcMar>
            <w:top w:w="57" w:type="dxa"/>
          </w:tcMar>
        </w:tcPr>
        <w:p w:rsidR="002C4592" w:rsidRDefault="002C4592">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2C4592" w:rsidRDefault="002C459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C4592" w:rsidRDefault="002C4592">
          <w:pPr>
            <w:pStyle w:val="itu"/>
          </w:pPr>
          <w:r>
            <w:t>E-mail:</w:t>
          </w:r>
          <w:r>
            <w:tab/>
            <w:t>itumail@itu.int</w:t>
          </w:r>
        </w:p>
      </w:tc>
    </w:tr>
    <w:tr w:rsidR="002C4592">
      <w:trPr>
        <w:cantSplit/>
      </w:trPr>
      <w:tc>
        <w:tcPr>
          <w:tcW w:w="1062" w:type="pct"/>
        </w:tcPr>
        <w:p w:rsidR="002C4592" w:rsidRDefault="002C4592">
          <w:pPr>
            <w:pStyle w:val="itu"/>
          </w:pPr>
          <w:r>
            <w:t xml:space="preserve">CH-1211 </w:t>
          </w:r>
          <w:proofErr w:type="spellStart"/>
          <w:r>
            <w:t>Ginebra</w:t>
          </w:r>
          <w:proofErr w:type="spellEnd"/>
          <w:r>
            <w:t xml:space="preserve"> 20</w:t>
          </w:r>
        </w:p>
      </w:tc>
      <w:tc>
        <w:tcPr>
          <w:tcW w:w="1584" w:type="pct"/>
        </w:tcPr>
        <w:p w:rsidR="002C4592" w:rsidRDefault="002C4592">
          <w:pPr>
            <w:pStyle w:val="itu"/>
          </w:pPr>
          <w:r>
            <w:t>Telefax</w:t>
          </w:r>
          <w:r>
            <w:tab/>
            <w:t>Gr3:</w:t>
          </w:r>
          <w:r>
            <w:tab/>
          </w:r>
          <w:r>
            <w:tab/>
            <w:t>+41 22 733 72 56</w:t>
          </w:r>
        </w:p>
      </w:tc>
      <w:tc>
        <w:tcPr>
          <w:tcW w:w="1223" w:type="pct"/>
        </w:tcPr>
        <w:p w:rsidR="002C4592" w:rsidRDefault="002C4592">
          <w:pPr>
            <w:pStyle w:val="itu"/>
          </w:pPr>
          <w:proofErr w:type="spellStart"/>
          <w:r>
            <w:t>Telegrama</w:t>
          </w:r>
          <w:proofErr w:type="spellEnd"/>
          <w:r>
            <w:t xml:space="preserve"> ITU GENEVE</w:t>
          </w:r>
        </w:p>
      </w:tc>
      <w:tc>
        <w:tcPr>
          <w:tcW w:w="1131" w:type="pct"/>
        </w:tcPr>
        <w:p w:rsidR="002C4592" w:rsidRDefault="002C4592">
          <w:pPr>
            <w:pStyle w:val="itu"/>
          </w:pPr>
          <w:r>
            <w:tab/>
            <w:t>www.itu.int</w:t>
          </w:r>
        </w:p>
      </w:tc>
    </w:tr>
    <w:tr w:rsidR="002C4592" w:rsidRPr="002C4592">
      <w:trPr>
        <w:cantSplit/>
      </w:trPr>
      <w:tc>
        <w:tcPr>
          <w:tcW w:w="1062" w:type="pct"/>
        </w:tcPr>
        <w:p w:rsidR="002C4592" w:rsidRDefault="002C4592">
          <w:pPr>
            <w:pStyle w:val="itu"/>
          </w:pPr>
          <w:proofErr w:type="spellStart"/>
          <w:r>
            <w:t>Suiza</w:t>
          </w:r>
          <w:proofErr w:type="spellEnd"/>
        </w:p>
      </w:tc>
      <w:tc>
        <w:tcPr>
          <w:tcW w:w="1584" w:type="pct"/>
        </w:tcPr>
        <w:p w:rsidR="002C4592" w:rsidRPr="002C4592" w:rsidRDefault="002C4592">
          <w:pPr>
            <w:pStyle w:val="itu"/>
            <w:rPr>
              <w:lang w:val="fr-CH"/>
            </w:rPr>
          </w:pPr>
          <w:r w:rsidRPr="002C4592">
            <w:rPr>
              <w:lang w:val="fr-CH"/>
            </w:rPr>
            <w:tab/>
            <w:t>Gr4:</w:t>
          </w:r>
          <w:r w:rsidRPr="002C4592">
            <w:rPr>
              <w:lang w:val="fr-CH"/>
            </w:rPr>
            <w:tab/>
          </w:r>
          <w:r w:rsidRPr="002C4592">
            <w:rPr>
              <w:lang w:val="fr-CH"/>
            </w:rPr>
            <w:tab/>
            <w:t>+41 22 730 65 00</w:t>
          </w:r>
        </w:p>
      </w:tc>
      <w:tc>
        <w:tcPr>
          <w:tcW w:w="1223" w:type="pct"/>
        </w:tcPr>
        <w:p w:rsidR="002C4592" w:rsidRPr="002C4592" w:rsidRDefault="002C4592">
          <w:pPr>
            <w:pStyle w:val="itu"/>
            <w:rPr>
              <w:lang w:val="fr-CH"/>
            </w:rPr>
          </w:pPr>
        </w:p>
      </w:tc>
      <w:tc>
        <w:tcPr>
          <w:tcW w:w="1131" w:type="pct"/>
        </w:tcPr>
        <w:p w:rsidR="002C4592" w:rsidRPr="002C4592" w:rsidRDefault="002C4592">
          <w:pPr>
            <w:pStyle w:val="itu"/>
            <w:rPr>
              <w:lang w:val="fr-CH"/>
            </w:rPr>
          </w:pPr>
        </w:p>
      </w:tc>
    </w:tr>
  </w:tbl>
  <w:p w:rsidR="00D61183" w:rsidRPr="002C4592" w:rsidRDefault="002C4592" w:rsidP="002C4592">
    <w:pPr>
      <w:pStyle w:val="Footer"/>
      <w:tabs>
        <w:tab w:val="clear" w:pos="5954"/>
        <w:tab w:val="clear" w:pos="9639"/>
        <w:tab w:val="left" w:pos="1620"/>
      </w:tabs>
      <w:rPr>
        <w:lang w:val="fr-CH"/>
      </w:rPr>
    </w:pPr>
    <w:r w:rsidRPr="002C4592">
      <w:rPr>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83" w:rsidRPr="00E42DCF" w:rsidRDefault="00D61183" w:rsidP="001518AD">
    <w:pPr>
      <w:pStyle w:val="Footer"/>
      <w:rPr>
        <w:sz w:val="16"/>
        <w:szCs w:val="16"/>
        <w:lang w:val="en-GB"/>
      </w:rPr>
    </w:pPr>
    <w:r w:rsidRPr="001518AD">
      <w:rPr>
        <w:sz w:val="16"/>
        <w:szCs w:val="16"/>
      </w:rPr>
      <w:fldChar w:fldCharType="begin"/>
    </w:r>
    <w:r w:rsidRPr="00E42DCF">
      <w:rPr>
        <w:sz w:val="16"/>
        <w:szCs w:val="16"/>
        <w:lang w:val="en-GB"/>
      </w:rPr>
      <w:instrText xml:space="preserve"> FILENAME \p  \* MERGEFORMAT </w:instrText>
    </w:r>
    <w:r w:rsidRPr="001518AD">
      <w:rPr>
        <w:sz w:val="16"/>
        <w:szCs w:val="16"/>
      </w:rPr>
      <w:fldChar w:fldCharType="separate"/>
    </w:r>
    <w:r w:rsidR="00E42DCF">
      <w:rPr>
        <w:noProof/>
        <w:sz w:val="16"/>
        <w:szCs w:val="16"/>
        <w:lang w:val="en-GB"/>
      </w:rPr>
      <w:t>M:\KALEIDOSCOPE\K-2013\Letters\Circular\276S.docx</w:t>
    </w:r>
    <w:r w:rsidRPr="001518AD">
      <w:rPr>
        <w:noProof/>
        <w:sz w:val="16"/>
        <w:szCs w:val="16"/>
      </w:rPr>
      <w:fldChar w:fldCharType="end"/>
    </w:r>
    <w:r w:rsidRPr="00E42DCF">
      <w:rPr>
        <w:noProof/>
        <w:sz w:val="16"/>
        <w:szCs w:val="16"/>
        <w:lang w:val="en-GB"/>
      </w:rPr>
      <w:t xml:space="preserve"> (324722)</w:t>
    </w:r>
    <w:r w:rsidRPr="00E42DCF">
      <w:rPr>
        <w:sz w:val="16"/>
        <w:szCs w:val="16"/>
        <w:lang w:val="en-GB"/>
      </w:rPr>
      <w:tab/>
    </w:r>
    <w:r w:rsidRPr="001518AD">
      <w:rPr>
        <w:sz w:val="16"/>
        <w:szCs w:val="16"/>
      </w:rPr>
      <w:fldChar w:fldCharType="begin"/>
    </w:r>
    <w:r w:rsidRPr="001518AD">
      <w:rPr>
        <w:sz w:val="16"/>
        <w:szCs w:val="16"/>
      </w:rPr>
      <w:instrText xml:space="preserve"> SAVEDATE \@ DD.MM.YY </w:instrText>
    </w:r>
    <w:r w:rsidRPr="001518AD">
      <w:rPr>
        <w:sz w:val="16"/>
        <w:szCs w:val="16"/>
      </w:rPr>
      <w:fldChar w:fldCharType="separate"/>
    </w:r>
    <w:r w:rsidR="0009339A">
      <w:rPr>
        <w:noProof/>
        <w:sz w:val="16"/>
        <w:szCs w:val="16"/>
      </w:rPr>
      <w:t>15.06.12</w:t>
    </w:r>
    <w:r w:rsidRPr="001518AD">
      <w:rPr>
        <w:sz w:val="16"/>
        <w:szCs w:val="16"/>
      </w:rPr>
      <w:fldChar w:fldCharType="end"/>
    </w:r>
    <w:r w:rsidRPr="00E42DCF">
      <w:rPr>
        <w:sz w:val="16"/>
        <w:szCs w:val="16"/>
        <w:lang w:val="en-GB"/>
      </w:rPr>
      <w:tab/>
    </w:r>
    <w:r w:rsidRPr="001518AD">
      <w:rPr>
        <w:sz w:val="16"/>
        <w:szCs w:val="16"/>
      </w:rPr>
      <w:fldChar w:fldCharType="begin"/>
    </w:r>
    <w:r w:rsidRPr="001518AD">
      <w:rPr>
        <w:sz w:val="16"/>
        <w:szCs w:val="16"/>
      </w:rPr>
      <w:instrText xml:space="preserve"> PRINTDATE \@ DD.MM.YY </w:instrText>
    </w:r>
    <w:r w:rsidRPr="001518AD">
      <w:rPr>
        <w:sz w:val="16"/>
        <w:szCs w:val="16"/>
      </w:rPr>
      <w:fldChar w:fldCharType="separate"/>
    </w:r>
    <w:r w:rsidR="00E42DCF">
      <w:rPr>
        <w:noProof/>
        <w:sz w:val="16"/>
        <w:szCs w:val="16"/>
      </w:rPr>
      <w:t>15.06.12</w:t>
    </w:r>
    <w:r w:rsidRPr="001518AD">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D61183" w:rsidRPr="003D673B">
      <w:tc>
        <w:tcPr>
          <w:tcW w:w="1985" w:type="dxa"/>
          <w:tcBorders>
            <w:top w:val="single" w:sz="6" w:space="0" w:color="auto"/>
            <w:left w:val="nil"/>
            <w:bottom w:val="nil"/>
            <w:right w:val="nil"/>
          </w:tcBorders>
        </w:tcPr>
        <w:p w:rsidR="00D61183" w:rsidRDefault="00D61183">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D61183" w:rsidRDefault="00D61183">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D61183" w:rsidRDefault="00D61183">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D61183" w:rsidRDefault="00D61183"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D61183">
      <w:tc>
        <w:tcPr>
          <w:tcW w:w="1985" w:type="dxa"/>
        </w:tcPr>
        <w:p w:rsidR="00D61183" w:rsidRDefault="00D61183">
          <w:pPr>
            <w:pStyle w:val="FirstFooter"/>
            <w:rPr>
              <w:rFonts w:ascii="Futura Lt BT" w:hAnsi="Futura Lt BT"/>
            </w:rPr>
          </w:pPr>
          <w:r>
            <w:rPr>
              <w:rFonts w:ascii="Futura Lt BT" w:hAnsi="Futura Lt BT"/>
            </w:rPr>
            <w:t>CH-1211 Ginebra 20</w:t>
          </w:r>
        </w:p>
      </w:tc>
      <w:tc>
        <w:tcPr>
          <w:tcW w:w="3119" w:type="dxa"/>
        </w:tcPr>
        <w:p w:rsidR="00D61183" w:rsidRDefault="00D61183">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r>
          <w:r>
            <w:rPr>
              <w:rFonts w:ascii="Futura Lt BT" w:hAnsi="Futura Lt BT"/>
            </w:rPr>
            <w:tab/>
            <w:t>+41 22 733 72 56</w:t>
          </w:r>
        </w:p>
      </w:tc>
      <w:tc>
        <w:tcPr>
          <w:tcW w:w="2374" w:type="dxa"/>
        </w:tcPr>
        <w:p w:rsidR="00D61183" w:rsidRDefault="00D61183">
          <w:pPr>
            <w:pStyle w:val="FirstFooter"/>
            <w:rPr>
              <w:rFonts w:ascii="Futura Lt BT" w:hAnsi="Futura Lt BT"/>
            </w:rPr>
          </w:pPr>
          <w:r>
            <w:rPr>
              <w:rFonts w:ascii="Futura Lt BT" w:hAnsi="Futura Lt BT"/>
            </w:rPr>
            <w:t>Telegrama ITU GENEVE</w:t>
          </w:r>
        </w:p>
      </w:tc>
      <w:tc>
        <w:tcPr>
          <w:tcW w:w="2304" w:type="dxa"/>
        </w:tcPr>
        <w:p w:rsidR="00D61183" w:rsidRDefault="00D61183" w:rsidP="008505BD">
          <w:pPr>
            <w:pStyle w:val="FirstFooter"/>
            <w:tabs>
              <w:tab w:val="right" w:pos="1956"/>
            </w:tabs>
            <w:ind w:right="70"/>
            <w:rPr>
              <w:rFonts w:ascii="Futura Lt BT" w:hAnsi="Futura Lt BT"/>
            </w:rPr>
          </w:pPr>
          <w:r>
            <w:rPr>
              <w:rFonts w:ascii="Futura Lt BT" w:hAnsi="Futura Lt BT"/>
            </w:rPr>
            <w:tab/>
            <w:t>www.itu.int</w:t>
          </w:r>
        </w:p>
      </w:tc>
    </w:tr>
    <w:tr w:rsidR="00D61183">
      <w:tc>
        <w:tcPr>
          <w:tcW w:w="1985" w:type="dxa"/>
        </w:tcPr>
        <w:p w:rsidR="00D61183" w:rsidRDefault="00D61183">
          <w:pPr>
            <w:pStyle w:val="FirstFooter"/>
            <w:rPr>
              <w:rFonts w:ascii="Futura Lt BT" w:hAnsi="Futura Lt BT"/>
            </w:rPr>
          </w:pPr>
          <w:r>
            <w:rPr>
              <w:rFonts w:ascii="Futura Lt BT" w:hAnsi="Futura Lt BT"/>
            </w:rPr>
            <w:t>Suiza</w:t>
          </w:r>
        </w:p>
      </w:tc>
      <w:tc>
        <w:tcPr>
          <w:tcW w:w="3119" w:type="dxa"/>
        </w:tcPr>
        <w:p w:rsidR="00D61183" w:rsidRDefault="00D61183">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r>
          <w:r>
            <w:rPr>
              <w:rFonts w:ascii="Futura Lt BT" w:hAnsi="Futura Lt BT"/>
            </w:rPr>
            <w:tab/>
            <w:t>+41 22 730 65 00</w:t>
          </w:r>
        </w:p>
      </w:tc>
      <w:tc>
        <w:tcPr>
          <w:tcW w:w="2374" w:type="dxa"/>
        </w:tcPr>
        <w:p w:rsidR="00D61183" w:rsidRDefault="00D61183">
          <w:pPr>
            <w:pStyle w:val="FirstFooter"/>
            <w:rPr>
              <w:rFonts w:ascii="Futura Lt BT" w:hAnsi="Futura Lt BT"/>
            </w:rPr>
          </w:pPr>
        </w:p>
      </w:tc>
      <w:tc>
        <w:tcPr>
          <w:tcW w:w="2304" w:type="dxa"/>
        </w:tcPr>
        <w:p w:rsidR="00D61183" w:rsidRDefault="00D61183">
          <w:pPr>
            <w:pStyle w:val="FirstFooter"/>
            <w:rPr>
              <w:rFonts w:ascii="Futura Lt BT" w:hAnsi="Futura Lt BT"/>
            </w:rPr>
          </w:pPr>
        </w:p>
      </w:tc>
    </w:tr>
  </w:tbl>
  <w:p w:rsidR="00D61183" w:rsidRDefault="00D61183"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83" w:rsidRDefault="00D61183">
      <w:r>
        <w:t>____________________</w:t>
      </w:r>
    </w:p>
  </w:footnote>
  <w:footnote w:type="continuationSeparator" w:id="0">
    <w:p w:rsidR="00D61183" w:rsidRDefault="00D6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74487"/>
      <w:docPartObj>
        <w:docPartGallery w:val="Page Numbers (Top of Page)"/>
        <w:docPartUnique/>
      </w:docPartObj>
    </w:sdtPr>
    <w:sdtEndPr>
      <w:rPr>
        <w:noProof/>
        <w:sz w:val="18"/>
        <w:szCs w:val="18"/>
      </w:rPr>
    </w:sdtEndPr>
    <w:sdtContent>
      <w:p w:rsidR="00D61183" w:rsidRDefault="00D61183">
        <w:pPr>
          <w:pStyle w:val="Header"/>
          <w:rPr>
            <w:noProof/>
            <w:sz w:val="18"/>
            <w:szCs w:val="18"/>
          </w:rPr>
        </w:pPr>
        <w:r w:rsidRPr="00D61183">
          <w:rPr>
            <w:sz w:val="18"/>
            <w:szCs w:val="18"/>
          </w:rPr>
          <w:fldChar w:fldCharType="begin"/>
        </w:r>
        <w:r w:rsidRPr="00D61183">
          <w:rPr>
            <w:sz w:val="18"/>
            <w:szCs w:val="18"/>
          </w:rPr>
          <w:instrText xml:space="preserve"> PAGE   \* MERGEFORMAT </w:instrText>
        </w:r>
        <w:r w:rsidRPr="00D61183">
          <w:rPr>
            <w:sz w:val="18"/>
            <w:szCs w:val="18"/>
          </w:rPr>
          <w:fldChar w:fldCharType="separate"/>
        </w:r>
        <w:r w:rsidR="0009339A">
          <w:rPr>
            <w:noProof/>
            <w:sz w:val="18"/>
            <w:szCs w:val="18"/>
          </w:rPr>
          <w:t>5</w:t>
        </w:r>
        <w:r w:rsidRPr="00D61183">
          <w:rPr>
            <w:noProof/>
            <w:sz w:val="18"/>
            <w:szCs w:val="18"/>
          </w:rPr>
          <w:fldChar w:fldCharType="end"/>
        </w:r>
      </w:p>
      <w:p w:rsidR="00D61183" w:rsidRPr="00D61183" w:rsidRDefault="0009339A">
        <w:pPr>
          <w:pStyle w:val="Header"/>
          <w:rPr>
            <w:sz w:val="18"/>
            <w:szCs w:val="1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99946"/>
      <w:docPartObj>
        <w:docPartGallery w:val="Page Numbers (Top of Page)"/>
        <w:docPartUnique/>
      </w:docPartObj>
    </w:sdtPr>
    <w:sdtEndPr>
      <w:rPr>
        <w:noProof/>
        <w:sz w:val="18"/>
        <w:szCs w:val="18"/>
      </w:rPr>
    </w:sdtEndPr>
    <w:sdtContent>
      <w:p w:rsidR="00D61183" w:rsidRPr="001518AD" w:rsidRDefault="00D61183">
        <w:pPr>
          <w:pStyle w:val="Header"/>
          <w:rPr>
            <w:sz w:val="18"/>
            <w:szCs w:val="18"/>
          </w:rPr>
        </w:pPr>
        <w:r w:rsidRPr="001518AD">
          <w:rPr>
            <w:sz w:val="18"/>
            <w:szCs w:val="18"/>
          </w:rPr>
          <w:fldChar w:fldCharType="begin"/>
        </w:r>
        <w:r w:rsidRPr="001518AD">
          <w:rPr>
            <w:sz w:val="18"/>
            <w:szCs w:val="18"/>
          </w:rPr>
          <w:instrText xml:space="preserve"> PAGE   \* MERGEFORMAT </w:instrText>
        </w:r>
        <w:r w:rsidRPr="001518AD">
          <w:rPr>
            <w:sz w:val="18"/>
            <w:szCs w:val="18"/>
          </w:rPr>
          <w:fldChar w:fldCharType="separate"/>
        </w:r>
        <w:r w:rsidR="00DD38AF">
          <w:rPr>
            <w:noProof/>
            <w:sz w:val="18"/>
            <w:szCs w:val="18"/>
          </w:rPr>
          <w:t>2</w:t>
        </w:r>
        <w:r w:rsidRPr="001518AD">
          <w:rPr>
            <w:noProof/>
            <w:sz w:val="18"/>
            <w:szCs w:val="18"/>
          </w:rPr>
          <w:fldChar w:fldCharType="end"/>
        </w:r>
      </w:p>
    </w:sdtContent>
  </w:sdt>
  <w:p w:rsidR="00D61183" w:rsidRDefault="00D61183" w:rsidP="0015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E9E"/>
    <w:multiLevelType w:val="hybridMultilevel"/>
    <w:tmpl w:val="956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9339A"/>
    <w:rsid w:val="000C382F"/>
    <w:rsid w:val="001173CC"/>
    <w:rsid w:val="001518AD"/>
    <w:rsid w:val="001A54CC"/>
    <w:rsid w:val="00257FB4"/>
    <w:rsid w:val="00266A4E"/>
    <w:rsid w:val="002C4592"/>
    <w:rsid w:val="00303D62"/>
    <w:rsid w:val="00335367"/>
    <w:rsid w:val="00370C2D"/>
    <w:rsid w:val="003D1E8D"/>
    <w:rsid w:val="003D673B"/>
    <w:rsid w:val="003F2855"/>
    <w:rsid w:val="00401C20"/>
    <w:rsid w:val="00417BD8"/>
    <w:rsid w:val="00492978"/>
    <w:rsid w:val="004C4144"/>
    <w:rsid w:val="004E434F"/>
    <w:rsid w:val="00570A10"/>
    <w:rsid w:val="00651956"/>
    <w:rsid w:val="00662445"/>
    <w:rsid w:val="006969B4"/>
    <w:rsid w:val="00697881"/>
    <w:rsid w:val="0070407B"/>
    <w:rsid w:val="00781E2A"/>
    <w:rsid w:val="00817D75"/>
    <w:rsid w:val="008258C2"/>
    <w:rsid w:val="008505BD"/>
    <w:rsid w:val="00850C78"/>
    <w:rsid w:val="008C17AD"/>
    <w:rsid w:val="008D02CD"/>
    <w:rsid w:val="008E1939"/>
    <w:rsid w:val="0095172A"/>
    <w:rsid w:val="00A104D9"/>
    <w:rsid w:val="00A54E47"/>
    <w:rsid w:val="00AE7093"/>
    <w:rsid w:val="00B11DDE"/>
    <w:rsid w:val="00B422BC"/>
    <w:rsid w:val="00B43F77"/>
    <w:rsid w:val="00B95F0A"/>
    <w:rsid w:val="00B96180"/>
    <w:rsid w:val="00C17AC0"/>
    <w:rsid w:val="00C34772"/>
    <w:rsid w:val="00CC67DB"/>
    <w:rsid w:val="00CF78A3"/>
    <w:rsid w:val="00D61183"/>
    <w:rsid w:val="00DD38AF"/>
    <w:rsid w:val="00DD77C9"/>
    <w:rsid w:val="00DE3633"/>
    <w:rsid w:val="00E369B1"/>
    <w:rsid w:val="00E42DCF"/>
    <w:rsid w:val="00E839B0"/>
    <w:rsid w:val="00E92C09"/>
    <w:rsid w:val="00EA7466"/>
    <w:rsid w:val="00EF368B"/>
    <w:rsid w:val="00F1182A"/>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570A10"/>
    <w:pPr>
      <w:spacing w:before="0"/>
    </w:pPr>
    <w:rPr>
      <w:rFonts w:ascii="Tahoma" w:hAnsi="Tahoma" w:cs="Tahoma"/>
      <w:sz w:val="16"/>
      <w:szCs w:val="16"/>
    </w:rPr>
  </w:style>
  <w:style w:type="character" w:customStyle="1" w:styleId="BalloonTextChar">
    <w:name w:val="Balloon Text Char"/>
    <w:basedOn w:val="DefaultParagraphFont"/>
    <w:link w:val="BalloonText"/>
    <w:rsid w:val="00570A10"/>
    <w:rPr>
      <w:rFonts w:ascii="Tahoma" w:hAnsi="Tahoma" w:cs="Tahoma"/>
      <w:sz w:val="16"/>
      <w:szCs w:val="16"/>
      <w:lang w:val="es-ES_tradnl" w:eastAsia="en-US"/>
    </w:rPr>
  </w:style>
  <w:style w:type="paragraph" w:styleId="ListParagraph">
    <w:name w:val="List Paragraph"/>
    <w:basedOn w:val="Normal"/>
    <w:uiPriority w:val="34"/>
    <w:qFormat/>
    <w:rsid w:val="001518AD"/>
    <w:pPr>
      <w:overflowPunct/>
      <w:autoSpaceDE/>
      <w:autoSpaceDN/>
      <w:adjustRightInd/>
      <w:ind w:left="720"/>
      <w:contextualSpacing/>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570A10"/>
    <w:pPr>
      <w:spacing w:before="0"/>
    </w:pPr>
    <w:rPr>
      <w:rFonts w:ascii="Tahoma" w:hAnsi="Tahoma" w:cs="Tahoma"/>
      <w:sz w:val="16"/>
      <w:szCs w:val="16"/>
    </w:rPr>
  </w:style>
  <w:style w:type="character" w:customStyle="1" w:styleId="BalloonTextChar">
    <w:name w:val="Balloon Text Char"/>
    <w:basedOn w:val="DefaultParagraphFont"/>
    <w:link w:val="BalloonText"/>
    <w:rsid w:val="00570A10"/>
    <w:rPr>
      <w:rFonts w:ascii="Tahoma" w:hAnsi="Tahoma" w:cs="Tahoma"/>
      <w:sz w:val="16"/>
      <w:szCs w:val="16"/>
      <w:lang w:val="es-ES_tradnl" w:eastAsia="en-US"/>
    </w:rPr>
  </w:style>
  <w:style w:type="paragraph" w:styleId="ListParagraph">
    <w:name w:val="List Paragraph"/>
    <w:basedOn w:val="Normal"/>
    <w:uiPriority w:val="34"/>
    <w:qFormat/>
    <w:rsid w:val="001518AD"/>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kaleidoscope.org/201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kaleidoscope.org/2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leidoscope@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kaleidoscope.org/20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kaleidoscope.org/2013" TargetMode="External"/><Relationship Id="rId23" Type="http://schemas.openxmlformats.org/officeDocument/2006/relationships/fontTable" Target="fontTable.xml"/><Relationship Id="rId10" Type="http://schemas.openxmlformats.org/officeDocument/2006/relationships/hyperlink" Target="mailto:kaleidoscope@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uni/kaleidoscope/2013/progcom.html"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D4BD-6D94-4F6B-B375-73B39606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5</Pages>
  <Words>1764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11799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Papara, Marion</cp:lastModifiedBy>
  <cp:revision>2</cp:revision>
  <cp:lastPrinted>2012-06-15T10:11:00Z</cp:lastPrinted>
  <dcterms:created xsi:type="dcterms:W3CDTF">2012-06-15T12:51:00Z</dcterms:created>
  <dcterms:modified xsi:type="dcterms:W3CDTF">2012-06-15T12:51:00Z</dcterms:modified>
</cp:coreProperties>
</file>