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SY"/>
              </w:rPr>
            </w:pPr>
            <w:r w:rsidRPr="00007569">
              <w:rPr>
                <w:rFonts w:hint="cs"/>
                <w:rtl/>
              </w:rPr>
              <w:t>جنيف،</w:t>
            </w:r>
            <w:r w:rsidRPr="00007569">
              <w:rPr>
                <w:rFonts w:hint="cs"/>
                <w:rtl/>
                <w:lang w:bidi="ar-EG"/>
              </w:rPr>
              <w:t xml:space="preserve"> </w:t>
            </w:r>
            <w:r w:rsidR="00F731A6">
              <w:rPr>
                <w:lang w:bidi="ar-EG"/>
              </w:rPr>
              <w:t>10</w:t>
            </w:r>
            <w:r w:rsidR="00F731A6">
              <w:rPr>
                <w:rFonts w:hint="cs"/>
                <w:rtl/>
                <w:lang w:bidi="ar-SY"/>
              </w:rPr>
              <w:t xml:space="preserve"> يوليو </w:t>
            </w:r>
            <w:r w:rsidR="00F731A6">
              <w:rPr>
                <w:lang w:bidi="ar-SY"/>
              </w:rPr>
              <w:t>2012</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Default="00007569" w:rsidP="00D47294">
            <w:pPr>
              <w:tabs>
                <w:tab w:val="left" w:pos="4111"/>
              </w:tabs>
              <w:spacing w:before="20" w:after="60" w:line="300" w:lineRule="exact"/>
              <w:ind w:left="57"/>
            </w:pPr>
            <w:r w:rsidRPr="00007569">
              <w:rPr>
                <w:rFonts w:hint="cs"/>
                <w:rtl/>
              </w:rPr>
              <w:t>المرجع:</w:t>
            </w:r>
          </w:p>
          <w:p w:rsidR="00F731A6" w:rsidRDefault="00F731A6" w:rsidP="00D47294">
            <w:pPr>
              <w:spacing w:before="60" w:after="60" w:line="300" w:lineRule="exact"/>
              <w:ind w:left="57"/>
              <w:rPr>
                <w:lang w:bidi="ar-SY"/>
              </w:rPr>
            </w:pPr>
            <w:r>
              <w:rPr>
                <w:rFonts w:hint="cs"/>
                <w:rtl/>
                <w:lang w:bidi="ar-SY"/>
              </w:rPr>
              <w:t>الاتصال:</w:t>
            </w:r>
          </w:p>
          <w:p w:rsidR="00D47294" w:rsidRDefault="00F731A6" w:rsidP="00D47294">
            <w:pPr>
              <w:spacing w:before="60" w:after="60" w:line="300" w:lineRule="exact"/>
              <w:ind w:left="57"/>
              <w:rPr>
                <w:rtl/>
              </w:rPr>
            </w:pPr>
            <w:r w:rsidRPr="00007569">
              <w:rPr>
                <w:rFonts w:hint="cs"/>
                <w:rtl/>
                <w:lang w:bidi="ar-SY"/>
              </w:rPr>
              <w:t>الهاتف</w:t>
            </w:r>
            <w:r w:rsidRPr="00007569">
              <w:rPr>
                <w:rFonts w:hint="cs"/>
                <w:rtl/>
              </w:rPr>
              <w:t>:</w:t>
            </w:r>
          </w:p>
          <w:p w:rsidR="00F731A6" w:rsidRDefault="00F731A6" w:rsidP="00D47294">
            <w:pPr>
              <w:spacing w:before="60" w:after="60" w:line="300" w:lineRule="exact"/>
              <w:ind w:left="57"/>
              <w:rPr>
                <w:rtl/>
              </w:rPr>
            </w:pPr>
            <w:r w:rsidRPr="00007569">
              <w:rPr>
                <w:rFonts w:hint="cs"/>
                <w:rtl/>
              </w:rPr>
              <w:t>الفاكس:</w:t>
            </w:r>
          </w:p>
          <w:p w:rsidR="00F731A6" w:rsidRPr="00007569" w:rsidRDefault="00F731A6" w:rsidP="00D47294">
            <w:pPr>
              <w:tabs>
                <w:tab w:val="left" w:pos="4111"/>
              </w:tabs>
              <w:spacing w:before="20" w:after="60" w:line="300" w:lineRule="exact"/>
              <w:ind w:left="57"/>
              <w:rPr>
                <w:rtl/>
                <w:lang w:bidi="ar-SY"/>
              </w:rPr>
            </w:pPr>
            <w:r w:rsidRPr="00007569">
              <w:rPr>
                <w:rFonts w:hint="cs"/>
                <w:rtl/>
              </w:rPr>
              <w:t>البريد الإلكتروني:</w:t>
            </w:r>
          </w:p>
        </w:tc>
        <w:tc>
          <w:tcPr>
            <w:tcW w:w="3340" w:type="dxa"/>
          </w:tcPr>
          <w:p w:rsidR="00007569" w:rsidRPr="00007569" w:rsidRDefault="00C5483C" w:rsidP="00D47294">
            <w:pPr>
              <w:tabs>
                <w:tab w:val="left" w:pos="4111"/>
              </w:tabs>
              <w:spacing w:before="20" w:line="300" w:lineRule="exact"/>
              <w:ind w:left="57"/>
              <w:jc w:val="left"/>
              <w:rPr>
                <w:b/>
                <w:rtl/>
                <w:lang w:bidi="ar-EG"/>
              </w:rPr>
            </w:pPr>
            <w:r>
              <w:rPr>
                <w:b/>
              </w:rPr>
              <w:t>TSB</w:t>
            </w:r>
            <w:r w:rsidR="00F03585">
              <w:rPr>
                <w:b/>
              </w:rPr>
              <w:t> </w:t>
            </w:r>
            <w:r>
              <w:rPr>
                <w:b/>
              </w:rPr>
              <w:t xml:space="preserve">Circular </w:t>
            </w:r>
            <w:r w:rsidR="00F731A6">
              <w:rPr>
                <w:b/>
              </w:rPr>
              <w:t>299</w:t>
            </w:r>
          </w:p>
          <w:p w:rsidR="00007569" w:rsidRDefault="00F731A6" w:rsidP="00D47294">
            <w:pPr>
              <w:tabs>
                <w:tab w:val="right" w:pos="1113"/>
                <w:tab w:val="left" w:pos="4111"/>
              </w:tabs>
              <w:spacing w:before="0" w:after="60" w:line="300" w:lineRule="exact"/>
              <w:ind w:left="57"/>
              <w:jc w:val="left"/>
              <w:rPr>
                <w:bCs/>
              </w:rPr>
            </w:pPr>
            <w:r>
              <w:rPr>
                <w:bCs/>
              </w:rPr>
              <w:t>Bilel Jamoussi</w:t>
            </w:r>
          </w:p>
          <w:p w:rsidR="00F731A6" w:rsidRDefault="00F731A6" w:rsidP="00D47294">
            <w:pPr>
              <w:tabs>
                <w:tab w:val="right" w:pos="1113"/>
                <w:tab w:val="left" w:pos="4111"/>
              </w:tabs>
              <w:spacing w:before="0" w:after="60" w:line="300" w:lineRule="exact"/>
              <w:ind w:left="57"/>
              <w:jc w:val="left"/>
              <w:rPr>
                <w:bCs/>
              </w:rPr>
            </w:pPr>
            <w:r>
              <w:rPr>
                <w:bCs/>
              </w:rPr>
              <w:t>+41 22 730 6311</w:t>
            </w:r>
          </w:p>
          <w:p w:rsidR="00F731A6" w:rsidRDefault="00F731A6" w:rsidP="00D47294">
            <w:pPr>
              <w:tabs>
                <w:tab w:val="right" w:pos="1113"/>
                <w:tab w:val="left" w:pos="4111"/>
              </w:tabs>
              <w:spacing w:before="0" w:after="60" w:line="300" w:lineRule="exact"/>
              <w:ind w:left="57"/>
              <w:jc w:val="left"/>
              <w:rPr>
                <w:bCs/>
              </w:rPr>
            </w:pPr>
            <w:r>
              <w:rPr>
                <w:bCs/>
              </w:rPr>
              <w:t>+41 22 730 5853</w:t>
            </w:r>
          </w:p>
          <w:p w:rsidR="00F731A6" w:rsidRPr="00007569" w:rsidRDefault="00C84BE0" w:rsidP="00D47294">
            <w:pPr>
              <w:tabs>
                <w:tab w:val="right" w:pos="1113"/>
                <w:tab w:val="left" w:pos="4111"/>
              </w:tabs>
              <w:spacing w:before="0" w:after="60" w:line="300" w:lineRule="exact"/>
              <w:ind w:left="57"/>
              <w:jc w:val="left"/>
              <w:rPr>
                <w:bCs/>
              </w:rPr>
            </w:pPr>
            <w:hyperlink r:id="rId10" w:history="1">
              <w:r w:rsidR="00F731A6" w:rsidRPr="00046FF0">
                <w:rPr>
                  <w:rStyle w:val="Hyperlink"/>
                  <w:bCs/>
                </w:rPr>
                <w:t>tsbsgd@itu.int</w:t>
              </w:r>
            </w:hyperlink>
          </w:p>
        </w:tc>
        <w:tc>
          <w:tcPr>
            <w:tcW w:w="4760" w:type="dxa"/>
          </w:tcPr>
          <w:p w:rsidR="00D47294" w:rsidRPr="00D47294" w:rsidRDefault="00D47294" w:rsidP="00CF1B69">
            <w:pPr>
              <w:tabs>
                <w:tab w:val="left" w:pos="284"/>
                <w:tab w:val="left" w:pos="4111"/>
              </w:tabs>
              <w:spacing w:before="20" w:line="300" w:lineRule="exact"/>
              <w:ind w:left="284" w:hanging="227"/>
              <w:rPr>
                <w:b/>
                <w:bCs/>
                <w:rtl/>
              </w:rPr>
            </w:pPr>
            <w:r w:rsidRPr="00D47294">
              <w:rPr>
                <w:rFonts w:hint="cs"/>
                <w:b/>
                <w:bCs/>
                <w:rtl/>
              </w:rPr>
              <w:t>إلى:</w:t>
            </w:r>
          </w:p>
          <w:p w:rsidR="00007569" w:rsidRPr="00007569" w:rsidRDefault="00007569" w:rsidP="00921F74">
            <w:pPr>
              <w:tabs>
                <w:tab w:val="left" w:pos="284"/>
                <w:tab w:val="left" w:pos="4111"/>
              </w:tabs>
              <w:spacing w:before="20" w:line="300" w:lineRule="exact"/>
              <w:ind w:left="284" w:hanging="227"/>
              <w:jc w:val="left"/>
              <w:rPr>
                <w:rtl/>
                <w:lang w:bidi="ar-EG"/>
              </w:rPr>
            </w:pPr>
            <w:r w:rsidRPr="00007569">
              <w:rPr>
                <w:rFonts w:hint="cs"/>
                <w:rtl/>
              </w:rPr>
              <w:t>-</w:t>
            </w:r>
            <w:r w:rsidRPr="00007569">
              <w:rPr>
                <w:rtl/>
              </w:rPr>
              <w:tab/>
            </w:r>
            <w:r w:rsidRPr="00007569">
              <w:rPr>
                <w:rFonts w:hint="cs"/>
                <w:rtl/>
              </w:rPr>
              <w:t xml:space="preserve"> إدارات الدول الأعضاء في الاتحاد</w:t>
            </w:r>
          </w:p>
          <w:p w:rsidR="00007569" w:rsidRPr="00007569" w:rsidRDefault="00007569" w:rsidP="00921F74">
            <w:pPr>
              <w:tabs>
                <w:tab w:val="left" w:pos="284"/>
                <w:tab w:val="left" w:pos="4111"/>
              </w:tabs>
              <w:spacing w:before="0" w:line="300" w:lineRule="exact"/>
              <w:ind w:left="284" w:hanging="227"/>
              <w:jc w:val="left"/>
              <w:rPr>
                <w:rtl/>
              </w:rPr>
            </w:pPr>
            <w:r w:rsidRPr="00007569">
              <w:rPr>
                <w:rFonts w:hint="cs"/>
                <w:rtl/>
              </w:rPr>
              <w:t>-</w:t>
            </w:r>
            <w:r w:rsidRPr="00007569">
              <w:rPr>
                <w:rtl/>
              </w:rPr>
              <w:tab/>
            </w:r>
            <w:r w:rsidR="00F731A6">
              <w:rPr>
                <w:rFonts w:hint="cs"/>
                <w:rtl/>
              </w:rPr>
              <w:t>أعضاء قطاع تقييس الاتصالات</w:t>
            </w:r>
          </w:p>
          <w:p w:rsidR="00007569" w:rsidRDefault="00007569" w:rsidP="00921F74">
            <w:pPr>
              <w:tabs>
                <w:tab w:val="left" w:pos="284"/>
                <w:tab w:val="left" w:pos="4111"/>
              </w:tabs>
              <w:spacing w:before="20" w:line="300" w:lineRule="exact"/>
              <w:ind w:left="284" w:hanging="227"/>
              <w:jc w:val="left"/>
              <w:rPr>
                <w:rtl/>
              </w:rPr>
            </w:pPr>
            <w:r w:rsidRPr="00007569">
              <w:rPr>
                <w:rFonts w:hint="cs"/>
                <w:rtl/>
              </w:rPr>
              <w:t>-</w:t>
            </w:r>
            <w:r w:rsidRPr="00007569">
              <w:rPr>
                <w:rtl/>
              </w:rPr>
              <w:tab/>
              <w:t xml:space="preserve">المنتسبين </w:t>
            </w:r>
            <w:r w:rsidRPr="00007569">
              <w:rPr>
                <w:rFonts w:hint="cs"/>
                <w:rtl/>
              </w:rPr>
              <w:t>إلى</w:t>
            </w:r>
            <w:r w:rsidRPr="00007569">
              <w:rPr>
                <w:rtl/>
              </w:rPr>
              <w:t xml:space="preserve"> قطاع تقييس الاتصالات</w:t>
            </w:r>
          </w:p>
          <w:p w:rsidR="00F71CA3" w:rsidRPr="00007569" w:rsidRDefault="00F71CA3" w:rsidP="00921F74">
            <w:pPr>
              <w:tabs>
                <w:tab w:val="left" w:pos="284"/>
                <w:tab w:val="left" w:pos="4111"/>
              </w:tabs>
              <w:spacing w:before="20" w:line="300" w:lineRule="exact"/>
              <w:ind w:left="284" w:hanging="227"/>
              <w:jc w:val="left"/>
              <w:rPr>
                <w:rtl/>
              </w:rPr>
            </w:pPr>
            <w:r w:rsidRPr="0060203A">
              <w:rPr>
                <w:rFonts w:hint="cs"/>
                <w:rtl/>
              </w:rPr>
              <w:t>-</w:t>
            </w:r>
            <w:r w:rsidRPr="0060203A">
              <w:rPr>
                <w:rtl/>
              </w:rPr>
              <w:tab/>
            </w:r>
            <w:r w:rsidRPr="0060203A">
              <w:rPr>
                <w:rFonts w:hint="cs"/>
                <w:rtl/>
              </w:rPr>
              <w:t>الهيئات الأكاديمية المنضمة إلى قطاع تقييس الاتصالات</w:t>
            </w:r>
          </w:p>
          <w:p w:rsidR="00007569" w:rsidRDefault="00F731A6" w:rsidP="00921F74">
            <w:pPr>
              <w:tabs>
                <w:tab w:val="left" w:pos="284"/>
                <w:tab w:val="left" w:pos="4111"/>
              </w:tabs>
              <w:spacing w:before="0" w:line="300" w:lineRule="exact"/>
              <w:ind w:left="284" w:hanging="227"/>
              <w:jc w:val="left"/>
            </w:pPr>
            <w:r w:rsidRPr="0060203A">
              <w:rPr>
                <w:rFonts w:hint="cs"/>
                <w:rtl/>
              </w:rPr>
              <w:t>-</w:t>
            </w:r>
            <w:r w:rsidRPr="0060203A">
              <w:rPr>
                <w:rtl/>
              </w:rPr>
              <w:tab/>
            </w:r>
            <w:r>
              <w:rPr>
                <w:rFonts w:hint="cs"/>
                <w:rtl/>
              </w:rPr>
              <w:t>منظمات الاتصالات الإقليمية</w:t>
            </w:r>
          </w:p>
          <w:p w:rsidR="00F731A6" w:rsidRDefault="00F731A6" w:rsidP="00921F74">
            <w:pPr>
              <w:tabs>
                <w:tab w:val="left" w:pos="284"/>
                <w:tab w:val="left" w:pos="4111"/>
              </w:tabs>
              <w:spacing w:before="0" w:line="300" w:lineRule="exact"/>
              <w:ind w:left="284" w:hanging="227"/>
              <w:jc w:val="left"/>
            </w:pPr>
            <w:r w:rsidRPr="0060203A">
              <w:rPr>
                <w:rFonts w:hint="cs"/>
                <w:rtl/>
              </w:rPr>
              <w:t>-</w:t>
            </w:r>
            <w:r w:rsidRPr="0060203A">
              <w:rPr>
                <w:rtl/>
              </w:rPr>
              <w:tab/>
            </w:r>
            <w:r>
              <w:rPr>
                <w:rFonts w:hint="cs"/>
                <w:rtl/>
              </w:rPr>
              <w:t>المنطمات الحكومية الدولية التي تشغّل أنظمة ساتلية</w:t>
            </w:r>
          </w:p>
          <w:p w:rsidR="00F731A6" w:rsidRDefault="00F731A6" w:rsidP="00921F74">
            <w:pPr>
              <w:tabs>
                <w:tab w:val="left" w:pos="284"/>
                <w:tab w:val="left" w:pos="4111"/>
              </w:tabs>
              <w:spacing w:before="0" w:line="300" w:lineRule="exact"/>
              <w:ind w:left="284" w:hanging="227"/>
              <w:jc w:val="left"/>
            </w:pPr>
            <w:r w:rsidRPr="0060203A">
              <w:rPr>
                <w:rFonts w:hint="cs"/>
                <w:rtl/>
              </w:rPr>
              <w:t>-</w:t>
            </w:r>
            <w:r w:rsidRPr="0060203A">
              <w:rPr>
                <w:rtl/>
              </w:rPr>
              <w:tab/>
            </w:r>
            <w:r>
              <w:rPr>
                <w:rFonts w:hint="cs"/>
                <w:rtl/>
              </w:rPr>
              <w:t>الأمم المتحدة</w:t>
            </w:r>
          </w:p>
          <w:p w:rsidR="00F731A6" w:rsidRPr="00007569" w:rsidRDefault="00F731A6" w:rsidP="00921F74">
            <w:pPr>
              <w:tabs>
                <w:tab w:val="left" w:pos="284"/>
                <w:tab w:val="left" w:pos="4111"/>
              </w:tabs>
              <w:spacing w:before="0" w:line="300" w:lineRule="exact"/>
              <w:ind w:left="284" w:hanging="227"/>
              <w:jc w:val="left"/>
            </w:pPr>
            <w:r w:rsidRPr="0060203A">
              <w:rPr>
                <w:rFonts w:hint="cs"/>
                <w:rtl/>
              </w:rPr>
              <w:t>-</w:t>
            </w:r>
            <w:r w:rsidRPr="0060203A">
              <w:rPr>
                <w:rtl/>
              </w:rPr>
              <w:tab/>
            </w:r>
            <w:r>
              <w:rPr>
                <w:rFonts w:hint="cs"/>
                <w:rtl/>
              </w:rPr>
              <w:t>الوكالات المتخصصة للأمم المتحدة والوكالة الدولية للطاقة الذرية</w:t>
            </w:r>
          </w:p>
        </w:tc>
      </w:tr>
      <w:tr w:rsidR="00007569" w:rsidRPr="00007569" w:rsidTr="00CF1B69">
        <w:trPr>
          <w:cantSplit/>
        </w:trPr>
        <w:tc>
          <w:tcPr>
            <w:tcW w:w="1533" w:type="dxa"/>
          </w:tcPr>
          <w:p w:rsidR="00007569" w:rsidRPr="00007569" w:rsidRDefault="00007569" w:rsidP="0031633A">
            <w:pPr>
              <w:spacing w:before="60" w:after="60" w:line="300" w:lineRule="exact"/>
              <w:ind w:left="57"/>
            </w:pPr>
          </w:p>
        </w:tc>
        <w:tc>
          <w:tcPr>
            <w:tcW w:w="3340" w:type="dxa"/>
          </w:tcPr>
          <w:p w:rsidR="00F731A6" w:rsidRPr="00007569" w:rsidRDefault="00F731A6" w:rsidP="00F731A6">
            <w:pPr>
              <w:tabs>
                <w:tab w:val="right" w:pos="1432"/>
                <w:tab w:val="left" w:pos="4111"/>
              </w:tabs>
              <w:spacing w:before="60" w:after="60" w:line="300" w:lineRule="exact"/>
              <w:ind w:left="57"/>
              <w:jc w:val="left"/>
              <w:rPr>
                <w:lang w:bidi="ar-EG"/>
              </w:rPr>
            </w:pPr>
          </w:p>
          <w:p w:rsidR="00007569" w:rsidRPr="00007569" w:rsidRDefault="00007569" w:rsidP="00FE7226">
            <w:pPr>
              <w:tabs>
                <w:tab w:val="right" w:pos="1432"/>
                <w:tab w:val="left" w:pos="4111"/>
              </w:tabs>
              <w:spacing w:before="20" w:after="60" w:line="300" w:lineRule="exact"/>
              <w:ind w:left="57"/>
              <w:jc w:val="left"/>
              <w:rPr>
                <w:rtl/>
                <w:lang w:bidi="ar-EG"/>
              </w:rPr>
            </w:pPr>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CF1B69">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F731A6">
              <w:rPr>
                <w:rFonts w:hint="cs"/>
                <w:spacing w:val="-4"/>
                <w:rtl/>
              </w:rPr>
              <w:t>رؤساء لجان دراسات قطاع تقييس الاتصالات ونوابهم</w:t>
            </w:r>
          </w:p>
          <w:p w:rsidR="00007569" w:rsidRPr="00007569" w:rsidRDefault="00007569" w:rsidP="00CF1B69">
            <w:pPr>
              <w:tabs>
                <w:tab w:val="left" w:pos="284"/>
                <w:tab w:val="left" w:pos="4111"/>
              </w:tabs>
              <w:spacing w:before="0" w:line="300" w:lineRule="exact"/>
              <w:ind w:left="284" w:hanging="227"/>
              <w:rPr>
                <w:lang w:bidi="ar-EG"/>
              </w:rPr>
            </w:pPr>
            <w:r w:rsidRPr="00007569">
              <w:rPr>
                <w:rFonts w:hint="cs"/>
                <w:rtl/>
              </w:rPr>
              <w:t>-</w:t>
            </w:r>
            <w:r w:rsidRPr="00007569">
              <w:rPr>
                <w:rtl/>
              </w:rPr>
              <w:tab/>
              <w:t>مدير مكتب تنمية الاتصالات</w:t>
            </w:r>
          </w:p>
          <w:p w:rsidR="00007569" w:rsidRPr="00007569" w:rsidRDefault="00007569" w:rsidP="00CF1B69">
            <w:pPr>
              <w:tabs>
                <w:tab w:val="left" w:pos="284"/>
                <w:tab w:val="left" w:pos="4111"/>
              </w:tabs>
              <w:spacing w:before="0" w:after="6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07569" w:rsidRDefault="00984E1F" w:rsidP="006868E7">
            <w:pPr>
              <w:tabs>
                <w:tab w:val="left" w:pos="284"/>
                <w:tab w:val="left" w:pos="4111"/>
              </w:tabs>
              <w:spacing w:after="120"/>
              <w:ind w:left="57"/>
              <w:jc w:val="left"/>
              <w:rPr>
                <w:b/>
                <w:bCs/>
                <w:lang w:bidi="ar-SY"/>
              </w:rPr>
            </w:pPr>
            <w:r>
              <w:rPr>
                <w:rFonts w:hint="cs"/>
                <w:b/>
                <w:bCs/>
                <w:rtl/>
              </w:rPr>
              <w:t xml:space="preserve">الندوة العالمية للمعايير </w:t>
            </w:r>
            <w:r>
              <w:rPr>
                <w:b/>
                <w:bCs/>
              </w:rPr>
              <w:t>(GSS</w:t>
            </w:r>
            <w:r>
              <w:rPr>
                <w:b/>
                <w:bCs/>
              </w:rPr>
              <w:noBreakHyphen/>
              <w:t>12)</w:t>
            </w:r>
            <w:r w:rsidR="006868E7" w:rsidRPr="000302D3">
              <w:rPr>
                <w:b/>
                <w:bCs/>
                <w:rtl/>
              </w:rPr>
              <w:t xml:space="preserve"> </w:t>
            </w:r>
            <w:r w:rsidR="00F71CA3" w:rsidRPr="000302D3">
              <w:rPr>
                <w:b/>
                <w:bCs/>
                <w:rtl/>
              </w:rPr>
              <w:br/>
            </w:r>
            <w:r>
              <w:rPr>
                <w:rFonts w:hint="cs"/>
                <w:b/>
                <w:bCs/>
                <w:rtl/>
                <w:lang w:bidi="ar-SY"/>
              </w:rPr>
              <w:t>دبي</w:t>
            </w:r>
            <w:r w:rsidR="00F71CA3" w:rsidRPr="000302D3">
              <w:rPr>
                <w:rFonts w:hint="cs"/>
                <w:b/>
                <w:bCs/>
                <w:rtl/>
              </w:rPr>
              <w:t xml:space="preserve">، </w:t>
            </w:r>
            <w:r>
              <w:rPr>
                <w:rFonts w:hint="cs"/>
                <w:b/>
                <w:bCs/>
                <w:rtl/>
              </w:rPr>
              <w:t xml:space="preserve">الإمارات العربية المتحدة، </w:t>
            </w:r>
            <w:r>
              <w:rPr>
                <w:b/>
                <w:bCs/>
              </w:rPr>
              <w:t>19</w:t>
            </w:r>
            <w:r>
              <w:rPr>
                <w:rFonts w:hint="cs"/>
                <w:b/>
                <w:bCs/>
                <w:rtl/>
                <w:lang w:bidi="ar-SY"/>
              </w:rPr>
              <w:t xml:space="preserve"> نوفمبر </w:t>
            </w:r>
            <w:r>
              <w:rPr>
                <w:b/>
                <w:bCs/>
                <w:lang w:bidi="ar-SY"/>
              </w:rPr>
              <w:t>2012</w:t>
            </w:r>
          </w:p>
        </w:tc>
      </w:tr>
    </w:tbl>
    <w:p w:rsidR="00984E1F" w:rsidRDefault="00984E1F" w:rsidP="00984E1F"/>
    <w:p w:rsidR="00984E1F" w:rsidRPr="005F33FD" w:rsidRDefault="00984E1F" w:rsidP="00984E1F">
      <w:pPr>
        <w:rPr>
          <w:rtl/>
          <w:lang w:bidi="ar-EG"/>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984E1F" w:rsidRPr="005F33FD" w:rsidRDefault="00984E1F" w:rsidP="00984E1F">
      <w:pPr>
        <w:rPr>
          <w:rtl/>
        </w:rPr>
      </w:pPr>
      <w:r>
        <w:rPr>
          <w:rFonts w:hint="cs"/>
          <w:rtl/>
        </w:rPr>
        <w:t>تحية طيبة وبعد،</w:t>
      </w:r>
    </w:p>
    <w:p w:rsidR="00984E1F" w:rsidRPr="006868E7" w:rsidRDefault="00984E1F" w:rsidP="00984E1F">
      <w:pPr>
        <w:rPr>
          <w:spacing w:val="-4"/>
          <w:rtl/>
          <w:lang w:bidi="ar-EG"/>
        </w:rPr>
      </w:pPr>
      <w:r w:rsidRPr="006868E7">
        <w:rPr>
          <w:rFonts w:hint="cs"/>
          <w:spacing w:val="-4"/>
          <w:rtl/>
        </w:rPr>
        <w:t xml:space="preserve">أعلن الأمين العام للاتحاد الدولي للاتصالات من خلال </w:t>
      </w:r>
      <w:hyperlink r:id="rId11" w:history="1">
        <w:r w:rsidRPr="006868E7">
          <w:rPr>
            <w:rStyle w:val="Hyperlink"/>
            <w:rFonts w:hint="cs"/>
            <w:spacing w:val="-4"/>
            <w:rtl/>
          </w:rPr>
          <w:t xml:space="preserve">الرسالة المعممة رقم </w:t>
        </w:r>
        <w:r w:rsidRPr="006868E7">
          <w:rPr>
            <w:rStyle w:val="Hyperlink"/>
            <w:spacing w:val="-4"/>
          </w:rPr>
          <w:t>65</w:t>
        </w:r>
      </w:hyperlink>
      <w:r w:rsidRPr="006868E7">
        <w:rPr>
          <w:rFonts w:hint="cs"/>
          <w:spacing w:val="-4"/>
          <w:rtl/>
          <w:lang w:bidi="ar-EG"/>
        </w:rPr>
        <w:t xml:space="preserve"> والرسالتين </w:t>
      </w:r>
      <w:hyperlink r:id="rId12" w:history="1">
        <w:r w:rsidRPr="006868E7">
          <w:rPr>
            <w:rStyle w:val="Hyperlink"/>
            <w:spacing w:val="-4"/>
            <w:lang w:bidi="ar-EG"/>
          </w:rPr>
          <w:t xml:space="preserve">DM </w:t>
        </w:r>
        <w:r w:rsidRPr="006868E7">
          <w:rPr>
            <w:rStyle w:val="Hyperlink"/>
            <w:spacing w:val="-4"/>
            <w:lang w:bidi="ar-EG"/>
          </w:rPr>
          <w:noBreakHyphen/>
          <w:t>11/1028</w:t>
        </w:r>
      </w:hyperlink>
      <w:r w:rsidRPr="006868E7">
        <w:rPr>
          <w:rFonts w:hint="cs"/>
          <w:spacing w:val="-4"/>
          <w:rtl/>
          <w:lang w:bidi="ar-EG"/>
        </w:rPr>
        <w:t xml:space="preserve"> و</w:t>
      </w:r>
      <w:hyperlink r:id="rId13" w:history="1">
        <w:r w:rsidRPr="006868E7">
          <w:rPr>
            <w:rStyle w:val="Hyperlink"/>
            <w:spacing w:val="-4"/>
            <w:lang w:bidi="ar-EG"/>
          </w:rPr>
          <w:t xml:space="preserve">DM </w:t>
        </w:r>
        <w:r w:rsidRPr="006868E7">
          <w:rPr>
            <w:rStyle w:val="Hyperlink"/>
            <w:spacing w:val="-4"/>
            <w:lang w:bidi="ar-EG"/>
          </w:rPr>
          <w:noBreakHyphen/>
          <w:t>11/1029</w:t>
        </w:r>
      </w:hyperlink>
      <w:r w:rsidRPr="006868E7">
        <w:rPr>
          <w:rFonts w:hint="cs"/>
          <w:spacing w:val="-4"/>
          <w:rtl/>
          <w:lang w:bidi="ar-EG"/>
        </w:rPr>
        <w:t xml:space="preserve"> بتاريخ </w:t>
      </w:r>
      <w:r w:rsidRPr="006868E7">
        <w:rPr>
          <w:spacing w:val="-4"/>
          <w:lang w:bidi="ar-EG"/>
        </w:rPr>
        <w:t>16</w:t>
      </w:r>
      <w:r w:rsidRPr="006868E7">
        <w:rPr>
          <w:rFonts w:hint="eastAsia"/>
          <w:spacing w:val="-4"/>
          <w:rtl/>
          <w:lang w:bidi="ar-EG"/>
        </w:rPr>
        <w:t> </w:t>
      </w:r>
      <w:r w:rsidRPr="006868E7">
        <w:rPr>
          <w:rFonts w:hint="cs"/>
          <w:spacing w:val="-4"/>
          <w:rtl/>
          <w:lang w:bidi="ar-EG"/>
        </w:rPr>
        <w:t>ديسمبر</w:t>
      </w:r>
      <w:r w:rsidRPr="006868E7">
        <w:rPr>
          <w:rFonts w:hint="eastAsia"/>
          <w:spacing w:val="-4"/>
          <w:rtl/>
          <w:lang w:bidi="ar-EG"/>
        </w:rPr>
        <w:t> </w:t>
      </w:r>
      <w:r w:rsidRPr="006868E7">
        <w:rPr>
          <w:spacing w:val="-4"/>
          <w:lang w:bidi="ar-EG"/>
        </w:rPr>
        <w:t>2011</w:t>
      </w:r>
      <w:r w:rsidRPr="006868E7">
        <w:rPr>
          <w:rFonts w:hint="cs"/>
          <w:spacing w:val="-4"/>
          <w:rtl/>
          <w:lang w:bidi="ar-EG"/>
        </w:rPr>
        <w:t xml:space="preserve"> إنه، بدعوة كريمة من حكومة الإمارات العربية المتحدة، وتنفيذاً للقرار</w:t>
      </w:r>
      <w:r w:rsidRPr="006868E7">
        <w:rPr>
          <w:rFonts w:hint="eastAsia"/>
          <w:spacing w:val="-4"/>
          <w:rtl/>
          <w:lang w:bidi="ar-EG"/>
        </w:rPr>
        <w:t> </w:t>
      </w:r>
      <w:r w:rsidRPr="006868E7">
        <w:rPr>
          <w:spacing w:val="-4"/>
          <w:lang w:bidi="ar-EG"/>
        </w:rPr>
        <w:t>77</w:t>
      </w:r>
      <w:r w:rsidRPr="006868E7">
        <w:rPr>
          <w:rFonts w:hint="cs"/>
          <w:spacing w:val="-4"/>
          <w:rtl/>
          <w:lang w:bidi="ar-EG"/>
        </w:rPr>
        <w:t xml:space="preserve"> (المراجع في</w:t>
      </w:r>
      <w:r w:rsidRPr="006868E7">
        <w:rPr>
          <w:rFonts w:hint="eastAsia"/>
          <w:spacing w:val="-4"/>
          <w:rtl/>
          <w:lang w:bidi="ar-EG"/>
        </w:rPr>
        <w:t> </w:t>
      </w:r>
      <w:r w:rsidRPr="006868E7">
        <w:rPr>
          <w:rFonts w:hint="cs"/>
          <w:spacing w:val="-4"/>
          <w:rtl/>
          <w:lang w:bidi="ar-EG"/>
        </w:rPr>
        <w:t>غوادالاخارا،</w:t>
      </w:r>
      <w:r w:rsidRPr="006868E7">
        <w:rPr>
          <w:rFonts w:hint="eastAsia"/>
          <w:spacing w:val="-4"/>
          <w:rtl/>
          <w:lang w:bidi="ar-EG"/>
        </w:rPr>
        <w:t> </w:t>
      </w:r>
      <w:r w:rsidRPr="006868E7">
        <w:rPr>
          <w:spacing w:val="-4"/>
          <w:lang w:bidi="ar-EG"/>
        </w:rPr>
        <w:t>2010</w:t>
      </w:r>
      <w:r w:rsidRPr="006868E7">
        <w:rPr>
          <w:rFonts w:hint="cs"/>
          <w:spacing w:val="-4"/>
          <w:rtl/>
          <w:lang w:bidi="ar-SY"/>
        </w:rPr>
        <w:t>)</w:t>
      </w:r>
      <w:r w:rsidRPr="006868E7">
        <w:rPr>
          <w:rFonts w:hint="cs"/>
          <w:spacing w:val="-4"/>
          <w:rtl/>
          <w:lang w:bidi="ar-EG"/>
        </w:rPr>
        <w:t xml:space="preserve"> وقرار المجلس </w:t>
      </w:r>
      <w:r w:rsidRPr="006868E7">
        <w:rPr>
          <w:spacing w:val="-4"/>
          <w:lang w:bidi="ar-EG"/>
        </w:rPr>
        <w:t>1335</w:t>
      </w:r>
      <w:r w:rsidRPr="006868E7">
        <w:rPr>
          <w:rFonts w:hint="cs"/>
          <w:spacing w:val="-4"/>
          <w:rtl/>
          <w:lang w:bidi="ar-EG"/>
        </w:rPr>
        <w:t xml:space="preserve">، ستُعقد الجمعية العالمية لتقييس الاتصالات </w:t>
      </w:r>
      <w:r w:rsidRPr="006868E7">
        <w:rPr>
          <w:spacing w:val="-4"/>
          <w:lang w:bidi="ar-EG"/>
        </w:rPr>
        <w:t>(WTSA</w:t>
      </w:r>
      <w:r w:rsidRPr="006868E7">
        <w:rPr>
          <w:spacing w:val="-4"/>
          <w:lang w:bidi="ar-EG"/>
        </w:rPr>
        <w:noBreakHyphen/>
        <w:t>12)</w:t>
      </w:r>
      <w:r w:rsidRPr="006868E7">
        <w:rPr>
          <w:rFonts w:hint="cs"/>
          <w:spacing w:val="-4"/>
          <w:rtl/>
          <w:lang w:bidi="ar-EG"/>
        </w:rPr>
        <w:t xml:space="preserve"> في دبي، الإمارات العربية المتحدة</w:t>
      </w:r>
      <w:r w:rsidR="001E755F">
        <w:rPr>
          <w:rFonts w:hint="cs"/>
          <w:spacing w:val="-4"/>
          <w:rtl/>
          <w:lang w:bidi="ar-EG"/>
        </w:rPr>
        <w:t xml:space="preserve"> </w:t>
      </w:r>
      <w:r w:rsidR="001E755F">
        <w:rPr>
          <w:spacing w:val="-4"/>
          <w:lang w:bidi="ar-EG"/>
        </w:rPr>
        <w:t>(UAE)</w:t>
      </w:r>
      <w:r w:rsidRPr="006868E7">
        <w:rPr>
          <w:rFonts w:hint="cs"/>
          <w:spacing w:val="-4"/>
          <w:rtl/>
          <w:lang w:bidi="ar-EG"/>
        </w:rPr>
        <w:t xml:space="preserve"> في الفترة من</w:t>
      </w:r>
      <w:r w:rsidRPr="006868E7">
        <w:rPr>
          <w:rFonts w:hint="eastAsia"/>
          <w:spacing w:val="-4"/>
          <w:rtl/>
          <w:lang w:bidi="ar-EG"/>
        </w:rPr>
        <w:t> </w:t>
      </w:r>
      <w:r w:rsidRPr="006868E7">
        <w:rPr>
          <w:spacing w:val="-4"/>
          <w:lang w:bidi="ar-EG"/>
        </w:rPr>
        <w:t>20</w:t>
      </w:r>
      <w:r w:rsidRPr="006868E7">
        <w:rPr>
          <w:rFonts w:hint="eastAsia"/>
          <w:spacing w:val="-4"/>
          <w:rtl/>
          <w:lang w:bidi="ar-EG"/>
        </w:rPr>
        <w:t> </w:t>
      </w:r>
      <w:r w:rsidRPr="006868E7">
        <w:rPr>
          <w:rFonts w:hint="cs"/>
          <w:spacing w:val="-4"/>
          <w:rtl/>
          <w:lang w:bidi="ar-EG"/>
        </w:rPr>
        <w:t xml:space="preserve">إلى </w:t>
      </w:r>
      <w:r w:rsidRPr="006868E7">
        <w:rPr>
          <w:spacing w:val="-4"/>
          <w:lang w:bidi="ar-EG"/>
        </w:rPr>
        <w:t>29</w:t>
      </w:r>
      <w:r w:rsidRPr="006868E7">
        <w:rPr>
          <w:rFonts w:hint="cs"/>
          <w:spacing w:val="-4"/>
          <w:rtl/>
          <w:lang w:bidi="ar-EG"/>
        </w:rPr>
        <w:t xml:space="preserve"> نوفمبر </w:t>
      </w:r>
      <w:r w:rsidRPr="006868E7">
        <w:rPr>
          <w:spacing w:val="-4"/>
          <w:lang w:bidi="ar-EG"/>
        </w:rPr>
        <w:t>2012</w:t>
      </w:r>
      <w:r w:rsidRPr="006868E7">
        <w:rPr>
          <w:rFonts w:hint="cs"/>
          <w:spacing w:val="-4"/>
          <w:rtl/>
          <w:lang w:bidi="ar-SY"/>
        </w:rPr>
        <w:t xml:space="preserve">، وتسبقها الندوة العالمية للمعايير يوم </w:t>
      </w:r>
      <w:r w:rsidRPr="006868E7">
        <w:rPr>
          <w:spacing w:val="-4"/>
          <w:lang w:bidi="ar-SY"/>
        </w:rPr>
        <w:t>19</w:t>
      </w:r>
      <w:r w:rsidRPr="006868E7">
        <w:rPr>
          <w:rFonts w:hint="cs"/>
          <w:spacing w:val="-4"/>
          <w:rtl/>
          <w:lang w:bidi="ar-SY"/>
        </w:rPr>
        <w:t xml:space="preserve"> نوفمبر </w:t>
      </w:r>
      <w:r w:rsidRPr="006868E7">
        <w:rPr>
          <w:spacing w:val="-4"/>
          <w:lang w:bidi="ar-SY"/>
        </w:rPr>
        <w:t>2012</w:t>
      </w:r>
      <w:r w:rsidRPr="006868E7">
        <w:rPr>
          <w:rFonts w:hint="cs"/>
          <w:spacing w:val="-4"/>
          <w:rtl/>
          <w:lang w:bidi="ar-EG"/>
        </w:rPr>
        <w:t>.</w:t>
      </w:r>
    </w:p>
    <w:p w:rsidR="00984E1F" w:rsidRDefault="00984E1F" w:rsidP="00984E1F">
      <w:pPr>
        <w:rPr>
          <w:spacing w:val="-2"/>
          <w:rtl/>
        </w:rPr>
      </w:pPr>
      <w:r>
        <w:rPr>
          <w:rFonts w:hint="cs"/>
          <w:rtl/>
          <w:lang w:bidi="ar-EG"/>
        </w:rPr>
        <w:t xml:space="preserve">وإنه لمن دواعي سروري أن أدعوكم إلى المشاركة في الندوة العالمية للمعايير </w:t>
      </w:r>
      <w:r>
        <w:rPr>
          <w:lang w:bidi="ar-EG"/>
        </w:rPr>
        <w:t>(GSS)</w:t>
      </w:r>
      <w:r>
        <w:rPr>
          <w:rFonts w:hint="cs"/>
          <w:rtl/>
          <w:lang w:bidi="ar-EG"/>
        </w:rPr>
        <w:t xml:space="preserve"> التي ستعقد في نفس مكان انعقاد الجمعية العالمية لتقييس الاتصالات لعام </w:t>
      </w:r>
      <w:r>
        <w:t>2012</w:t>
      </w:r>
      <w:r w:rsidR="00946E45">
        <w:rPr>
          <w:rFonts w:hint="cs"/>
          <w:rtl/>
        </w:rPr>
        <w:t xml:space="preserve"> </w:t>
      </w:r>
      <w:r w:rsidR="00946E45">
        <w:t>(WTSA</w:t>
      </w:r>
      <w:r w:rsidR="00946E45">
        <w:sym w:font="Symbol" w:char="F02D"/>
      </w:r>
      <w:r w:rsidR="00946E45">
        <w:t>12)</w:t>
      </w:r>
      <w:r>
        <w:rPr>
          <w:rFonts w:hint="cs"/>
          <w:rtl/>
          <w:lang w:bidi="ar-EG"/>
        </w:rPr>
        <w:t xml:space="preserve">، في مركز دبي للتجارة العالمية، دبي، الإمارات العربية المتحدة. والغرض من الندوة العالمية للمعايير، حسبما وافق عليه مجلس الاتحاد في دورته لعام </w:t>
      </w:r>
      <w:r>
        <w:rPr>
          <w:lang w:bidi="ar-EG"/>
        </w:rPr>
        <w:t>2007</w:t>
      </w:r>
      <w:r>
        <w:rPr>
          <w:rFonts w:hint="cs"/>
          <w:rtl/>
          <w:lang w:bidi="ar-EG"/>
        </w:rPr>
        <w:t xml:space="preserve">، هو </w:t>
      </w:r>
      <w:r>
        <w:rPr>
          <w:rFonts w:hint="cs"/>
          <w:spacing w:val="-2"/>
          <w:rtl/>
          <w:lang w:bidi="ar-EG"/>
        </w:rPr>
        <w:t xml:space="preserve">توفير منتدى رفيع المستوى للمناقشة والتنسيق يكون مفتوحاً </w:t>
      </w:r>
      <w:r>
        <w:rPr>
          <w:rFonts w:hint="cs"/>
          <w:rtl/>
        </w:rPr>
        <w:t>أمام الأعضاء وغير الأعضاء على السواء</w:t>
      </w:r>
      <w:r>
        <w:rPr>
          <w:rFonts w:hint="cs"/>
          <w:spacing w:val="-2"/>
          <w:rtl/>
        </w:rPr>
        <w:t>.</w:t>
      </w:r>
    </w:p>
    <w:p w:rsidR="00984E1F" w:rsidRDefault="00984E1F" w:rsidP="00456775">
      <w:pPr>
        <w:keepNext/>
        <w:keepLines/>
        <w:rPr>
          <w:spacing w:val="-2"/>
          <w:rtl/>
          <w:lang w:bidi="ar-EG"/>
        </w:rPr>
      </w:pPr>
      <w:r>
        <w:rPr>
          <w:rFonts w:hint="cs"/>
          <w:spacing w:val="-2"/>
          <w:rtl/>
        </w:rPr>
        <w:lastRenderedPageBreak/>
        <w:t>ستبحث الندوة بوجه خاص التحديات العالمية المتعلقة بمعايير تكنولوجيا المعلومات والاتصالات مثل الانتقال من الابتكار إلى المعايير والصحة الإلكترونية والشبكات الذكية وأنظمة النقل الذكية ومقاومة الشبكات للكوارث.</w:t>
      </w:r>
      <w:r>
        <w:rPr>
          <w:rFonts w:hint="cs"/>
          <w:spacing w:val="-2"/>
          <w:rtl/>
          <w:lang w:bidi="ar-EG"/>
        </w:rPr>
        <w:t xml:space="preserve"> </w:t>
      </w:r>
      <w:r>
        <w:rPr>
          <w:rFonts w:hint="cs"/>
          <w:rtl/>
        </w:rPr>
        <w:t>وسيكون من بين المتكلمين في الندوة وزراء، وممثلون للهيئات التنظيمية، وكبار الرؤساء التنفيذيين، وكبار المسؤولين التقنيين. وسيترأس الندوة السيد ناصر بن عبود، المدير التنفيذي لشركة إتصالات. وسينشر مشروع البرنامج في الموقع الإلكتروني للندوة المتاح في العنوان التالي:</w:t>
      </w:r>
      <w:r>
        <w:rPr>
          <w:rFonts w:hint="cs"/>
          <w:spacing w:val="-2"/>
          <w:rtl/>
          <w:lang w:bidi="ar-EG"/>
        </w:rPr>
        <w:t xml:space="preserve"> </w:t>
      </w:r>
      <w:hyperlink r:id="rId14" w:history="1">
        <w:r w:rsidRPr="0036675A">
          <w:rPr>
            <w:rStyle w:val="Hyperlink"/>
          </w:rPr>
          <w:t>http://www.itu.int/en/ITU-T/wtsa-12/gss/</w:t>
        </w:r>
      </w:hyperlink>
      <w:r>
        <w:rPr>
          <w:rStyle w:val="Hyperlink"/>
          <w:rFonts w:hint="cs"/>
          <w:rtl/>
        </w:rPr>
        <w:t>.</w:t>
      </w:r>
    </w:p>
    <w:p w:rsidR="00984E1F" w:rsidRPr="00984E1F" w:rsidRDefault="00984E1F" w:rsidP="00984E1F">
      <w:pPr>
        <w:rPr>
          <w:spacing w:val="-6"/>
          <w:rtl/>
          <w:lang w:bidi="ar-EG"/>
        </w:rPr>
      </w:pPr>
      <w:r w:rsidRPr="00984E1F">
        <w:rPr>
          <w:rFonts w:hint="cs"/>
          <w:spacing w:val="-6"/>
          <w:rtl/>
        </w:rPr>
        <w:t xml:space="preserve">وسيجري تسجيل المشاركين في الندوة </w:t>
      </w:r>
      <w:r w:rsidRPr="00984E1F">
        <w:rPr>
          <w:rFonts w:hint="cs"/>
          <w:b/>
          <w:bCs/>
          <w:i/>
          <w:iCs/>
          <w:spacing w:val="-6"/>
          <w:rtl/>
        </w:rPr>
        <w:t>على الخط</w:t>
      </w:r>
      <w:r w:rsidRPr="00984E1F">
        <w:rPr>
          <w:rFonts w:hint="cs"/>
          <w:spacing w:val="-6"/>
          <w:rtl/>
        </w:rPr>
        <w:t xml:space="preserve"> حصراً. وإذا كنتم ترغبون في حضور الندوة فقط يرجى التسجيل من خلال الموقع الإلكتروني للندوة </w:t>
      </w:r>
      <w:r w:rsidRPr="00984E1F">
        <w:rPr>
          <w:spacing w:val="-6"/>
          <w:szCs w:val="24"/>
        </w:rPr>
        <w:t>(</w:t>
      </w:r>
      <w:hyperlink r:id="rId15" w:history="1">
        <w:r w:rsidRPr="00984E1F">
          <w:rPr>
            <w:rStyle w:val="Hyperlink"/>
            <w:spacing w:val="-6"/>
            <w:szCs w:val="24"/>
          </w:rPr>
          <w:t>http://www.itu.int/en/ITU-T/wtsa-12/gss</w:t>
        </w:r>
      </w:hyperlink>
      <w:r w:rsidRPr="00984E1F">
        <w:rPr>
          <w:spacing w:val="-6"/>
          <w:szCs w:val="24"/>
        </w:rPr>
        <w:t>)</w:t>
      </w:r>
      <w:r w:rsidRPr="00984E1F">
        <w:rPr>
          <w:rFonts w:hint="cs"/>
          <w:spacing w:val="-6"/>
          <w:rtl/>
          <w:lang w:bidi="ar-EG"/>
        </w:rPr>
        <w:t xml:space="preserve">. أما إذا كنتم ترغبون في حضور الجمعية </w:t>
      </w:r>
      <w:r w:rsidRPr="00984E1F">
        <w:rPr>
          <w:spacing w:val="-6"/>
          <w:lang w:bidi="ar-EG"/>
        </w:rPr>
        <w:t>WTSA</w:t>
      </w:r>
      <w:r>
        <w:rPr>
          <w:spacing w:val="-6"/>
          <w:lang w:bidi="ar-EG"/>
        </w:rPr>
        <w:noBreakHyphen/>
      </w:r>
      <w:r w:rsidRPr="00984E1F">
        <w:rPr>
          <w:spacing w:val="-6"/>
          <w:lang w:bidi="ar-EG"/>
        </w:rPr>
        <w:t>12</w:t>
      </w:r>
      <w:r w:rsidRPr="00984E1F">
        <w:rPr>
          <w:rFonts w:hint="cs"/>
          <w:spacing w:val="-6"/>
          <w:rtl/>
          <w:lang w:bidi="ar-EG"/>
        </w:rPr>
        <w:t xml:space="preserve"> وكذلك الندوة، فيرجى منكم استعمال استمارة التسجيل المشتركة الخاصة بالندوة والجمعية</w:t>
      </w:r>
      <w:r w:rsidR="00A7078C">
        <w:rPr>
          <w:rFonts w:hint="cs"/>
          <w:spacing w:val="-6"/>
          <w:rtl/>
        </w:rPr>
        <w:t xml:space="preserve"> معاً</w:t>
      </w:r>
      <w:r w:rsidRPr="00984E1F">
        <w:rPr>
          <w:rFonts w:hint="cs"/>
          <w:spacing w:val="-6"/>
          <w:rtl/>
          <w:lang w:bidi="ar-EG"/>
        </w:rPr>
        <w:t xml:space="preserve"> </w:t>
      </w:r>
      <w:r w:rsidRPr="00984E1F">
        <w:rPr>
          <w:rFonts w:asciiTheme="majorBidi" w:hAnsiTheme="majorBidi" w:cstheme="majorBidi"/>
          <w:spacing w:val="-6"/>
          <w:szCs w:val="24"/>
        </w:rPr>
        <w:t>(</w:t>
      </w:r>
      <w:hyperlink r:id="rId16" w:history="1">
        <w:r w:rsidRPr="00984E1F">
          <w:rPr>
            <w:rStyle w:val="Hyperlink"/>
            <w:rFonts w:asciiTheme="majorBidi" w:hAnsiTheme="majorBidi" w:cstheme="majorBidi"/>
            <w:spacing w:val="-6"/>
            <w:szCs w:val="24"/>
          </w:rPr>
          <w:t>http://www.itu.int/en/ITU-T/wtsa-12</w:t>
        </w:r>
      </w:hyperlink>
      <w:r w:rsidRPr="00984E1F">
        <w:rPr>
          <w:rFonts w:asciiTheme="majorBidi" w:hAnsiTheme="majorBidi" w:cstheme="majorBidi"/>
          <w:spacing w:val="-6"/>
          <w:szCs w:val="24"/>
        </w:rPr>
        <w:t>)</w:t>
      </w:r>
      <w:r w:rsidRPr="00984E1F">
        <w:rPr>
          <w:rFonts w:hint="cs"/>
          <w:spacing w:val="-6"/>
          <w:rtl/>
          <w:lang w:bidi="ar-EG"/>
        </w:rPr>
        <w:t>.</w:t>
      </w:r>
    </w:p>
    <w:p w:rsidR="00984E1F" w:rsidRDefault="00984E1F" w:rsidP="00984E1F">
      <w:pPr>
        <w:rPr>
          <w:rtl/>
          <w:lang w:bidi="ar-EG"/>
        </w:rPr>
      </w:pPr>
      <w:r>
        <w:rPr>
          <w:rFonts w:hint="cs"/>
          <w:rtl/>
          <w:lang w:bidi="ar-EG"/>
        </w:rPr>
        <w:t xml:space="preserve">كما يتضمن الموقع الإلكتروني للجمعية </w:t>
      </w:r>
      <w:hyperlink r:id="rId17" w:history="1">
        <w:r w:rsidRPr="00456775">
          <w:rPr>
            <w:rStyle w:val="Hyperlink"/>
            <w:rFonts w:hint="cs"/>
            <w:rtl/>
            <w:lang w:bidi="ar-EG"/>
          </w:rPr>
          <w:t>معلومات عملية</w:t>
        </w:r>
      </w:hyperlink>
      <w:r>
        <w:rPr>
          <w:rFonts w:hint="cs"/>
          <w:rtl/>
          <w:lang w:bidi="ar-EG"/>
        </w:rPr>
        <w:t xml:space="preserve"> بشأن الحدث بما في ذلك </w:t>
      </w:r>
      <w:hyperlink r:id="rId18" w:history="1">
        <w:r w:rsidRPr="00456775">
          <w:rPr>
            <w:rStyle w:val="Hyperlink"/>
            <w:rFonts w:hint="cs"/>
            <w:rtl/>
            <w:lang w:bidi="ar-EG"/>
          </w:rPr>
          <w:t>الإجراءات المتعلقة بجوازات السفر والتأشيرات</w:t>
        </w:r>
      </w:hyperlink>
      <w:r w:rsidRPr="00456775">
        <w:rPr>
          <w:rFonts w:hint="cs"/>
          <w:rtl/>
          <w:lang w:bidi="ar-EG"/>
        </w:rPr>
        <w:t xml:space="preserve"> و</w:t>
      </w:r>
      <w:hyperlink r:id="rId19" w:history="1">
        <w:r w:rsidRPr="00456775">
          <w:rPr>
            <w:rStyle w:val="Hyperlink"/>
            <w:rFonts w:hint="cs"/>
            <w:rtl/>
            <w:lang w:bidi="ar-EG"/>
          </w:rPr>
          <w:t>تفا</w:t>
        </w:r>
        <w:bookmarkStart w:id="0" w:name="_GoBack"/>
        <w:bookmarkEnd w:id="0"/>
        <w:r w:rsidRPr="00456775">
          <w:rPr>
            <w:rStyle w:val="Hyperlink"/>
            <w:rFonts w:hint="cs"/>
            <w:rtl/>
            <w:lang w:bidi="ar-EG"/>
          </w:rPr>
          <w:t>صيل عن الفنادق</w:t>
        </w:r>
      </w:hyperlink>
      <w:r>
        <w:rPr>
          <w:rFonts w:hint="cs"/>
          <w:rtl/>
          <w:lang w:bidi="ar-EG"/>
        </w:rPr>
        <w:t>.</w:t>
      </w:r>
    </w:p>
    <w:p w:rsidR="00984E1F" w:rsidRDefault="00984E1F" w:rsidP="00984E1F">
      <w:pPr>
        <w:rPr>
          <w:rtl/>
          <w:lang w:bidi="ar-SY"/>
        </w:rPr>
      </w:pPr>
      <w:r>
        <w:rPr>
          <w:rFonts w:hint="cs"/>
          <w:rtl/>
          <w:lang w:bidi="ar-SY"/>
        </w:rPr>
        <w:t>أتطلع إلى لقائكم والترحيب بكم في دبي.</w:t>
      </w:r>
    </w:p>
    <w:p w:rsidR="00984E1F" w:rsidRPr="005F33FD" w:rsidRDefault="00984E1F" w:rsidP="00CD01C9">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984E1F" w:rsidRDefault="00984E1F" w:rsidP="00984E1F">
      <w:pPr>
        <w:spacing w:before="1440"/>
        <w:rPr>
          <w:rtl/>
          <w:lang w:bidi="ar-EG"/>
        </w:rPr>
      </w:pPr>
      <w:r>
        <w:rPr>
          <w:rFonts w:hint="cs"/>
          <w:rtl/>
        </w:rPr>
        <w:t>مالكو</w:t>
      </w:r>
      <w:r>
        <w:rPr>
          <w:rFonts w:hint="cs"/>
          <w:rtl/>
          <w:lang w:bidi="ar-EG"/>
        </w:rPr>
        <w:t>ل</w:t>
      </w:r>
      <w:r>
        <w:rPr>
          <w:rFonts w:hint="cs"/>
          <w:rtl/>
        </w:rPr>
        <w:t>م جونسون</w:t>
      </w:r>
      <w:r>
        <w:rPr>
          <w:rtl/>
        </w:rPr>
        <w:tab/>
      </w:r>
      <w:r w:rsidRPr="003F6932">
        <w:rPr>
          <w:rtl/>
          <w:lang w:bidi="ar-EG"/>
        </w:rPr>
        <w:br/>
      </w:r>
      <w:r w:rsidRPr="005F33FD">
        <w:rPr>
          <w:rFonts w:hint="cs"/>
          <w:rtl/>
          <w:lang w:bidi="ar-EG"/>
        </w:rPr>
        <w:t>مدير مكتب تقييس الاتصالات</w:t>
      </w:r>
    </w:p>
    <w:p w:rsidR="00984E1F" w:rsidRDefault="00984E1F" w:rsidP="00984E1F">
      <w:pPr>
        <w:rPr>
          <w:rFonts w:eastAsia="SimSun" w:cs="Times New Roman"/>
          <w:sz w:val="4"/>
          <w:szCs w:val="4"/>
          <w:rtl/>
          <w:lang w:eastAsia="zh-CN"/>
        </w:rPr>
      </w:pPr>
    </w:p>
    <w:p w:rsidR="00984E1F" w:rsidRPr="00984E1F" w:rsidRDefault="00984E1F" w:rsidP="00984E1F">
      <w:pPr>
        <w:rPr>
          <w:rFonts w:eastAsia="SimSun" w:cs="Times New Roman"/>
          <w:sz w:val="4"/>
          <w:szCs w:val="4"/>
          <w:rtl/>
          <w:lang w:eastAsia="zh-CN"/>
        </w:rPr>
      </w:pPr>
    </w:p>
    <w:sectPr w:rsidR="00984E1F" w:rsidRPr="00984E1F" w:rsidSect="00984E1F">
      <w:headerReference w:type="default" r:id="rId20"/>
      <w:footerReference w:type="default" r:id="rId21"/>
      <w:footerReference w:type="first" r:id="rId22"/>
      <w:pgSz w:w="11901" w:h="16840" w:code="9"/>
      <w:pgMar w:top="1134" w:right="1134" w:bottom="1134" w:left="1134" w:header="567" w:footer="567" w:gutter="0"/>
      <w:paperSrc w:first="15" w:other="15"/>
      <w:pgNumType w:start="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C9" w:rsidRDefault="00E616C9">
      <w:r>
        <w:separator/>
      </w:r>
    </w:p>
  </w:endnote>
  <w:endnote w:type="continuationSeparator" w:id="0">
    <w:p w:rsidR="00E616C9" w:rsidRDefault="00E6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A6" w:rsidRPr="00412EB2" w:rsidRDefault="00301261" w:rsidP="006E5414">
    <w:pPr>
      <w:tabs>
        <w:tab w:val="left" w:pos="5954"/>
        <w:tab w:val="right" w:pos="9639"/>
      </w:tabs>
      <w:overflowPunct w:val="0"/>
      <w:autoSpaceDE w:val="0"/>
      <w:autoSpaceDN w:val="0"/>
      <w:bidi w:val="0"/>
      <w:adjustRightInd w:val="0"/>
      <w:spacing w:before="0" w:line="240" w:lineRule="auto"/>
      <w:jc w:val="left"/>
      <w:textAlignment w:val="baseline"/>
      <w:rPr>
        <w:rFonts w:eastAsia="SimSun" w:cs="Times New Roman"/>
        <w:caps/>
        <w:noProof/>
        <w:sz w:val="16"/>
        <w:szCs w:val="16"/>
        <w:lang w:val="fr-FR"/>
      </w:rPr>
    </w:pPr>
    <w:r w:rsidRPr="00412EB2">
      <w:rPr>
        <w:rFonts w:eastAsia="SimSun" w:cs="Times New Roman"/>
        <w:caps/>
        <w:noProof/>
        <w:sz w:val="16"/>
        <w:szCs w:val="16"/>
        <w:lang w:val="fr-FR"/>
      </w:rPr>
      <w:t>itu-t\BUREAU\CIRC\299</w:t>
    </w:r>
    <w:r w:rsidR="005B07FC" w:rsidRPr="00412EB2">
      <w:rPr>
        <w:rFonts w:eastAsia="SimSun" w:cs="Times New Roman"/>
        <w:caps/>
        <w:noProof/>
        <w:sz w:val="16"/>
        <w:szCs w:val="16"/>
        <w:lang w:val="fr-FR"/>
      </w:rPr>
      <w:t>a</w:t>
    </w:r>
    <w:r w:rsidRPr="00412EB2">
      <w:rPr>
        <w:rFonts w:eastAsia="SimSun" w:cs="Times New Roman"/>
        <w:caps/>
        <w:noProof/>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A6" w:rsidRPr="00AE03C4" w:rsidRDefault="00E448A6" w:rsidP="00984E1F">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05855021"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C9" w:rsidRDefault="00E616C9">
      <w:r>
        <w:separator/>
      </w:r>
    </w:p>
  </w:footnote>
  <w:footnote w:type="continuationSeparator" w:id="0">
    <w:p w:rsidR="00E616C9" w:rsidRDefault="00E61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A6" w:rsidRDefault="00E448A6"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84BE0">
      <w:rPr>
        <w:rFonts w:cs="Times New Roman"/>
        <w:noProof/>
        <w:szCs w:val="22"/>
      </w:rPr>
      <w:t>2</w:t>
    </w:r>
    <w:r>
      <w:rPr>
        <w:rFonts w:cs="Times New Roman"/>
        <w:szCs w:val="22"/>
      </w:rPr>
      <w:fldChar w:fldCharType="end"/>
    </w:r>
    <w:r>
      <w:t> -</w:t>
    </w:r>
  </w:p>
  <w:p w:rsidR="00E448A6" w:rsidRDefault="00E448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FB"/>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A3EFF"/>
    <w:rsid w:val="000A7621"/>
    <w:rsid w:val="000C2FB2"/>
    <w:rsid w:val="000D3455"/>
    <w:rsid w:val="000D3F69"/>
    <w:rsid w:val="000D6000"/>
    <w:rsid w:val="0010144A"/>
    <w:rsid w:val="001014A9"/>
    <w:rsid w:val="001132C8"/>
    <w:rsid w:val="00127FFE"/>
    <w:rsid w:val="00133BF7"/>
    <w:rsid w:val="001401E7"/>
    <w:rsid w:val="00150879"/>
    <w:rsid w:val="001523BE"/>
    <w:rsid w:val="0016239F"/>
    <w:rsid w:val="00171E80"/>
    <w:rsid w:val="00180899"/>
    <w:rsid w:val="001919D1"/>
    <w:rsid w:val="0019658A"/>
    <w:rsid w:val="001A5641"/>
    <w:rsid w:val="001A5E10"/>
    <w:rsid w:val="001B5908"/>
    <w:rsid w:val="001C0EF6"/>
    <w:rsid w:val="001C7ECA"/>
    <w:rsid w:val="001D1DF8"/>
    <w:rsid w:val="001D39B3"/>
    <w:rsid w:val="001D3E3A"/>
    <w:rsid w:val="001D6103"/>
    <w:rsid w:val="001D6F02"/>
    <w:rsid w:val="001E7176"/>
    <w:rsid w:val="001E755F"/>
    <w:rsid w:val="001F1051"/>
    <w:rsid w:val="001F4EB9"/>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261"/>
    <w:rsid w:val="00301350"/>
    <w:rsid w:val="00310129"/>
    <w:rsid w:val="00311F91"/>
    <w:rsid w:val="0031346F"/>
    <w:rsid w:val="00313593"/>
    <w:rsid w:val="0031633A"/>
    <w:rsid w:val="003310D2"/>
    <w:rsid w:val="00335239"/>
    <w:rsid w:val="00343BDE"/>
    <w:rsid w:val="00350939"/>
    <w:rsid w:val="00363805"/>
    <w:rsid w:val="00363E8E"/>
    <w:rsid w:val="00393E7C"/>
    <w:rsid w:val="003B2C5F"/>
    <w:rsid w:val="003B459A"/>
    <w:rsid w:val="003C2AC9"/>
    <w:rsid w:val="003D56B1"/>
    <w:rsid w:val="003E051B"/>
    <w:rsid w:val="003E32A8"/>
    <w:rsid w:val="003E6B7D"/>
    <w:rsid w:val="004067A6"/>
    <w:rsid w:val="00412EB2"/>
    <w:rsid w:val="00417512"/>
    <w:rsid w:val="00422171"/>
    <w:rsid w:val="004221D4"/>
    <w:rsid w:val="00425397"/>
    <w:rsid w:val="00427A33"/>
    <w:rsid w:val="00431A19"/>
    <w:rsid w:val="004331B3"/>
    <w:rsid w:val="004468E5"/>
    <w:rsid w:val="0045475A"/>
    <w:rsid w:val="004558BF"/>
    <w:rsid w:val="00456775"/>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3FB"/>
    <w:rsid w:val="00575402"/>
    <w:rsid w:val="00575B6C"/>
    <w:rsid w:val="0058156E"/>
    <w:rsid w:val="005821D3"/>
    <w:rsid w:val="00586F78"/>
    <w:rsid w:val="00591E68"/>
    <w:rsid w:val="005960F3"/>
    <w:rsid w:val="005A6657"/>
    <w:rsid w:val="005A6952"/>
    <w:rsid w:val="005B07FC"/>
    <w:rsid w:val="005C447D"/>
    <w:rsid w:val="005D467E"/>
    <w:rsid w:val="005D488B"/>
    <w:rsid w:val="005E007E"/>
    <w:rsid w:val="005E2532"/>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68E7"/>
    <w:rsid w:val="00687F0B"/>
    <w:rsid w:val="0069450E"/>
    <w:rsid w:val="00696BB2"/>
    <w:rsid w:val="00697445"/>
    <w:rsid w:val="006A058F"/>
    <w:rsid w:val="006A3056"/>
    <w:rsid w:val="006B52B5"/>
    <w:rsid w:val="006B6B9A"/>
    <w:rsid w:val="006C1530"/>
    <w:rsid w:val="006C4FFB"/>
    <w:rsid w:val="006D2245"/>
    <w:rsid w:val="006D49AD"/>
    <w:rsid w:val="006E5414"/>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E365A"/>
    <w:rsid w:val="007F0AC6"/>
    <w:rsid w:val="0080133D"/>
    <w:rsid w:val="008041A7"/>
    <w:rsid w:val="00806A93"/>
    <w:rsid w:val="00811121"/>
    <w:rsid w:val="008165EA"/>
    <w:rsid w:val="0081722F"/>
    <w:rsid w:val="008226F2"/>
    <w:rsid w:val="0082500A"/>
    <w:rsid w:val="0082673E"/>
    <w:rsid w:val="00830F86"/>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1F74"/>
    <w:rsid w:val="009257DF"/>
    <w:rsid w:val="0093679C"/>
    <w:rsid w:val="00946E45"/>
    <w:rsid w:val="00965582"/>
    <w:rsid w:val="00973D3C"/>
    <w:rsid w:val="0097559C"/>
    <w:rsid w:val="0097651D"/>
    <w:rsid w:val="0098075F"/>
    <w:rsid w:val="00980D9A"/>
    <w:rsid w:val="009824F8"/>
    <w:rsid w:val="00984E1F"/>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4158A"/>
    <w:rsid w:val="00A55013"/>
    <w:rsid w:val="00A6296D"/>
    <w:rsid w:val="00A655AC"/>
    <w:rsid w:val="00A7078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84BE0"/>
    <w:rsid w:val="00C96833"/>
    <w:rsid w:val="00CB63B9"/>
    <w:rsid w:val="00CC0E5D"/>
    <w:rsid w:val="00CC30F9"/>
    <w:rsid w:val="00CD01C9"/>
    <w:rsid w:val="00CD3457"/>
    <w:rsid w:val="00CD49DF"/>
    <w:rsid w:val="00CE2555"/>
    <w:rsid w:val="00CE7C57"/>
    <w:rsid w:val="00CF1B69"/>
    <w:rsid w:val="00CF2045"/>
    <w:rsid w:val="00CF4610"/>
    <w:rsid w:val="00CF7EA1"/>
    <w:rsid w:val="00D07074"/>
    <w:rsid w:val="00D119B1"/>
    <w:rsid w:val="00D15C62"/>
    <w:rsid w:val="00D16C82"/>
    <w:rsid w:val="00D177A6"/>
    <w:rsid w:val="00D20AE5"/>
    <w:rsid w:val="00D32283"/>
    <w:rsid w:val="00D34A31"/>
    <w:rsid w:val="00D36DE5"/>
    <w:rsid w:val="00D45212"/>
    <w:rsid w:val="00D47294"/>
    <w:rsid w:val="00D57797"/>
    <w:rsid w:val="00D61F3A"/>
    <w:rsid w:val="00D668E2"/>
    <w:rsid w:val="00D807A7"/>
    <w:rsid w:val="00D81796"/>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325B"/>
    <w:rsid w:val="00E36E54"/>
    <w:rsid w:val="00E4218D"/>
    <w:rsid w:val="00E448A6"/>
    <w:rsid w:val="00E448CA"/>
    <w:rsid w:val="00E507D1"/>
    <w:rsid w:val="00E529E7"/>
    <w:rsid w:val="00E616C9"/>
    <w:rsid w:val="00E61E5B"/>
    <w:rsid w:val="00E651F5"/>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449E"/>
    <w:rsid w:val="00F060DD"/>
    <w:rsid w:val="00F0698D"/>
    <w:rsid w:val="00F11BC4"/>
    <w:rsid w:val="00F14BA4"/>
    <w:rsid w:val="00F20164"/>
    <w:rsid w:val="00F23FC1"/>
    <w:rsid w:val="00F318DD"/>
    <w:rsid w:val="00F43260"/>
    <w:rsid w:val="00F45956"/>
    <w:rsid w:val="00F53552"/>
    <w:rsid w:val="00F64182"/>
    <w:rsid w:val="00F65153"/>
    <w:rsid w:val="00F6747C"/>
    <w:rsid w:val="00F70E06"/>
    <w:rsid w:val="00F71475"/>
    <w:rsid w:val="00F71CA3"/>
    <w:rsid w:val="00F731A6"/>
    <w:rsid w:val="00F76437"/>
    <w:rsid w:val="00F856AD"/>
    <w:rsid w:val="00F877C1"/>
    <w:rsid w:val="00F91BE5"/>
    <w:rsid w:val="00F968D5"/>
    <w:rsid w:val="00FA5041"/>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C84B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C84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2703">
      <w:bodyDiv w:val="1"/>
      <w:marLeft w:val="0"/>
      <w:marRight w:val="0"/>
      <w:marTop w:val="0"/>
      <w:marBottom w:val="0"/>
      <w:divBdr>
        <w:top w:val="none" w:sz="0" w:space="0" w:color="auto"/>
        <w:left w:val="none" w:sz="0" w:space="0" w:color="auto"/>
        <w:bottom w:val="none" w:sz="0" w:space="0" w:color="auto"/>
        <w:right w:val="none" w:sz="0" w:space="0" w:color="auto"/>
      </w:divBdr>
    </w:div>
    <w:div w:id="189106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T260B001029/en" TargetMode="External"/><Relationship Id="rId18" Type="http://schemas.openxmlformats.org/officeDocument/2006/relationships/hyperlink" Target="http://www.wtsa.ae/vis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oth/T260B001028/en" TargetMode="External"/><Relationship Id="rId17" Type="http://schemas.openxmlformats.org/officeDocument/2006/relationships/hyperlink" Target="http://www.itu.int/en/ITU-T/wtsa-12/Pages/default.aspx" TargetMode="External"/><Relationship Id="rId2" Type="http://schemas.openxmlformats.org/officeDocument/2006/relationships/numbering" Target="numbering.xml"/><Relationship Id="rId16" Type="http://schemas.openxmlformats.org/officeDocument/2006/relationships/hyperlink" Target="http://www.itu.int/en/ITU-T/wtsa-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oth/T260B000065/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wtsa-12/gss" TargetMode="External"/><Relationship Id="rId23" Type="http://schemas.openxmlformats.org/officeDocument/2006/relationships/fontTable" Target="fontTable.xml"/><Relationship Id="rId10" Type="http://schemas.openxmlformats.org/officeDocument/2006/relationships/hyperlink" Target="mailto:tsbsgd@itu.int" TargetMode="External"/><Relationship Id="rId19" Type="http://schemas.openxmlformats.org/officeDocument/2006/relationships/hyperlink" Target="http://pcoconnect.com/hotels.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tsa-12/gs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6DD8-A219-4EF8-9F06-936CCE2D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3237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ajlouni</dc:creator>
  <cp:lastModifiedBy>Papara, Marion</cp:lastModifiedBy>
  <cp:revision>2</cp:revision>
  <cp:lastPrinted>2012-08-01T14:49:00Z</cp:lastPrinted>
  <dcterms:created xsi:type="dcterms:W3CDTF">2012-08-07T12:31:00Z</dcterms:created>
  <dcterms:modified xsi:type="dcterms:W3CDTF">2012-08-07T12:31:00Z</dcterms:modified>
</cp:coreProperties>
</file>