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5649CD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8C4AB0">
        <w:t>1</w:t>
      </w:r>
      <w:r w:rsidR="005649CD">
        <w:t>7</w:t>
      </w:r>
      <w:bookmarkStart w:id="1" w:name="_GoBack"/>
      <w:bookmarkEnd w:id="1"/>
      <w:r w:rsidR="008C4AB0">
        <w:t xml:space="preserve"> September 2012</w:t>
      </w:r>
    </w:p>
    <w:p w:rsidR="00BA1C66" w:rsidRDefault="00BA1C66" w:rsidP="00C118D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8C4AB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8C4AB0">
              <w:rPr>
                <w:b/>
              </w:rPr>
              <w:t>312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8C4AB0">
              <w:rPr>
                <w:bCs/>
              </w:rPr>
              <w:t>3</w:t>
            </w:r>
            <w:r>
              <w:rPr>
                <w:bCs/>
              </w:rPr>
              <w:t>/</w:t>
            </w:r>
            <w:r w:rsidR="008C4AB0">
              <w:rPr>
                <w:bCs/>
              </w:rPr>
              <w:t>RH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AF53D3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AF53D3">
              <w:rPr>
                <w:lang w:val="en-US"/>
              </w:rPr>
              <w:t>5887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8" w:history="1">
              <w:r w:rsidR="007B2C0C" w:rsidRPr="007B2C0C">
                <w:rPr>
                  <w:rStyle w:val="Hyperlink"/>
                  <w:lang w:val="en-US"/>
                </w:rPr>
                <w:t>tsbsg</w:t>
              </w:r>
              <w:r w:rsidR="00AF53D3">
                <w:rPr>
                  <w:rStyle w:val="Hyperlink"/>
                  <w:lang w:val="en-US"/>
                </w:rPr>
                <w:t>3</w:t>
              </w:r>
              <w:r w:rsidR="007B2C0C" w:rsidRPr="007B2C0C">
                <w:rPr>
                  <w:rStyle w:val="Hyperlink"/>
                  <w:lang w:val="en-US"/>
                </w:rPr>
                <w:t>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AF53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AF53D3">
              <w:t>3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BA1C66" w:rsidTr="006B5EDF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809" w:type="dxa"/>
          </w:tcPr>
          <w:p w:rsidR="00BA1C66" w:rsidRDefault="00BA1C66" w:rsidP="009B25F2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</w:t>
            </w:r>
            <w:r w:rsidR="006B5EDF" w:rsidRPr="00AE3862">
              <w:rPr>
                <w:b/>
              </w:rPr>
              <w:t>new Recommendation ITU-T D.98, revised Recommendation ITU-T D.99 and new Annex B to Recommendation ITU-T D.156</w:t>
            </w:r>
          </w:p>
        </w:tc>
      </w:tr>
    </w:tbl>
    <w:p w:rsidR="003C25B2" w:rsidRDefault="003C25B2" w:rsidP="00C118D5">
      <w:pPr>
        <w:spacing w:before="0"/>
      </w:pPr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BA1C66" w:rsidRDefault="00BA1C66" w:rsidP="009B25F2">
      <w:r>
        <w:rPr>
          <w:bCs/>
        </w:rPr>
        <w:t>1</w:t>
      </w:r>
      <w:r>
        <w:tab/>
        <w:t xml:space="preserve">Further to TSB Circular </w:t>
      </w:r>
      <w:r w:rsidR="006B5EDF">
        <w:t>288</w:t>
      </w:r>
      <w:r>
        <w:t xml:space="preserve"> of </w:t>
      </w:r>
      <w:r w:rsidR="006B5EDF">
        <w:t>4 June 2012</w:t>
      </w:r>
      <w:r>
        <w:t xml:space="preserve">, I hereby inform you that </w:t>
      </w:r>
      <w:r w:rsidR="009B25F2">
        <w:t>30</w:t>
      </w:r>
      <w:r>
        <w:t xml:space="preserve"> Member States participating in the last meeting of Study Group </w:t>
      </w:r>
      <w:proofErr w:type="gramStart"/>
      <w:r w:rsidR="006B5EDF">
        <w:t>3</w:t>
      </w:r>
      <w:r>
        <w:t>,</w:t>
      </w:r>
      <w:proofErr w:type="gramEnd"/>
      <w:r>
        <w:t xml:space="preserve"> </w:t>
      </w:r>
      <w:r>
        <w:rPr>
          <w:b/>
        </w:rPr>
        <w:t>approved</w:t>
      </w:r>
      <w:r>
        <w:t xml:space="preserve"> the text of </w:t>
      </w:r>
      <w:r w:rsidR="009B25F2" w:rsidRPr="009B25F2">
        <w:rPr>
          <w:bCs/>
        </w:rPr>
        <w:t xml:space="preserve">new Recommendation </w:t>
      </w:r>
      <w:r w:rsidR="009B25F2">
        <w:rPr>
          <w:bCs/>
        </w:rPr>
        <w:br/>
      </w:r>
      <w:r w:rsidR="009B25F2" w:rsidRPr="009B25F2">
        <w:rPr>
          <w:bCs/>
        </w:rPr>
        <w:t>ITU-T D.98, revised Recommendation ITU-T D.99 and new Annex B to Recommendation ITU-T D.156</w:t>
      </w:r>
      <w:r w:rsidR="009B25F2">
        <w:rPr>
          <w:b/>
        </w:rPr>
        <w:t xml:space="preserve"> </w:t>
      </w:r>
      <w:r>
        <w:t xml:space="preserve">during its Plenary session held on </w:t>
      </w:r>
      <w:r w:rsidR="009B25F2">
        <w:t>7 September 2012.</w:t>
      </w:r>
    </w:p>
    <w:p w:rsidR="00BA1C66" w:rsidRDefault="00BA1C66" w:rsidP="009B25F2">
      <w:r>
        <w:rPr>
          <w:bCs/>
        </w:rPr>
        <w:t>2</w:t>
      </w:r>
      <w:r>
        <w:tab/>
      </w:r>
      <w:r w:rsidR="00036342">
        <w:t>T</w:t>
      </w:r>
      <w:r>
        <w:t xml:space="preserve">he titles of the </w:t>
      </w:r>
      <w:r w:rsidR="009B25F2">
        <w:t>revised and new texts</w:t>
      </w:r>
      <w:r w:rsidR="00036342">
        <w:t xml:space="preserve"> which were</w:t>
      </w:r>
      <w:r w:rsidR="009B25F2">
        <w:t xml:space="preserve"> approved </w:t>
      </w:r>
      <w:r w:rsidR="00036342">
        <w:t>are:</w:t>
      </w:r>
    </w:p>
    <w:p w:rsidR="009B25F2" w:rsidRPr="00686113" w:rsidRDefault="00C118D5" w:rsidP="00C118D5">
      <w:pPr>
        <w:ind w:left="794" w:hanging="794"/>
        <w:rPr>
          <w:bCs/>
          <w:lang w:val="en-US"/>
        </w:rPr>
      </w:pPr>
      <w:r>
        <w:rPr>
          <w:b/>
          <w:lang w:val="en-US"/>
        </w:rPr>
        <w:t>-</w:t>
      </w:r>
      <w:r>
        <w:rPr>
          <w:b/>
          <w:lang w:val="en-US"/>
        </w:rPr>
        <w:tab/>
      </w:r>
      <w:r w:rsidR="009B25F2" w:rsidRPr="00686113">
        <w:rPr>
          <w:b/>
          <w:lang w:val="en-US"/>
        </w:rPr>
        <w:t>New Recommendation ITU-T D.98</w:t>
      </w:r>
      <w:r w:rsidR="009B25F2" w:rsidRPr="00686113">
        <w:rPr>
          <w:bCs/>
          <w:lang w:val="en-US"/>
        </w:rPr>
        <w:t xml:space="preserve"> - </w:t>
      </w:r>
      <w:r w:rsidR="00686113" w:rsidRPr="00686113">
        <w:rPr>
          <w:i/>
          <w:iCs/>
          <w:szCs w:val="24"/>
        </w:rPr>
        <w:t>Charging in International Mobile Roaming Service</w:t>
      </w:r>
    </w:p>
    <w:p w:rsidR="009B25F2" w:rsidRDefault="00C118D5" w:rsidP="00C118D5">
      <w:pPr>
        <w:ind w:left="794" w:hanging="794"/>
        <w:rPr>
          <w:bCs/>
        </w:rPr>
      </w:pPr>
      <w:r>
        <w:rPr>
          <w:b/>
        </w:rPr>
        <w:t>-</w:t>
      </w:r>
      <w:r>
        <w:rPr>
          <w:b/>
        </w:rPr>
        <w:tab/>
      </w:r>
      <w:r w:rsidR="009B25F2" w:rsidRPr="009B25F2">
        <w:rPr>
          <w:b/>
        </w:rPr>
        <w:t>Revised Recommendation ITU-T D.99</w:t>
      </w:r>
      <w:r w:rsidR="009B25F2">
        <w:rPr>
          <w:bCs/>
        </w:rPr>
        <w:t xml:space="preserve"> - </w:t>
      </w:r>
      <w:r w:rsidR="00686113" w:rsidRPr="00686113">
        <w:rPr>
          <w:i/>
          <w:iCs/>
          <w:szCs w:val="24"/>
        </w:rPr>
        <w:t>Indicative rate for international mobile termination</w:t>
      </w:r>
    </w:p>
    <w:p w:rsidR="009B25F2" w:rsidRPr="00C118D5" w:rsidRDefault="00C118D5" w:rsidP="00C118D5">
      <w:pPr>
        <w:ind w:left="794" w:hanging="794"/>
        <w:rPr>
          <w:b/>
          <w:bCs/>
          <w:i/>
          <w:iCs/>
        </w:rPr>
      </w:pPr>
      <w:r>
        <w:rPr>
          <w:b/>
        </w:rPr>
        <w:t>-</w:t>
      </w:r>
      <w:r>
        <w:rPr>
          <w:b/>
        </w:rPr>
        <w:tab/>
      </w:r>
      <w:r w:rsidR="009B25F2" w:rsidRPr="009B25F2">
        <w:rPr>
          <w:b/>
        </w:rPr>
        <w:t>New Annex B to Recommendation ITU-T D.156</w:t>
      </w:r>
      <w:r w:rsidR="009B25F2">
        <w:rPr>
          <w:bCs/>
        </w:rPr>
        <w:t xml:space="preserve"> - </w:t>
      </w:r>
      <w:r w:rsidRPr="00C118D5">
        <w:rPr>
          <w:i/>
          <w:iCs/>
        </w:rPr>
        <w:t>Determination of the network externality premium</w:t>
      </w:r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9B25F2">
      <w:r>
        <w:t>4</w:t>
      </w:r>
      <w:r>
        <w:tab/>
        <w:t xml:space="preserve">The </w:t>
      </w:r>
      <w:r w:rsidR="009B25F2">
        <w:t xml:space="preserve">pre-published </w:t>
      </w:r>
      <w:r>
        <w:t>texts will soon be available on the ITU</w:t>
      </w:r>
      <w:r>
        <w:noBreakHyphen/>
        <w:t>T Website.</w:t>
      </w:r>
    </w:p>
    <w:p w:rsidR="00BA1C66" w:rsidRDefault="00BA1C66" w:rsidP="009B25F2">
      <w:r>
        <w:rPr>
          <w:bCs/>
        </w:rPr>
        <w:t>5</w:t>
      </w:r>
      <w:r>
        <w:tab/>
        <w:t>The</w:t>
      </w:r>
      <w:r w:rsidR="009B25F2">
        <w:t>se</w:t>
      </w:r>
      <w:r>
        <w:t xml:space="preserve"> </w:t>
      </w:r>
      <w:r w:rsidR="009B25F2">
        <w:t>texts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C9" w:rsidRDefault="004D6FC9">
      <w:r>
        <w:separator/>
      </w:r>
    </w:p>
  </w:endnote>
  <w:endnote w:type="continuationSeparator" w:id="0">
    <w:p w:rsidR="004D6FC9" w:rsidRDefault="004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156183" w:rsidRDefault="007B1448">
    <w:pPr>
      <w:pStyle w:val="Footer"/>
      <w:rPr>
        <w:sz w:val="16"/>
        <w:lang w:val="es-ES_tradnl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156183">
      <w:rPr>
        <w:lang w:val="es-ES_tradnl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Pr="00156183">
      <w:rPr>
        <w:noProof/>
        <w:sz w:val="16"/>
        <w:lang w:val="es-ES_tradnl"/>
        <w:rPrChange w:id="7" w:author="schiffer" w:date="2011-04-06T13:59:00Z">
          <w:rPr>
            <w:noProof/>
            <w:sz w:val="16"/>
          </w:rPr>
        </w:rPrChange>
      </w:rPr>
      <w:t>M</w:t>
    </w:r>
    <w:r w:rsidR="00681DE7" w:rsidRPr="00156183">
      <w:rPr>
        <w:noProof/>
        <w:lang w:val="es-ES_tradnl"/>
        <w:rPrChange w:id="8" w:author="schiffer" w:date="2011-04-06T13:59:00Z">
          <w:rPr>
            <w:noProof/>
          </w:rPr>
        </w:rPrChange>
      </w:rPr>
      <w:t>:\TSBDOC\DocsControl\2009-2012\CIRC2-E-Academia-draft.docx</w:t>
    </w:r>
    <w:r>
      <w:fldChar w:fldCharType="end"/>
    </w:r>
    <w:r w:rsidR="008C268C" w:rsidRPr="00156183">
      <w:rPr>
        <w:sz w:val="16"/>
        <w:lang w:val="es-ES_tradnl"/>
        <w:rPrChange w:id="9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5649CD">
      <w:rPr>
        <w:noProof/>
        <w:sz w:val="16"/>
      </w:rPr>
      <w:t>14.09.12</w:t>
    </w:r>
    <w:r>
      <w:rPr>
        <w:sz w:val="16"/>
      </w:rPr>
      <w:fldChar w:fldCharType="end"/>
    </w:r>
    <w:r w:rsidR="008C268C" w:rsidRPr="00156183">
      <w:rPr>
        <w:sz w:val="16"/>
        <w:lang w:val="es-ES_tradnl"/>
        <w:rPrChange w:id="10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81DE7">
      <w:rPr>
        <w:noProof/>
        <w:sz w:val="16"/>
      </w:rPr>
      <w:t>06.04.11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C9" w:rsidRDefault="004D6FC9">
      <w:r>
        <w:t>____________________</w:t>
      </w:r>
    </w:p>
  </w:footnote>
  <w:footnote w:type="continuationSeparator" w:id="0">
    <w:p w:rsidR="004D6FC9" w:rsidRDefault="004D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AF53D3">
      <w:fldChar w:fldCharType="begin"/>
    </w:r>
    <w:r w:rsidR="00AF53D3">
      <w:instrText>PAGE</w:instrText>
    </w:r>
    <w:r w:rsidR="00AF53D3">
      <w:fldChar w:fldCharType="separate"/>
    </w:r>
    <w:r w:rsidR="00C118D5">
      <w:rPr>
        <w:noProof/>
      </w:rPr>
      <w:t>2</w:t>
    </w:r>
    <w:r w:rsidR="00AF53D3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6FC9"/>
    <w:rsid w:val="00036342"/>
    <w:rsid w:val="00060B89"/>
    <w:rsid w:val="00097173"/>
    <w:rsid w:val="000B4B78"/>
    <w:rsid w:val="00156183"/>
    <w:rsid w:val="00195567"/>
    <w:rsid w:val="001D392F"/>
    <w:rsid w:val="0028665E"/>
    <w:rsid w:val="0029548C"/>
    <w:rsid w:val="003C25B2"/>
    <w:rsid w:val="004B68EB"/>
    <w:rsid w:val="004D6FC9"/>
    <w:rsid w:val="005649CD"/>
    <w:rsid w:val="0056661F"/>
    <w:rsid w:val="0061632D"/>
    <w:rsid w:val="0063683D"/>
    <w:rsid w:val="00681DE7"/>
    <w:rsid w:val="00686113"/>
    <w:rsid w:val="006A2F43"/>
    <w:rsid w:val="006B5EDF"/>
    <w:rsid w:val="00723092"/>
    <w:rsid w:val="00731D06"/>
    <w:rsid w:val="00773D91"/>
    <w:rsid w:val="007B1448"/>
    <w:rsid w:val="007B2C0C"/>
    <w:rsid w:val="00881ED2"/>
    <w:rsid w:val="008C268C"/>
    <w:rsid w:val="008C4AB0"/>
    <w:rsid w:val="009031DE"/>
    <w:rsid w:val="009B25F2"/>
    <w:rsid w:val="00A91A61"/>
    <w:rsid w:val="00AF53D3"/>
    <w:rsid w:val="00B81997"/>
    <w:rsid w:val="00BA1C66"/>
    <w:rsid w:val="00BB4C1D"/>
    <w:rsid w:val="00C118D5"/>
    <w:rsid w:val="00C226D7"/>
    <w:rsid w:val="00C31DF7"/>
    <w:rsid w:val="00C61527"/>
    <w:rsid w:val="00D269BA"/>
    <w:rsid w:val="00E00561"/>
    <w:rsid w:val="00E02F9F"/>
    <w:rsid w:val="00E2431F"/>
    <w:rsid w:val="0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..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21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Comas Barnes, Maite</cp:lastModifiedBy>
  <cp:revision>9</cp:revision>
  <cp:lastPrinted>2011-04-06T11:57:00Z</cp:lastPrinted>
  <dcterms:created xsi:type="dcterms:W3CDTF">2012-09-14T09:53:00Z</dcterms:created>
  <dcterms:modified xsi:type="dcterms:W3CDTF">2012-09-17T12:44:00Z</dcterms:modified>
</cp:coreProperties>
</file>