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8F" w:rsidRDefault="009D618F" w:rsidP="001C058E">
      <w:pPr>
        <w:pStyle w:val="Index1"/>
        <w:tabs>
          <w:tab w:val="clear" w:pos="794"/>
          <w:tab w:val="clear" w:pos="1191"/>
          <w:tab w:val="clear" w:pos="1588"/>
          <w:tab w:val="clear" w:pos="1985"/>
          <w:tab w:val="left" w:pos="5387"/>
        </w:tabs>
      </w:pPr>
      <w:bookmarkStart w:id="0" w:name="_GoBack"/>
      <w:bookmarkEnd w:id="0"/>
      <w:r>
        <w:tab/>
        <w:t xml:space="preserve">Geneva, </w:t>
      </w:r>
      <w:r w:rsidR="001C058E">
        <w:t>5</w:t>
      </w:r>
      <w:r w:rsidR="007108BB">
        <w:t xml:space="preserve"> April </w:t>
      </w:r>
      <w:r>
        <w:t>2013</w:t>
      </w:r>
    </w:p>
    <w:p w:rsid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067ECA">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5E54DC" w:rsidP="00067ECA">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9D618F">
            <w:pPr>
              <w:tabs>
                <w:tab w:val="right" w:pos="8732"/>
              </w:tabs>
              <w:spacing w:before="0"/>
              <w:jc w:val="center"/>
              <w:rPr>
                <w:rFonts w:ascii="Verdana" w:hAnsi="Verdana"/>
                <w:b/>
                <w:bCs/>
                <w:iCs/>
                <w:sz w:val="18"/>
                <w:szCs w:val="18"/>
              </w:rPr>
            </w:pPr>
          </w:p>
        </w:tc>
        <w:tc>
          <w:tcPr>
            <w:tcW w:w="3355" w:type="dxa"/>
            <w:vAlign w:val="center"/>
          </w:tcPr>
          <w:p w:rsidR="00D27786" w:rsidRPr="00F50108" w:rsidRDefault="00D27786" w:rsidP="009D618F">
            <w:pPr>
              <w:spacing w:before="0"/>
              <w:ind w:left="993" w:hanging="993"/>
              <w:jc w:val="center"/>
              <w:rPr>
                <w:rFonts w:ascii="Verdana" w:hAnsi="Verdana"/>
                <w:sz w:val="18"/>
                <w:szCs w:val="18"/>
              </w:rPr>
            </w:pPr>
          </w:p>
        </w:tc>
      </w:tr>
    </w:tbl>
    <w:p w:rsidR="005E54DF" w:rsidRPr="005E54DF" w:rsidRDefault="005E54DF" w:rsidP="005E54DF">
      <w:pPr>
        <w:spacing w:before="0"/>
        <w:rPr>
          <w:vanish/>
        </w:rPr>
      </w:pPr>
      <w:bookmarkStart w:id="2" w:name="StartTyping_E"/>
      <w:bookmarkEnd w:id="2"/>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9D618F" w:rsidTr="005E54DF">
        <w:trPr>
          <w:cantSplit/>
        </w:trPr>
        <w:tc>
          <w:tcPr>
            <w:tcW w:w="993" w:type="dxa"/>
          </w:tcPr>
          <w:p w:rsidR="009D618F" w:rsidRPr="00067ECA" w:rsidRDefault="009D618F" w:rsidP="005E54DF">
            <w:pPr>
              <w:tabs>
                <w:tab w:val="left" w:pos="4111"/>
              </w:tabs>
              <w:spacing w:before="10"/>
              <w:rPr>
                <w:szCs w:val="24"/>
              </w:rPr>
            </w:pPr>
            <w:r w:rsidRPr="00067ECA">
              <w:rPr>
                <w:szCs w:val="24"/>
              </w:rPr>
              <w:t>Ref:</w:t>
            </w:r>
          </w:p>
          <w:p w:rsidR="009D618F" w:rsidRPr="00067ECA" w:rsidRDefault="009D618F" w:rsidP="005E54DF">
            <w:pPr>
              <w:tabs>
                <w:tab w:val="left" w:pos="4111"/>
              </w:tabs>
              <w:spacing w:before="10"/>
              <w:rPr>
                <w:szCs w:val="24"/>
              </w:rPr>
            </w:pPr>
          </w:p>
          <w:p w:rsidR="009D618F" w:rsidRPr="00067ECA" w:rsidRDefault="00067ECA" w:rsidP="005E54DF">
            <w:pPr>
              <w:tabs>
                <w:tab w:val="left" w:pos="4111"/>
              </w:tabs>
              <w:spacing w:before="10"/>
              <w:rPr>
                <w:szCs w:val="24"/>
              </w:rPr>
            </w:pPr>
            <w:r w:rsidRPr="00067ECA">
              <w:rPr>
                <w:szCs w:val="24"/>
              </w:rPr>
              <w:br/>
            </w:r>
            <w:r w:rsidR="009D618F" w:rsidRPr="00067ECA">
              <w:rPr>
                <w:szCs w:val="24"/>
              </w:rPr>
              <w:br/>
              <w:t>Tel:</w:t>
            </w:r>
          </w:p>
          <w:p w:rsidR="009D618F" w:rsidRDefault="009D618F" w:rsidP="005E54DF">
            <w:pPr>
              <w:tabs>
                <w:tab w:val="left" w:pos="4111"/>
              </w:tabs>
              <w:spacing w:before="10"/>
              <w:rPr>
                <w:szCs w:val="24"/>
              </w:rPr>
            </w:pPr>
            <w:r w:rsidRPr="00067ECA">
              <w:rPr>
                <w:szCs w:val="24"/>
              </w:rPr>
              <w:t>Fax:</w:t>
            </w:r>
          </w:p>
          <w:p w:rsidR="007108BB" w:rsidRPr="00067ECA" w:rsidRDefault="007108BB" w:rsidP="005E54DF">
            <w:pPr>
              <w:tabs>
                <w:tab w:val="left" w:pos="4111"/>
              </w:tabs>
              <w:spacing w:before="10"/>
              <w:rPr>
                <w:rFonts w:ascii="Futura Lt BT" w:hAnsi="Futura Lt BT"/>
                <w:szCs w:val="24"/>
              </w:rPr>
            </w:pPr>
            <w:r>
              <w:rPr>
                <w:szCs w:val="24"/>
              </w:rPr>
              <w:t xml:space="preserve">Email: </w:t>
            </w:r>
          </w:p>
        </w:tc>
        <w:tc>
          <w:tcPr>
            <w:tcW w:w="4436" w:type="dxa"/>
          </w:tcPr>
          <w:p w:rsidR="009D618F" w:rsidRPr="00BC15CF" w:rsidRDefault="007108BB" w:rsidP="00BC15CF">
            <w:pPr>
              <w:tabs>
                <w:tab w:val="left" w:pos="4111"/>
              </w:tabs>
              <w:spacing w:before="0"/>
              <w:rPr>
                <w:b/>
                <w:lang w:val="es-ES_tradnl"/>
              </w:rPr>
            </w:pPr>
            <w:r w:rsidRPr="00BC15CF">
              <w:rPr>
                <w:b/>
                <w:lang w:val="es-ES_tradnl"/>
              </w:rPr>
              <w:t xml:space="preserve">TSB Circular </w:t>
            </w:r>
            <w:r w:rsidR="00BC15CF" w:rsidRPr="00BC15CF">
              <w:rPr>
                <w:b/>
                <w:lang w:val="es-ES_tradnl"/>
              </w:rPr>
              <w:t>1</w:t>
            </w:r>
            <w:r w:rsidR="00BC15CF">
              <w:rPr>
                <w:b/>
                <w:lang w:val="es-ES_tradnl"/>
              </w:rPr>
              <w:t>9</w:t>
            </w:r>
          </w:p>
          <w:p w:rsidR="009D618F" w:rsidRPr="00BC15CF" w:rsidRDefault="007108BB" w:rsidP="005E54DF">
            <w:pPr>
              <w:tabs>
                <w:tab w:val="left" w:pos="4111"/>
              </w:tabs>
              <w:spacing w:before="0"/>
              <w:rPr>
                <w:b/>
                <w:lang w:val="es-ES_tradnl"/>
              </w:rPr>
            </w:pPr>
            <w:r w:rsidRPr="00BC15CF">
              <w:rPr>
                <w:lang w:val="es-ES_tradnl"/>
              </w:rPr>
              <w:t>TSBDIR</w:t>
            </w:r>
          </w:p>
          <w:p w:rsidR="009D618F" w:rsidRPr="00BC15CF" w:rsidRDefault="009D618F" w:rsidP="005E54DF">
            <w:pPr>
              <w:tabs>
                <w:tab w:val="left" w:pos="4111"/>
              </w:tabs>
              <w:spacing w:before="0"/>
              <w:rPr>
                <w:lang w:val="es-ES_tradnl"/>
              </w:rPr>
            </w:pPr>
            <w:r w:rsidRPr="00BC15CF">
              <w:rPr>
                <w:lang w:val="es-ES_tradnl"/>
              </w:rPr>
              <w:br/>
            </w:r>
            <w:r w:rsidR="00067ECA" w:rsidRPr="00BC15CF">
              <w:rPr>
                <w:lang w:val="es-ES_tradnl"/>
              </w:rPr>
              <w:br/>
            </w:r>
            <w:r w:rsidR="007108BB" w:rsidRPr="00BC15CF">
              <w:rPr>
                <w:lang w:val="es-ES_tradnl"/>
              </w:rPr>
              <w:t>+41 22 730 5852</w:t>
            </w:r>
            <w:r w:rsidRPr="00BC15CF">
              <w:rPr>
                <w:lang w:val="es-ES_tradnl"/>
              </w:rPr>
              <w:br/>
              <w:t>+41 22 730 5853</w:t>
            </w:r>
            <w:r w:rsidR="007108BB" w:rsidRPr="00BC15CF">
              <w:rPr>
                <w:lang w:val="es-ES_tradnl"/>
              </w:rPr>
              <w:br/>
            </w:r>
            <w:r w:rsidR="00155586">
              <w:fldChar w:fldCharType="begin"/>
            </w:r>
            <w:r w:rsidR="00155586" w:rsidRPr="00DB5171">
              <w:rPr>
                <w:lang w:val="es-ES_tradnl"/>
                <w:rPrChange w:id="3" w:author="Blondeau, Sophie" w:date="2013-04-03T09:44:00Z">
                  <w:rPr/>
                </w:rPrChange>
              </w:rPr>
              <w:instrText xml:space="preserve"> HYPERLINK "mailto:tsbdir@itu.int" </w:instrText>
            </w:r>
            <w:r w:rsidR="00155586">
              <w:fldChar w:fldCharType="separate"/>
            </w:r>
            <w:r w:rsidR="007108BB" w:rsidRPr="00BC15CF">
              <w:rPr>
                <w:rStyle w:val="Hyperlink"/>
                <w:lang w:val="es-ES_tradnl"/>
              </w:rPr>
              <w:t>tsbdir@itu.int</w:t>
            </w:r>
            <w:r w:rsidR="00155586">
              <w:rPr>
                <w:rStyle w:val="Hyperlink"/>
                <w:lang w:val="es-ES_tradnl"/>
              </w:rPr>
              <w:fldChar w:fldCharType="end"/>
            </w:r>
            <w:r w:rsidR="007108BB" w:rsidRPr="00BC15CF">
              <w:rPr>
                <w:lang w:val="es-ES_tradnl"/>
              </w:rPr>
              <w:t xml:space="preserve"> </w:t>
            </w:r>
          </w:p>
        </w:tc>
        <w:tc>
          <w:tcPr>
            <w:tcW w:w="4436" w:type="dxa"/>
          </w:tcPr>
          <w:p w:rsidR="009D618F" w:rsidRDefault="00067ECA" w:rsidP="009D618F">
            <w:pPr>
              <w:spacing w:before="0"/>
              <w:ind w:left="284" w:hanging="284"/>
            </w:pPr>
            <w:r>
              <w:t>-</w:t>
            </w:r>
            <w:r w:rsidR="009D618F">
              <w:tab/>
              <w:t>To Administrations of Member States of the Union</w:t>
            </w:r>
            <w:r w:rsidR="00F015AB">
              <w:t>;</w:t>
            </w:r>
          </w:p>
          <w:p w:rsidR="009D618F" w:rsidRPr="00506865" w:rsidRDefault="009D618F" w:rsidP="009D618F">
            <w:pPr>
              <w:spacing w:before="0"/>
              <w:ind w:left="284" w:hanging="284"/>
            </w:pPr>
            <w:r>
              <w:t>-</w:t>
            </w:r>
            <w:r>
              <w:tab/>
            </w:r>
            <w:r w:rsidRPr="00506865">
              <w:t>To ITU-T Sector Members;</w:t>
            </w:r>
          </w:p>
          <w:p w:rsidR="009D618F" w:rsidRDefault="009D618F" w:rsidP="009942BF">
            <w:pPr>
              <w:spacing w:before="0"/>
              <w:ind w:left="284" w:hanging="284"/>
            </w:pPr>
            <w:r>
              <w:t>-</w:t>
            </w:r>
            <w:r>
              <w:tab/>
            </w:r>
            <w:r w:rsidRPr="00506865">
              <w:t>To ITU-T Associates</w:t>
            </w:r>
            <w:r w:rsidR="00296B7F">
              <w:t>;</w:t>
            </w:r>
          </w:p>
          <w:p w:rsidR="00296B7F" w:rsidRDefault="00296B7F" w:rsidP="00296B7F">
            <w:pPr>
              <w:tabs>
                <w:tab w:val="left" w:pos="284"/>
              </w:tabs>
              <w:spacing w:before="240"/>
            </w:pPr>
            <w:r>
              <w:rPr>
                <w:b/>
              </w:rPr>
              <w:t>Copy:</w:t>
            </w:r>
            <w:r>
              <w:rPr>
                <w:b/>
              </w:rPr>
              <w:br/>
            </w:r>
            <w:r>
              <w:tab/>
            </w:r>
          </w:p>
          <w:p w:rsidR="00296B7F" w:rsidRDefault="00296B7F" w:rsidP="00296B7F">
            <w:pPr>
              <w:tabs>
                <w:tab w:val="left" w:pos="284"/>
              </w:tabs>
              <w:spacing w:before="0"/>
              <w:ind w:left="284" w:hanging="284"/>
            </w:pPr>
            <w:r>
              <w:t>-</w:t>
            </w:r>
            <w:r>
              <w:tab/>
              <w:t>To the Chairmen and Vice-Chairmen of ITU-T Study Groups;</w:t>
            </w:r>
          </w:p>
          <w:p w:rsidR="00296B7F" w:rsidRDefault="00296B7F" w:rsidP="00296B7F">
            <w:pPr>
              <w:tabs>
                <w:tab w:val="left" w:pos="284"/>
              </w:tabs>
              <w:spacing w:before="0"/>
              <w:ind w:left="284" w:hanging="284"/>
            </w:pPr>
            <w:r>
              <w:t>-</w:t>
            </w:r>
            <w:r>
              <w:tab/>
              <w:t>To the Director of the Telecommunication Development Bureau;</w:t>
            </w:r>
          </w:p>
          <w:p w:rsidR="00C65438" w:rsidRDefault="00296B7F" w:rsidP="00296B7F">
            <w:pPr>
              <w:tabs>
                <w:tab w:val="clear" w:pos="794"/>
                <w:tab w:val="clear" w:pos="1191"/>
                <w:tab w:val="clear" w:pos="1588"/>
                <w:tab w:val="clear" w:pos="1985"/>
                <w:tab w:val="left" w:pos="284"/>
              </w:tabs>
              <w:spacing w:before="0"/>
              <w:ind w:left="284" w:hanging="284"/>
            </w:pPr>
            <w:r>
              <w:t>-</w:t>
            </w:r>
            <w:r>
              <w:tab/>
              <w:t xml:space="preserve">To the Director of the </w:t>
            </w:r>
            <w:proofErr w:type="spellStart"/>
            <w:r>
              <w:t>Radiocommunication</w:t>
            </w:r>
            <w:proofErr w:type="spellEnd"/>
            <w:r>
              <w:t xml:space="preserve"> Bureau.</w:t>
            </w:r>
          </w:p>
        </w:tc>
      </w:tr>
      <w:tr w:rsidR="009D618F" w:rsidTr="005E54DF">
        <w:trPr>
          <w:cantSplit/>
        </w:trPr>
        <w:tc>
          <w:tcPr>
            <w:tcW w:w="993" w:type="dxa"/>
          </w:tcPr>
          <w:p w:rsidR="009D618F" w:rsidRPr="00067ECA" w:rsidRDefault="009D618F" w:rsidP="005E54DF">
            <w:pPr>
              <w:spacing w:before="10"/>
              <w:rPr>
                <w:szCs w:val="24"/>
              </w:rPr>
            </w:pPr>
          </w:p>
        </w:tc>
        <w:tc>
          <w:tcPr>
            <w:tcW w:w="4436" w:type="dxa"/>
          </w:tcPr>
          <w:p w:rsidR="009D618F" w:rsidRDefault="009D618F" w:rsidP="00B41739">
            <w:pPr>
              <w:tabs>
                <w:tab w:val="left" w:pos="4111"/>
              </w:tabs>
              <w:spacing w:before="0"/>
            </w:pPr>
          </w:p>
        </w:tc>
        <w:tc>
          <w:tcPr>
            <w:tcW w:w="4436" w:type="dxa"/>
          </w:tcPr>
          <w:p w:rsidR="009D618F" w:rsidRDefault="009D618F" w:rsidP="009D618F">
            <w:pPr>
              <w:tabs>
                <w:tab w:val="clear" w:pos="794"/>
                <w:tab w:val="clear" w:pos="1191"/>
                <w:tab w:val="clear" w:pos="1588"/>
                <w:tab w:val="clear" w:pos="1985"/>
                <w:tab w:val="left" w:pos="284"/>
              </w:tabs>
              <w:spacing w:before="0"/>
              <w:ind w:left="284" w:hanging="284"/>
            </w:pPr>
          </w:p>
        </w:tc>
      </w:tr>
    </w:tbl>
    <w:p w:rsidR="009D618F" w:rsidRDefault="009D618F" w:rsidP="009D618F">
      <w:pPr>
        <w:spacing w:before="0"/>
      </w:pPr>
    </w:p>
    <w:tbl>
      <w:tblPr>
        <w:tblW w:w="0" w:type="auto"/>
        <w:tblLayout w:type="fixed"/>
        <w:tblCellMar>
          <w:left w:w="107" w:type="dxa"/>
          <w:right w:w="107" w:type="dxa"/>
        </w:tblCellMar>
        <w:tblLook w:val="0000" w:firstRow="0" w:lastRow="0" w:firstColumn="0" w:lastColumn="0" w:noHBand="0" w:noVBand="0"/>
      </w:tblPr>
      <w:tblGrid>
        <w:gridCol w:w="1383"/>
        <w:gridCol w:w="8080"/>
      </w:tblGrid>
      <w:tr w:rsidR="009D618F" w:rsidRPr="007108BB" w:rsidTr="007108BB">
        <w:trPr>
          <w:cantSplit/>
        </w:trPr>
        <w:tc>
          <w:tcPr>
            <w:tcW w:w="1383" w:type="dxa"/>
          </w:tcPr>
          <w:p w:rsidR="009D618F" w:rsidRPr="007108BB" w:rsidRDefault="009D618F" w:rsidP="005E54DF">
            <w:pPr>
              <w:tabs>
                <w:tab w:val="left" w:pos="4111"/>
              </w:tabs>
              <w:spacing w:before="10"/>
              <w:ind w:left="57"/>
              <w:rPr>
                <w:rFonts w:asciiTheme="majorBidi" w:hAnsiTheme="majorBidi" w:cstheme="majorBidi"/>
                <w:b/>
                <w:bCs/>
                <w:szCs w:val="24"/>
              </w:rPr>
            </w:pPr>
            <w:r w:rsidRPr="007108BB">
              <w:rPr>
                <w:rFonts w:asciiTheme="majorBidi" w:hAnsiTheme="majorBidi" w:cstheme="majorBidi"/>
                <w:b/>
                <w:bCs/>
                <w:szCs w:val="24"/>
              </w:rPr>
              <w:t>Subject:</w:t>
            </w:r>
          </w:p>
        </w:tc>
        <w:tc>
          <w:tcPr>
            <w:tcW w:w="8080" w:type="dxa"/>
          </w:tcPr>
          <w:p w:rsidR="009D618F" w:rsidRPr="007108BB" w:rsidRDefault="007108BB" w:rsidP="005E54DF">
            <w:pPr>
              <w:tabs>
                <w:tab w:val="left" w:pos="4111"/>
              </w:tabs>
              <w:spacing w:before="0"/>
              <w:ind w:right="28"/>
              <w:rPr>
                <w:rFonts w:asciiTheme="majorBidi" w:hAnsiTheme="majorBidi" w:cstheme="majorBidi"/>
                <w:szCs w:val="24"/>
              </w:rPr>
            </w:pPr>
            <w:r w:rsidRPr="007108BB">
              <w:rPr>
                <w:rFonts w:asciiTheme="majorBidi" w:hAnsiTheme="majorBidi" w:cstheme="majorBidi"/>
                <w:b/>
                <w:bCs/>
                <w:szCs w:val="24"/>
                <w:lang w:val="en-CA"/>
              </w:rPr>
              <w:t>Voluntary financial contributions for the work of ITU-T</w:t>
            </w:r>
          </w:p>
        </w:tc>
      </w:tr>
    </w:tbl>
    <w:p w:rsidR="009D618F" w:rsidRPr="007108BB" w:rsidRDefault="009D618F">
      <w:pPr>
        <w:rPr>
          <w:rFonts w:asciiTheme="majorBidi" w:hAnsiTheme="majorBidi" w:cstheme="majorBidi"/>
          <w:szCs w:val="24"/>
        </w:rPr>
      </w:pPr>
    </w:p>
    <w:p w:rsidR="00697D21" w:rsidRPr="007108BB" w:rsidRDefault="00697D21" w:rsidP="009D618F">
      <w:pPr>
        <w:rPr>
          <w:rFonts w:asciiTheme="majorBidi" w:hAnsiTheme="majorBidi" w:cstheme="majorBidi"/>
          <w:szCs w:val="24"/>
        </w:rPr>
      </w:pPr>
      <w:r w:rsidRPr="007108BB">
        <w:rPr>
          <w:rFonts w:asciiTheme="majorBidi" w:hAnsiTheme="majorBidi" w:cstheme="majorBidi"/>
          <w:szCs w:val="24"/>
        </w:rPr>
        <w:t>Dear Sir/Madam,</w:t>
      </w:r>
    </w:p>
    <w:p w:rsidR="007108BB" w:rsidRPr="007108BB" w:rsidRDefault="007108BB" w:rsidP="007108BB">
      <w:pPr>
        <w:rPr>
          <w:rFonts w:asciiTheme="majorBidi" w:hAnsiTheme="majorBidi" w:cstheme="majorBidi"/>
          <w:szCs w:val="24"/>
        </w:rPr>
      </w:pPr>
      <w:bookmarkStart w:id="4" w:name="suitetext"/>
      <w:bookmarkEnd w:id="4"/>
      <w:r w:rsidRPr="007108BB">
        <w:rPr>
          <w:rFonts w:asciiTheme="majorBidi" w:hAnsiTheme="majorBidi" w:cstheme="majorBidi"/>
          <w:szCs w:val="24"/>
        </w:rPr>
        <w:t>In response to Resolution 34 “Voluntary Contributions”, revised by the World Telecommunication Standardization Assembly at its meeting in Dubai 20-29 November 2012 (see Annex), I would like to appeal to you for voluntary contributions to fund activities of the ITU-T Sector.</w:t>
      </w:r>
    </w:p>
    <w:p w:rsidR="007108BB" w:rsidRPr="007108BB" w:rsidRDefault="007108BB" w:rsidP="007108BB">
      <w:pPr>
        <w:rPr>
          <w:rFonts w:asciiTheme="majorBidi" w:hAnsiTheme="majorBidi" w:cstheme="majorBidi"/>
          <w:szCs w:val="24"/>
        </w:rPr>
      </w:pPr>
      <w:r w:rsidRPr="007108BB">
        <w:rPr>
          <w:rFonts w:asciiTheme="majorBidi" w:hAnsiTheme="majorBidi" w:cstheme="majorBidi"/>
          <w:szCs w:val="24"/>
        </w:rPr>
        <w:t xml:space="preserve">The additional cost for the full implementation of the decisions taken at WTSA-12 is CHF 720k per annum as estimated by the WTSA-12 Budget Committee. This amount is not included in the draft budget for 2014-2015 (to be presented to the 2013 session of Council in June) due to the need to </w:t>
      </w:r>
      <w:proofErr w:type="gramStart"/>
      <w:r w:rsidRPr="007108BB">
        <w:rPr>
          <w:rFonts w:asciiTheme="majorBidi" w:hAnsiTheme="majorBidi" w:cstheme="majorBidi"/>
          <w:szCs w:val="24"/>
        </w:rPr>
        <w:t>balance</w:t>
      </w:r>
      <w:proofErr w:type="gramEnd"/>
      <w:r w:rsidRPr="007108BB">
        <w:rPr>
          <w:rFonts w:asciiTheme="majorBidi" w:hAnsiTheme="majorBidi" w:cstheme="majorBidi"/>
          <w:szCs w:val="24"/>
        </w:rPr>
        <w:t xml:space="preserve"> the budget without withdrawal from the reserve fund. Full implementation cannot be achieved with the current level of ITU-T resources as all possible efficiency savings have already been made. Additional resources, such as voluntary contributions, will therefore be necessary to fully deliver the mandated programme of activities resulting from WTSA-12.</w:t>
      </w:r>
    </w:p>
    <w:p w:rsidR="007108BB" w:rsidRPr="007108BB" w:rsidRDefault="007108BB" w:rsidP="007108BB">
      <w:pPr>
        <w:rPr>
          <w:rFonts w:asciiTheme="majorBidi" w:hAnsiTheme="majorBidi" w:cstheme="majorBidi"/>
          <w:szCs w:val="24"/>
        </w:rPr>
      </w:pPr>
      <w:r w:rsidRPr="007108BB">
        <w:rPr>
          <w:rFonts w:asciiTheme="majorBidi" w:hAnsiTheme="majorBidi" w:cstheme="majorBidi"/>
          <w:szCs w:val="24"/>
        </w:rPr>
        <w:t>Voluntary contributions can be used to fund specific projects or other new initiatives, including any activities which help achieve the objectives of WTSA Resolution 44 (“Bridging the standardization gap between developing and developed countries”). They can be given either in cash or in kind. As in the past, TSB will always check with the sponsor to make sure that the funds are used as intended.</w:t>
      </w:r>
    </w:p>
    <w:p w:rsidR="007108BB" w:rsidRPr="007108BB" w:rsidRDefault="007108BB" w:rsidP="007108BB">
      <w:pPr>
        <w:rPr>
          <w:rFonts w:asciiTheme="majorBidi" w:hAnsiTheme="majorBidi" w:cstheme="majorBidi"/>
          <w:szCs w:val="24"/>
        </w:rPr>
      </w:pPr>
      <w:r w:rsidRPr="007108BB">
        <w:rPr>
          <w:rFonts w:asciiTheme="majorBidi" w:hAnsiTheme="majorBidi" w:cstheme="majorBidi"/>
          <w:szCs w:val="24"/>
        </w:rPr>
        <w:t>Examples of what the Bridging the Standardization Gap (BSG) fund has been used for in the past are:</w:t>
      </w:r>
    </w:p>
    <w:p w:rsidR="007108BB" w:rsidRPr="007108BB" w:rsidRDefault="007108BB" w:rsidP="001C058E">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120"/>
        <w:ind w:left="714" w:hanging="357"/>
        <w:contextualSpacing w:val="0"/>
        <w:textAlignment w:val="baseline"/>
        <w:rPr>
          <w:rFonts w:asciiTheme="majorBidi" w:hAnsiTheme="majorBidi" w:cstheme="majorBidi"/>
          <w:szCs w:val="24"/>
        </w:rPr>
      </w:pPr>
      <w:r w:rsidRPr="007108BB">
        <w:rPr>
          <w:rFonts w:asciiTheme="majorBidi" w:hAnsiTheme="majorBidi" w:cstheme="majorBidi"/>
          <w:szCs w:val="24"/>
        </w:rPr>
        <w:t>Security Manual</w:t>
      </w:r>
    </w:p>
    <w:p w:rsidR="007108BB" w:rsidRPr="007108BB" w:rsidRDefault="007108BB" w:rsidP="001C058E">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after="120"/>
        <w:ind w:left="714" w:hanging="357"/>
        <w:contextualSpacing w:val="0"/>
        <w:textAlignment w:val="baseline"/>
        <w:rPr>
          <w:rFonts w:asciiTheme="majorBidi" w:hAnsiTheme="majorBidi" w:cstheme="majorBidi"/>
          <w:szCs w:val="24"/>
        </w:rPr>
      </w:pPr>
      <w:r w:rsidRPr="007108BB">
        <w:rPr>
          <w:rFonts w:asciiTheme="majorBidi" w:hAnsiTheme="majorBidi" w:cstheme="majorBidi"/>
          <w:szCs w:val="24"/>
        </w:rPr>
        <w:t>Handbooks/technical reports on</w:t>
      </w:r>
      <w:r>
        <w:rPr>
          <w:rFonts w:asciiTheme="majorBidi" w:hAnsiTheme="majorBidi" w:cstheme="majorBidi"/>
          <w:szCs w:val="24"/>
        </w:rPr>
        <w:t>:</w:t>
      </w:r>
      <w:r w:rsidRPr="007108BB">
        <w:rPr>
          <w:rFonts w:asciiTheme="majorBidi" w:hAnsiTheme="majorBidi" w:cstheme="majorBidi"/>
          <w:szCs w:val="24"/>
        </w:rPr>
        <w:t xml:space="preserve"> </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Migration scenarios from legacy network to Next Generation Networks in developing countries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lastRenderedPageBreak/>
        <w:t>Applications of wireless sensor networks in Next Generation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 xml:space="preserve">Technical manual on </w:t>
      </w:r>
      <w:proofErr w:type="spellStart"/>
      <w:r w:rsidRPr="007108BB">
        <w:rPr>
          <w:rFonts w:asciiTheme="majorBidi" w:hAnsiTheme="majorBidi" w:cstheme="majorBidi"/>
          <w:szCs w:val="24"/>
        </w:rPr>
        <w:t>QoS</w:t>
      </w:r>
      <w:proofErr w:type="spellEnd"/>
      <w:r w:rsidRPr="007108BB">
        <w:rPr>
          <w:rFonts w:asciiTheme="majorBidi" w:hAnsiTheme="majorBidi" w:cstheme="majorBidi"/>
          <w:szCs w:val="24"/>
        </w:rPr>
        <w:t xml:space="preserve"> for mobile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Access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Future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Mobi</w:t>
      </w:r>
      <w:r>
        <w:rPr>
          <w:rFonts w:asciiTheme="majorBidi" w:hAnsiTheme="majorBidi" w:cstheme="majorBidi"/>
          <w:szCs w:val="24"/>
        </w:rPr>
        <w:t>lity Management in ITU-T:  Its current development and n</w:t>
      </w:r>
      <w:r w:rsidRPr="007108BB">
        <w:rPr>
          <w:rFonts w:asciiTheme="majorBidi" w:hAnsiTheme="majorBidi" w:cstheme="majorBidi"/>
          <w:szCs w:val="24"/>
        </w:rPr>
        <w:t xml:space="preserve">ext </w:t>
      </w:r>
      <w:r>
        <w:rPr>
          <w:rFonts w:asciiTheme="majorBidi" w:hAnsiTheme="majorBidi" w:cstheme="majorBidi"/>
          <w:szCs w:val="24"/>
        </w:rPr>
        <w:t>s</w:t>
      </w:r>
      <w:r w:rsidRPr="007108BB">
        <w:rPr>
          <w:rFonts w:asciiTheme="majorBidi" w:hAnsiTheme="majorBidi" w:cstheme="majorBidi"/>
          <w:szCs w:val="24"/>
        </w:rPr>
        <w:t xml:space="preserve">teps </w:t>
      </w:r>
      <w:r>
        <w:rPr>
          <w:rFonts w:asciiTheme="majorBidi" w:hAnsiTheme="majorBidi" w:cstheme="majorBidi"/>
          <w:szCs w:val="24"/>
        </w:rPr>
        <w:t>heading towards F</w:t>
      </w:r>
      <w:r w:rsidRPr="007108BB">
        <w:rPr>
          <w:rFonts w:asciiTheme="majorBidi" w:hAnsiTheme="majorBidi" w:cstheme="majorBidi"/>
          <w:szCs w:val="24"/>
        </w:rPr>
        <w:t>uture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Multi-connection/Multi (M-RATs) Radio Access Technologies in NGN: Bridging Next Generation Networks with Mobile Future Networks with simultaneous connectivity</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Accessible Digital Television – From Idea to Reality</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Impacts of MTC and Non-MTC Mobile Data Applications on Mobile Networks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Production of Overvoltage Protection guide</w:t>
      </w:r>
    </w:p>
    <w:p w:rsid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ind w:left="567" w:hanging="357"/>
        <w:contextualSpacing w:val="0"/>
        <w:textAlignment w:val="baseline"/>
        <w:rPr>
          <w:rFonts w:asciiTheme="majorBidi" w:hAnsiTheme="majorBidi" w:cstheme="majorBidi"/>
          <w:szCs w:val="24"/>
        </w:rPr>
      </w:pPr>
      <w:r w:rsidRPr="007108BB">
        <w:rPr>
          <w:rFonts w:asciiTheme="majorBidi" w:hAnsiTheme="majorBidi" w:cstheme="majorBidi"/>
          <w:szCs w:val="24"/>
        </w:rPr>
        <w:t>Two-week in-depth tutorial on fibre optics in Rwanda</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ind w:left="567" w:hanging="357"/>
        <w:contextualSpacing w:val="0"/>
        <w:textAlignment w:val="baseline"/>
        <w:rPr>
          <w:rFonts w:asciiTheme="majorBidi" w:hAnsiTheme="majorBidi" w:cstheme="majorBidi"/>
          <w:szCs w:val="24"/>
        </w:rPr>
      </w:pPr>
      <w:r w:rsidRPr="007108BB">
        <w:rPr>
          <w:rFonts w:asciiTheme="majorBidi" w:hAnsiTheme="majorBidi" w:cstheme="majorBidi"/>
          <w:szCs w:val="24"/>
        </w:rPr>
        <w:t>Funding of speakers</w:t>
      </w:r>
      <w:r>
        <w:rPr>
          <w:rFonts w:asciiTheme="majorBidi" w:hAnsiTheme="majorBidi" w:cstheme="majorBidi"/>
          <w:szCs w:val="24"/>
        </w:rPr>
        <w:t>’</w:t>
      </w:r>
      <w:r w:rsidRPr="007108BB">
        <w:rPr>
          <w:rFonts w:asciiTheme="majorBidi" w:hAnsiTheme="majorBidi" w:cstheme="majorBidi"/>
          <w:szCs w:val="24"/>
        </w:rPr>
        <w:t xml:space="preserve"> participation and fellowships for participants from developing countries to attend ITU workshops in developing countries (some examples: Workshop on Conformance &amp; Interoperability in November 2012, BSG Workshop in India in 2012, BSG workshop in Fiji, Moldova and Alg</w:t>
      </w:r>
      <w:r w:rsidR="001C058E">
        <w:rPr>
          <w:rFonts w:asciiTheme="majorBidi" w:hAnsiTheme="majorBidi" w:cstheme="majorBidi"/>
          <w:szCs w:val="24"/>
        </w:rPr>
        <w:t>eria in 2011, Malaysia in 2010)</w:t>
      </w:r>
    </w:p>
    <w:p w:rsidR="007108BB" w:rsidRPr="007108BB" w:rsidRDefault="007108BB" w:rsidP="007108BB">
      <w:pPr>
        <w:rPr>
          <w:rFonts w:asciiTheme="majorBidi" w:hAnsiTheme="majorBidi" w:cstheme="majorBidi"/>
          <w:szCs w:val="24"/>
        </w:rPr>
      </w:pPr>
      <w:r w:rsidRPr="007108BB">
        <w:rPr>
          <w:rFonts w:asciiTheme="majorBidi" w:hAnsiTheme="majorBidi" w:cstheme="majorBidi"/>
          <w:szCs w:val="24"/>
        </w:rPr>
        <w:t>Even if you are not in a position right now to provide voluntary funding, I would like to invite you to submit to me any projects or initiatives of interest for ITU</w:t>
      </w:r>
      <w:r w:rsidRPr="007108BB">
        <w:rPr>
          <w:rFonts w:asciiTheme="majorBidi" w:hAnsiTheme="majorBidi" w:cstheme="majorBidi"/>
          <w:szCs w:val="24"/>
        </w:rPr>
        <w:noBreakHyphen/>
        <w:t>T that you consider could be financed under voluntary contributions. Possible projects are</w:t>
      </w:r>
      <w:r>
        <w:rPr>
          <w:rFonts w:asciiTheme="majorBidi" w:hAnsiTheme="majorBidi" w:cstheme="majorBidi"/>
          <w:szCs w:val="24"/>
        </w:rPr>
        <w:t>:</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Development of e-learning course</w:t>
      </w:r>
      <w:r>
        <w:rPr>
          <w:rFonts w:asciiTheme="majorBidi" w:hAnsiTheme="majorBidi" w:cstheme="majorBidi"/>
          <w:szCs w:val="24"/>
        </w:rPr>
        <w:t>s</w:t>
      </w:r>
      <w:r w:rsidRPr="007108BB">
        <w:rPr>
          <w:rFonts w:asciiTheme="majorBidi" w:hAnsiTheme="majorBidi" w:cstheme="majorBidi"/>
          <w:szCs w:val="24"/>
        </w:rPr>
        <w:t xml:space="preserve"> on</w:t>
      </w:r>
      <w:r>
        <w:rPr>
          <w:rFonts w:asciiTheme="majorBidi" w:hAnsiTheme="majorBidi" w:cstheme="majorBidi"/>
          <w:szCs w:val="24"/>
        </w:rPr>
        <w:t>:</w:t>
      </w:r>
      <w:r w:rsidRPr="007108BB">
        <w:rPr>
          <w:rFonts w:asciiTheme="majorBidi" w:hAnsiTheme="majorBidi" w:cstheme="majorBidi"/>
          <w:szCs w:val="24"/>
        </w:rPr>
        <w:t xml:space="preserve"> </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lang w:val="fr-CH"/>
        </w:rPr>
      </w:pPr>
      <w:proofErr w:type="spellStart"/>
      <w:r>
        <w:rPr>
          <w:rFonts w:asciiTheme="majorBidi" w:hAnsiTheme="majorBidi" w:cstheme="majorBidi"/>
          <w:szCs w:val="24"/>
          <w:lang w:val="fr-CH"/>
        </w:rPr>
        <w:t>Recommendation</w:t>
      </w:r>
      <w:proofErr w:type="spellEnd"/>
      <w:r>
        <w:rPr>
          <w:rFonts w:asciiTheme="majorBidi" w:hAnsiTheme="majorBidi" w:cstheme="majorBidi"/>
          <w:szCs w:val="24"/>
          <w:lang w:val="fr-CH"/>
        </w:rPr>
        <w:t xml:space="preserve"> ITU-T A.</w:t>
      </w:r>
      <w:r w:rsidRPr="007108BB">
        <w:rPr>
          <w:rFonts w:asciiTheme="majorBidi" w:hAnsiTheme="majorBidi" w:cstheme="majorBidi"/>
          <w:szCs w:val="24"/>
          <w:lang w:val="fr-CH"/>
        </w:rPr>
        <w:t>1 et al.</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the roles of Rapporteurs and Editors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how to submit contributions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how to draft Recommendations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Technical ITU-T Recommendations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Intellectual Property Rights</w:t>
      </w:r>
      <w:r>
        <w:rPr>
          <w:rFonts w:asciiTheme="majorBidi" w:hAnsiTheme="majorBidi" w:cstheme="majorBidi"/>
          <w:szCs w:val="24"/>
        </w:rPr>
        <w:br/>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Development of implementation guidelines for new ITU-T Recommendations to enable developing countries to adopt them</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Development of technical reports / web based guides / applications on ITU-T Recommendations</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Electromagnetic compatibility</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Climate Change</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e-Waste</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Public-key infrastructure</w:t>
      </w:r>
    </w:p>
    <w:p w:rsidR="007108BB" w:rsidRPr="007108BB" w:rsidRDefault="007108BB" w:rsidP="007108BB">
      <w:pPr>
        <w:pStyle w:val="ListParagraph"/>
        <w:numPr>
          <w:ilvl w:val="1"/>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textAlignment w:val="baseline"/>
        <w:rPr>
          <w:rFonts w:asciiTheme="majorBidi" w:hAnsiTheme="majorBidi" w:cstheme="majorBidi"/>
          <w:szCs w:val="24"/>
        </w:rPr>
      </w:pPr>
      <w:r w:rsidRPr="007108BB">
        <w:rPr>
          <w:rFonts w:asciiTheme="majorBidi" w:hAnsiTheme="majorBidi" w:cstheme="majorBidi"/>
          <w:szCs w:val="24"/>
        </w:rPr>
        <w:t>Others</w:t>
      </w:r>
      <w:r>
        <w:rPr>
          <w:rFonts w:asciiTheme="majorBidi" w:hAnsiTheme="majorBidi" w:cstheme="majorBidi"/>
          <w:szCs w:val="24"/>
        </w:rPr>
        <w:br/>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Conduct a study on the role of innovation management and innovation stimulation programmes on bridging the standardization gap between the dev</w:t>
      </w:r>
      <w:r w:rsidR="000950B3">
        <w:rPr>
          <w:rFonts w:asciiTheme="majorBidi" w:hAnsiTheme="majorBidi" w:cstheme="majorBidi"/>
          <w:szCs w:val="24"/>
        </w:rPr>
        <w:t>eloped and developing countries</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Organise webinars during each Study Group meeting on topics of interest for developing countries</w:t>
      </w:r>
      <w:r w:rsidR="00BF1617">
        <w:rPr>
          <w:rFonts w:asciiTheme="majorBidi" w:hAnsiTheme="majorBidi" w:cstheme="majorBidi"/>
          <w:szCs w:val="24"/>
        </w:rPr>
        <w:t>,</w:t>
      </w:r>
      <w:r w:rsidRPr="007108BB">
        <w:rPr>
          <w:rFonts w:asciiTheme="majorBidi" w:hAnsiTheme="majorBidi" w:cstheme="majorBidi"/>
          <w:szCs w:val="24"/>
        </w:rPr>
        <w:t xml:space="preserve"> encouraging questions from the audience to be posted on the Standards Q&amp;A website</w:t>
      </w:r>
      <w:r w:rsidR="00BF1617">
        <w:rPr>
          <w:rFonts w:asciiTheme="majorBidi" w:hAnsiTheme="majorBidi" w:cstheme="majorBidi"/>
          <w:szCs w:val="24"/>
        </w:rPr>
        <w:t xml:space="preserve">, </w:t>
      </w:r>
      <w:r w:rsidRPr="007108BB">
        <w:rPr>
          <w:rFonts w:asciiTheme="majorBidi" w:hAnsiTheme="majorBidi" w:cstheme="majorBidi"/>
          <w:szCs w:val="24"/>
        </w:rPr>
        <w:t>sponsor</w:t>
      </w:r>
      <w:r w:rsidR="00BF1617">
        <w:rPr>
          <w:rFonts w:asciiTheme="majorBidi" w:hAnsiTheme="majorBidi" w:cstheme="majorBidi"/>
          <w:szCs w:val="24"/>
        </w:rPr>
        <w:t>ship of</w:t>
      </w:r>
      <w:r w:rsidRPr="007108BB">
        <w:rPr>
          <w:rFonts w:asciiTheme="majorBidi" w:hAnsiTheme="majorBidi" w:cstheme="majorBidi"/>
          <w:szCs w:val="24"/>
        </w:rPr>
        <w:t xml:space="preserve"> webinar</w:t>
      </w:r>
      <w:r w:rsidR="00BF1617">
        <w:rPr>
          <w:rFonts w:asciiTheme="majorBidi" w:hAnsiTheme="majorBidi" w:cstheme="majorBidi"/>
          <w:szCs w:val="24"/>
        </w:rPr>
        <w:t>s</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ITU workshops in developing countries (fellowships and costs for speakers)</w:t>
      </w:r>
    </w:p>
    <w:p w:rsidR="00BF1617"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 xml:space="preserve">Translation of reports </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Fellowships to attend ITU-T meetings</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Provision of remote participation to ITU-T meetings</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lastRenderedPageBreak/>
        <w:t xml:space="preserve">Support of focus groups </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Support of regional groups</w:t>
      </w:r>
    </w:p>
    <w:p w:rsidR="007108BB" w:rsidRPr="007108BB" w:rsidRDefault="007108BB" w:rsidP="007108BB">
      <w:pPr>
        <w:pStyle w:val="ListParagraph"/>
        <w:numPr>
          <w:ilvl w:val="0"/>
          <w:numId w:val="36"/>
        </w:num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60" w:after="120"/>
        <w:ind w:left="568" w:hanging="284"/>
        <w:contextualSpacing w:val="0"/>
        <w:textAlignment w:val="baseline"/>
        <w:rPr>
          <w:rFonts w:asciiTheme="majorBidi" w:hAnsiTheme="majorBidi" w:cstheme="majorBidi"/>
          <w:szCs w:val="24"/>
        </w:rPr>
      </w:pPr>
      <w:r w:rsidRPr="007108BB">
        <w:rPr>
          <w:rFonts w:asciiTheme="majorBidi" w:hAnsiTheme="majorBidi" w:cstheme="majorBidi"/>
          <w:szCs w:val="24"/>
        </w:rPr>
        <w:t>Sponsorship of prizes for application challenges</w:t>
      </w:r>
    </w:p>
    <w:p w:rsidR="001C058E" w:rsidRPr="001C058E" w:rsidRDefault="001C058E" w:rsidP="001C058E">
      <w:pPr>
        <w:spacing w:after="120"/>
        <w:rPr>
          <w:color w:val="000000"/>
        </w:rPr>
      </w:pPr>
      <w:r w:rsidRPr="001C058E">
        <w:rPr>
          <w:rFonts w:asciiTheme="majorBidi" w:hAnsiTheme="majorBidi" w:cstheme="majorBidi"/>
          <w:color w:val="000000"/>
          <w:szCs w:val="24"/>
        </w:rPr>
        <w:t xml:space="preserve">I take this opportunity to thank again the sponsors that we have had in the past, especially Microsoft, Cisco, NSN and Korean Communications Commission who contributed to the BSG Fund. </w:t>
      </w:r>
    </w:p>
    <w:p w:rsidR="001C058E" w:rsidRPr="001C058E" w:rsidRDefault="001C058E" w:rsidP="001C058E">
      <w:pPr>
        <w:spacing w:after="120"/>
        <w:rPr>
          <w:color w:val="000000"/>
        </w:rPr>
      </w:pPr>
      <w:r w:rsidRPr="001C058E">
        <w:rPr>
          <w:rFonts w:asciiTheme="majorBidi" w:hAnsiTheme="majorBidi" w:cstheme="majorBidi"/>
          <w:color w:val="000000"/>
          <w:szCs w:val="24"/>
        </w:rPr>
        <w:t>Please give your kind consideration to this request which will help support ITU-T in fulfilling the ambitious programme agreed at WTSA-12 for the new study period 2013 – 2016, and let</w:t>
      </w:r>
      <w:r>
        <w:rPr>
          <w:rFonts w:asciiTheme="majorBidi" w:hAnsiTheme="majorBidi" w:cstheme="majorBidi"/>
          <w:color w:val="000000"/>
          <w:szCs w:val="24"/>
        </w:rPr>
        <w:t xml:space="preserve"> me know if you would like any </w:t>
      </w:r>
      <w:r w:rsidRPr="001C058E">
        <w:rPr>
          <w:rFonts w:asciiTheme="majorBidi" w:hAnsiTheme="majorBidi" w:cstheme="majorBidi"/>
          <w:color w:val="000000"/>
          <w:szCs w:val="24"/>
        </w:rPr>
        <w:t>further information</w:t>
      </w:r>
      <w:r>
        <w:rPr>
          <w:rFonts w:asciiTheme="majorBidi" w:hAnsiTheme="majorBidi" w:cstheme="majorBidi"/>
          <w:color w:val="000000"/>
          <w:szCs w:val="24"/>
        </w:rPr>
        <w:t>.</w:t>
      </w:r>
    </w:p>
    <w:p w:rsidR="00BF1617" w:rsidRPr="007108BB" w:rsidRDefault="00BF1617" w:rsidP="007108BB">
      <w:pPr>
        <w:spacing w:after="120"/>
        <w:rPr>
          <w:rFonts w:asciiTheme="majorBidi" w:hAnsiTheme="majorBidi" w:cstheme="majorBidi"/>
          <w:szCs w:val="24"/>
        </w:rPr>
      </w:pPr>
    </w:p>
    <w:p w:rsidR="000950B3" w:rsidRDefault="000950B3" w:rsidP="007108BB">
      <w:pPr>
        <w:tabs>
          <w:tab w:val="clear" w:pos="794"/>
        </w:tabs>
        <w:spacing w:after="120"/>
        <w:ind w:right="-193"/>
        <w:jc w:val="both"/>
        <w:rPr>
          <w:rFonts w:asciiTheme="majorBidi" w:hAnsiTheme="majorBidi" w:cstheme="majorBidi"/>
          <w:szCs w:val="24"/>
        </w:rPr>
      </w:pPr>
    </w:p>
    <w:p w:rsidR="008B0DBC" w:rsidRPr="007108BB" w:rsidRDefault="00697D21" w:rsidP="000A4E25">
      <w:pPr>
        <w:tabs>
          <w:tab w:val="clear" w:pos="794"/>
        </w:tabs>
        <w:spacing w:after="120"/>
        <w:ind w:right="-193"/>
        <w:jc w:val="both"/>
        <w:rPr>
          <w:rFonts w:asciiTheme="majorBidi" w:hAnsiTheme="majorBidi" w:cstheme="majorBidi"/>
          <w:szCs w:val="24"/>
        </w:rPr>
      </w:pPr>
      <w:r w:rsidRPr="007108BB">
        <w:rPr>
          <w:rFonts w:asciiTheme="majorBidi" w:hAnsiTheme="majorBidi" w:cstheme="majorBidi"/>
          <w:szCs w:val="24"/>
        </w:rPr>
        <w:t xml:space="preserve">Yours </w:t>
      </w:r>
      <w:r w:rsidR="000A4E25">
        <w:rPr>
          <w:rFonts w:asciiTheme="majorBidi" w:hAnsiTheme="majorBidi" w:cstheme="majorBidi"/>
          <w:szCs w:val="24"/>
        </w:rPr>
        <w:t>faithfully,</w:t>
      </w:r>
    </w:p>
    <w:p w:rsidR="009D618F" w:rsidRPr="007108BB" w:rsidRDefault="009D618F" w:rsidP="00AE1F2D">
      <w:pPr>
        <w:rPr>
          <w:rFonts w:asciiTheme="majorBidi" w:hAnsiTheme="majorBidi" w:cstheme="majorBidi"/>
          <w:szCs w:val="24"/>
        </w:rPr>
      </w:pPr>
    </w:p>
    <w:p w:rsidR="00B75E6E" w:rsidRPr="007108BB" w:rsidRDefault="00B75E6E" w:rsidP="00AE1F2D">
      <w:pPr>
        <w:rPr>
          <w:rFonts w:asciiTheme="majorBidi" w:hAnsiTheme="majorBidi" w:cstheme="majorBidi"/>
          <w:szCs w:val="24"/>
        </w:rPr>
      </w:pPr>
    </w:p>
    <w:p w:rsidR="00B75E6E" w:rsidRPr="007108BB" w:rsidRDefault="00B75E6E" w:rsidP="00AE1F2D">
      <w:pPr>
        <w:rPr>
          <w:rFonts w:asciiTheme="majorBidi" w:hAnsiTheme="majorBidi" w:cstheme="majorBidi"/>
          <w:szCs w:val="24"/>
        </w:rPr>
      </w:pPr>
    </w:p>
    <w:p w:rsidR="00697D21" w:rsidRPr="007108BB" w:rsidRDefault="00697D21" w:rsidP="00AE1F2D">
      <w:pPr>
        <w:rPr>
          <w:rFonts w:asciiTheme="majorBidi" w:hAnsiTheme="majorBidi" w:cstheme="majorBidi"/>
          <w:szCs w:val="24"/>
        </w:rPr>
      </w:pPr>
      <w:r w:rsidRPr="007108BB">
        <w:rPr>
          <w:rFonts w:asciiTheme="majorBidi" w:hAnsiTheme="majorBidi" w:cstheme="majorBidi"/>
          <w:szCs w:val="24"/>
        </w:rPr>
        <w:t>Malcolm Johnson</w:t>
      </w:r>
      <w:r w:rsidRPr="007108BB">
        <w:rPr>
          <w:rFonts w:asciiTheme="majorBidi" w:hAnsiTheme="majorBidi" w:cstheme="majorBidi"/>
          <w:szCs w:val="24"/>
        </w:rPr>
        <w:br/>
        <w:t>Director of the Telecommunication</w:t>
      </w:r>
      <w:r w:rsidRPr="007108BB">
        <w:rPr>
          <w:rFonts w:asciiTheme="majorBidi" w:hAnsiTheme="majorBidi" w:cstheme="majorBidi"/>
          <w:szCs w:val="24"/>
        </w:rPr>
        <w:br/>
        <w:t>Standardization Bureau</w:t>
      </w:r>
    </w:p>
    <w:p w:rsidR="00697D21" w:rsidRPr="007108BB" w:rsidRDefault="00697D21">
      <w:pPr>
        <w:rPr>
          <w:rFonts w:asciiTheme="majorBidi" w:hAnsiTheme="majorBidi" w:cstheme="majorBidi"/>
          <w:szCs w:val="24"/>
        </w:rPr>
      </w:pPr>
    </w:p>
    <w:p w:rsidR="00123EF1" w:rsidRDefault="00123EF1" w:rsidP="005F5D50">
      <w:pPr>
        <w:rPr>
          <w:rFonts w:eastAsia="MS Mincho"/>
          <w:lang w:eastAsia="ja-JP"/>
        </w:rPr>
      </w:pPr>
    </w:p>
    <w:p w:rsidR="000950B3" w:rsidRDefault="000950B3" w:rsidP="005F5D50">
      <w:pPr>
        <w:rPr>
          <w:rFonts w:eastAsia="MS Mincho"/>
          <w:lang w:eastAsia="ja-JP"/>
        </w:rPr>
      </w:pPr>
      <w:r>
        <w:rPr>
          <w:rFonts w:eastAsia="MS Mincho"/>
          <w:lang w:eastAsia="ja-JP"/>
        </w:rPr>
        <w:t>Annex: 1</w:t>
      </w:r>
    </w:p>
    <w:p w:rsidR="000950B3" w:rsidRDefault="000950B3" w:rsidP="000950B3">
      <w:pPr>
        <w:rPr>
          <w:rFonts w:eastAsia="MS Mincho"/>
          <w:lang w:eastAsia="ja-JP"/>
        </w:rPr>
      </w:pPr>
      <w:r>
        <w:rPr>
          <w:rFonts w:eastAsia="MS Mincho"/>
          <w:lang w:eastAsia="ja-JP"/>
        </w:rPr>
        <w:br w:type="page"/>
      </w:r>
    </w:p>
    <w:p w:rsidR="000950B3" w:rsidRPr="000950B3" w:rsidRDefault="000950B3" w:rsidP="000950B3">
      <w:pPr>
        <w:jc w:val="center"/>
        <w:rPr>
          <w:rFonts w:eastAsia="MS Mincho"/>
          <w:sz w:val="28"/>
          <w:szCs w:val="28"/>
          <w:lang w:eastAsia="ja-JP"/>
        </w:rPr>
      </w:pPr>
      <w:r w:rsidRPr="000950B3">
        <w:rPr>
          <w:rFonts w:eastAsia="MS Mincho"/>
          <w:sz w:val="28"/>
          <w:szCs w:val="28"/>
          <w:lang w:eastAsia="ja-JP"/>
        </w:rPr>
        <w:lastRenderedPageBreak/>
        <w:t>ANNEX 1</w:t>
      </w:r>
    </w:p>
    <w:p w:rsidR="000950B3" w:rsidRPr="000950B3" w:rsidRDefault="000950B3" w:rsidP="000950B3">
      <w:pPr>
        <w:keepNext/>
        <w:keepLines/>
        <w:tabs>
          <w:tab w:val="clear" w:pos="794"/>
          <w:tab w:val="clear" w:pos="1191"/>
          <w:tab w:val="clear" w:pos="1588"/>
          <w:tab w:val="clear" w:pos="1985"/>
        </w:tabs>
        <w:spacing w:before="0" w:line="280" w:lineRule="exact"/>
        <w:jc w:val="center"/>
        <w:rPr>
          <w:caps/>
          <w:sz w:val="28"/>
        </w:rPr>
      </w:pPr>
      <w:r w:rsidRPr="000950B3">
        <w:rPr>
          <w:caps/>
          <w:sz w:val="28"/>
        </w:rPr>
        <w:t>RESOLUTION 34 (</w:t>
      </w:r>
      <w:r w:rsidRPr="000950B3">
        <w:rPr>
          <w:sz w:val="28"/>
        </w:rPr>
        <w:t>Rev. Dubai, 2012</w:t>
      </w:r>
      <w:r w:rsidRPr="000950B3">
        <w:rPr>
          <w:caps/>
          <w:sz w:val="28"/>
        </w:rPr>
        <w:t>)</w:t>
      </w:r>
    </w:p>
    <w:p w:rsidR="000950B3" w:rsidRPr="000950B3" w:rsidRDefault="000950B3" w:rsidP="000950B3">
      <w:pPr>
        <w:keepNext/>
        <w:keepLines/>
        <w:spacing w:before="360"/>
        <w:jc w:val="center"/>
        <w:rPr>
          <w:b/>
          <w:sz w:val="28"/>
        </w:rPr>
      </w:pPr>
      <w:r w:rsidRPr="000950B3">
        <w:rPr>
          <w:b/>
          <w:sz w:val="28"/>
        </w:rPr>
        <w:t>Voluntary contributions</w:t>
      </w:r>
    </w:p>
    <w:p w:rsidR="000950B3" w:rsidRPr="000950B3" w:rsidRDefault="000950B3" w:rsidP="000950B3">
      <w:pPr>
        <w:keepNext/>
        <w:keepLines/>
        <w:tabs>
          <w:tab w:val="clear" w:pos="794"/>
          <w:tab w:val="clear" w:pos="1191"/>
          <w:tab w:val="clear" w:pos="1588"/>
          <w:tab w:val="clear" w:pos="1985"/>
        </w:tabs>
        <w:spacing w:before="160" w:line="280" w:lineRule="exact"/>
        <w:jc w:val="center"/>
        <w:rPr>
          <w:i/>
          <w:sz w:val="22"/>
        </w:rPr>
      </w:pPr>
      <w:r w:rsidRPr="000950B3">
        <w:rPr>
          <w:i/>
          <w:sz w:val="22"/>
        </w:rPr>
        <w:t xml:space="preserve">(Montreal, 2000; </w:t>
      </w:r>
      <w:proofErr w:type="spellStart"/>
      <w:r w:rsidRPr="000950B3">
        <w:rPr>
          <w:i/>
          <w:sz w:val="22"/>
        </w:rPr>
        <w:t>Florianópolis</w:t>
      </w:r>
      <w:proofErr w:type="spellEnd"/>
      <w:r w:rsidRPr="000950B3">
        <w:rPr>
          <w:i/>
          <w:sz w:val="22"/>
        </w:rPr>
        <w:t>, 2004; Johannesburg, 2008; Dubai, 2012)</w:t>
      </w:r>
    </w:p>
    <w:p w:rsidR="000950B3" w:rsidRPr="000950B3" w:rsidRDefault="000950B3" w:rsidP="000950B3">
      <w:pPr>
        <w:tabs>
          <w:tab w:val="clear" w:pos="794"/>
          <w:tab w:val="clear" w:pos="1191"/>
          <w:tab w:val="clear" w:pos="1588"/>
          <w:tab w:val="clear" w:pos="1985"/>
          <w:tab w:val="left" w:pos="1134"/>
          <w:tab w:val="left" w:pos="1871"/>
          <w:tab w:val="left" w:pos="2268"/>
        </w:tabs>
        <w:spacing w:before="280"/>
        <w:jc w:val="both"/>
        <w:rPr>
          <w:sz w:val="22"/>
        </w:rPr>
      </w:pPr>
      <w:r w:rsidRPr="000950B3">
        <w:rPr>
          <w:sz w:val="22"/>
        </w:rPr>
        <w:t>The World Telecommunication Standardization Assembly (Dubai, 2012),</w:t>
      </w:r>
    </w:p>
    <w:p w:rsidR="000950B3" w:rsidRPr="000950B3" w:rsidRDefault="000950B3" w:rsidP="000950B3">
      <w:pPr>
        <w:keepNext/>
        <w:keepLines/>
        <w:spacing w:before="240" w:line="280" w:lineRule="exact"/>
        <w:ind w:left="794"/>
        <w:rPr>
          <w:i/>
          <w:sz w:val="22"/>
        </w:rPr>
      </w:pPr>
      <w:proofErr w:type="gramStart"/>
      <w:r w:rsidRPr="000950B3">
        <w:rPr>
          <w:i/>
          <w:sz w:val="22"/>
        </w:rPr>
        <w:t>considering</w:t>
      </w:r>
      <w:proofErr w:type="gramEnd"/>
    </w:p>
    <w:p w:rsidR="000950B3" w:rsidRPr="000950B3" w:rsidRDefault="000950B3" w:rsidP="000950B3">
      <w:pPr>
        <w:spacing w:before="160" w:line="280" w:lineRule="exact"/>
        <w:jc w:val="both"/>
        <w:rPr>
          <w:sz w:val="22"/>
        </w:rPr>
      </w:pPr>
      <w:r w:rsidRPr="000950B3">
        <w:rPr>
          <w:i/>
          <w:iCs/>
          <w:sz w:val="22"/>
        </w:rPr>
        <w:t>a)</w:t>
      </w:r>
      <w:r w:rsidRPr="000950B3">
        <w:rPr>
          <w:sz w:val="22"/>
        </w:rPr>
        <w:tab/>
        <w:t>Resolution 71 (Rev. Guadalajara, 2010) of the Plenipotentiary Conference, on the strategic plan for the Union 2012-2015, targeting ambitious strategic objectives in the activities of the ITU Telecommunication Standardization Sector (ITU</w:t>
      </w:r>
      <w:r w:rsidRPr="000950B3">
        <w:rPr>
          <w:sz w:val="22"/>
        </w:rPr>
        <w:noBreakHyphen/>
        <w:t>T);</w:t>
      </w:r>
    </w:p>
    <w:p w:rsidR="000950B3" w:rsidRPr="000950B3" w:rsidRDefault="000950B3" w:rsidP="000950B3">
      <w:pPr>
        <w:spacing w:before="160" w:line="280" w:lineRule="exact"/>
        <w:jc w:val="both"/>
        <w:rPr>
          <w:sz w:val="22"/>
        </w:rPr>
      </w:pPr>
      <w:r w:rsidRPr="000950B3">
        <w:rPr>
          <w:i/>
          <w:iCs/>
          <w:sz w:val="22"/>
        </w:rPr>
        <w:t>b)</w:t>
      </w:r>
      <w:r w:rsidRPr="000950B3">
        <w:rPr>
          <w:sz w:val="22"/>
        </w:rPr>
        <w:tab/>
        <w:t>Resolution 123 (Rev. Guadalajara, 2010) of the Plenipotentiary Conference, which invites Member States and Sector Members to make voluntary contributions to the fund for bridging the standardization gap;</w:t>
      </w:r>
    </w:p>
    <w:p w:rsidR="000950B3" w:rsidRPr="000950B3" w:rsidRDefault="000950B3" w:rsidP="000950B3">
      <w:pPr>
        <w:spacing w:before="160" w:line="280" w:lineRule="exact"/>
        <w:jc w:val="both"/>
        <w:rPr>
          <w:sz w:val="22"/>
        </w:rPr>
      </w:pPr>
      <w:r w:rsidRPr="000950B3">
        <w:rPr>
          <w:i/>
          <w:iCs/>
          <w:sz w:val="22"/>
        </w:rPr>
        <w:t>c)</w:t>
      </w:r>
      <w:r w:rsidRPr="000950B3">
        <w:rPr>
          <w:sz w:val="22"/>
        </w:rPr>
        <w:tab/>
        <w:t>Decision 5 (Rev. Guadalajara, 2010) of the Plenipotentiary Conference and the annexes thereto, limiting expenditure of the Union for the period 2012 to 2015;</w:t>
      </w:r>
    </w:p>
    <w:p w:rsidR="000950B3" w:rsidRPr="000950B3" w:rsidRDefault="000950B3" w:rsidP="000950B3">
      <w:pPr>
        <w:spacing w:before="160" w:line="280" w:lineRule="exact"/>
        <w:jc w:val="both"/>
        <w:rPr>
          <w:sz w:val="22"/>
        </w:rPr>
      </w:pPr>
      <w:r w:rsidRPr="000950B3">
        <w:rPr>
          <w:i/>
          <w:iCs/>
          <w:sz w:val="22"/>
        </w:rPr>
        <w:t>d)</w:t>
      </w:r>
      <w:r w:rsidRPr="000950B3">
        <w:rPr>
          <w:sz w:val="22"/>
        </w:rPr>
        <w:tab/>
        <w:t>Resolution 44 (Rev. Dubai, 2012) of this assembly, on bridging the standardization gap between developed and developing countries</w:t>
      </w:r>
      <w:r w:rsidRPr="000950B3">
        <w:rPr>
          <w:position w:val="6"/>
          <w:sz w:val="16"/>
        </w:rPr>
        <w:footnoteReference w:customMarkFollows="1" w:id="1"/>
        <w:t>1</w:t>
      </w:r>
      <w:r w:rsidRPr="000950B3">
        <w:rPr>
          <w:sz w:val="22"/>
        </w:rPr>
        <w:t>, which describes the sources from which funds will be raised for the purpose of bridging the standardization gap,</w:t>
      </w:r>
    </w:p>
    <w:p w:rsidR="000950B3" w:rsidRPr="000950B3" w:rsidRDefault="000950B3" w:rsidP="000950B3">
      <w:pPr>
        <w:keepNext/>
        <w:keepLines/>
        <w:spacing w:before="240" w:line="280" w:lineRule="exact"/>
        <w:ind w:left="794"/>
        <w:rPr>
          <w:i/>
          <w:sz w:val="22"/>
        </w:rPr>
      </w:pPr>
      <w:proofErr w:type="gramStart"/>
      <w:r w:rsidRPr="000950B3">
        <w:rPr>
          <w:i/>
          <w:sz w:val="22"/>
        </w:rPr>
        <w:t>recalling</w:t>
      </w:r>
      <w:proofErr w:type="gramEnd"/>
    </w:p>
    <w:p w:rsidR="000950B3" w:rsidRPr="000950B3" w:rsidRDefault="000950B3" w:rsidP="000950B3">
      <w:pPr>
        <w:spacing w:before="160" w:line="280" w:lineRule="exact"/>
        <w:jc w:val="both"/>
        <w:rPr>
          <w:sz w:val="22"/>
        </w:rPr>
      </w:pPr>
      <w:r w:rsidRPr="000950B3">
        <w:rPr>
          <w:i/>
          <w:iCs/>
          <w:sz w:val="22"/>
        </w:rPr>
        <w:t>a)</w:t>
      </w:r>
      <w:r w:rsidRPr="000950B3">
        <w:rPr>
          <w:sz w:val="22"/>
        </w:rPr>
        <w:tab/>
        <w:t xml:space="preserve">that the ITU Constitution, Convention and Financial Regulations stipulate that the Secretary-General may accept voluntary financial contributions in cash or in kind, in addition to the regular contributions from the Member States, Sector Members and Associates; </w:t>
      </w:r>
    </w:p>
    <w:p w:rsidR="000950B3" w:rsidRPr="000950B3" w:rsidRDefault="000950B3" w:rsidP="000950B3">
      <w:pPr>
        <w:spacing w:before="160" w:line="280" w:lineRule="exact"/>
        <w:jc w:val="both"/>
        <w:rPr>
          <w:sz w:val="22"/>
        </w:rPr>
      </w:pPr>
      <w:r w:rsidRPr="000950B3">
        <w:rPr>
          <w:i/>
          <w:iCs/>
          <w:sz w:val="22"/>
        </w:rPr>
        <w:t>b)</w:t>
      </w:r>
      <w:r w:rsidRPr="000950B3">
        <w:rPr>
          <w:sz w:val="22"/>
        </w:rPr>
        <w:tab/>
      </w:r>
      <w:proofErr w:type="gramStart"/>
      <w:r w:rsidRPr="000950B3">
        <w:rPr>
          <w:sz w:val="22"/>
        </w:rPr>
        <w:t>that</w:t>
      </w:r>
      <w:proofErr w:type="gramEnd"/>
      <w:r w:rsidRPr="000950B3">
        <w:rPr>
          <w:sz w:val="22"/>
        </w:rPr>
        <w:t xml:space="preserve"> expenditures under voluntary contributions are outside the limits of expenditure set by ITU plenipotentiary conferences;</w:t>
      </w:r>
    </w:p>
    <w:p w:rsidR="000950B3" w:rsidRPr="000950B3" w:rsidRDefault="000950B3" w:rsidP="000950B3">
      <w:pPr>
        <w:spacing w:before="160" w:line="280" w:lineRule="exact"/>
        <w:jc w:val="both"/>
        <w:rPr>
          <w:sz w:val="22"/>
        </w:rPr>
      </w:pPr>
      <w:r w:rsidRPr="000950B3">
        <w:rPr>
          <w:i/>
          <w:iCs/>
          <w:sz w:val="22"/>
        </w:rPr>
        <w:t>c)</w:t>
      </w:r>
      <w:r w:rsidRPr="000950B3">
        <w:rPr>
          <w:sz w:val="22"/>
        </w:rPr>
        <w:tab/>
      </w:r>
      <w:proofErr w:type="gramStart"/>
      <w:r w:rsidRPr="000950B3">
        <w:rPr>
          <w:sz w:val="22"/>
        </w:rPr>
        <w:t>that</w:t>
      </w:r>
      <w:proofErr w:type="gramEnd"/>
      <w:r w:rsidRPr="000950B3">
        <w:rPr>
          <w:sz w:val="22"/>
        </w:rPr>
        <w:t xml:space="preserve"> important voluntary contributions made to ITU</w:t>
      </w:r>
      <w:r w:rsidRPr="000950B3">
        <w:rPr>
          <w:sz w:val="22"/>
        </w:rPr>
        <w:noBreakHyphen/>
        <w:t>T in the past permitted ITU</w:t>
      </w:r>
      <w:r w:rsidRPr="000950B3">
        <w:rPr>
          <w:sz w:val="22"/>
        </w:rPr>
        <w:noBreakHyphen/>
        <w:t>T to make significant progress in its work,</w:t>
      </w:r>
    </w:p>
    <w:p w:rsidR="000950B3" w:rsidRPr="000950B3" w:rsidRDefault="000950B3" w:rsidP="000950B3">
      <w:pPr>
        <w:keepNext/>
        <w:keepLines/>
        <w:spacing w:before="240" w:line="280" w:lineRule="exact"/>
        <w:ind w:left="794"/>
        <w:rPr>
          <w:i/>
          <w:sz w:val="22"/>
        </w:rPr>
      </w:pPr>
      <w:proofErr w:type="gramStart"/>
      <w:r w:rsidRPr="000950B3">
        <w:rPr>
          <w:i/>
          <w:sz w:val="22"/>
        </w:rPr>
        <w:t>considering</w:t>
      </w:r>
      <w:proofErr w:type="gramEnd"/>
      <w:r w:rsidRPr="000950B3">
        <w:rPr>
          <w:i/>
          <w:sz w:val="22"/>
        </w:rPr>
        <w:t xml:space="preserve"> further</w:t>
      </w:r>
    </w:p>
    <w:p w:rsidR="000950B3" w:rsidRPr="000950B3" w:rsidRDefault="000950B3" w:rsidP="000950B3">
      <w:pPr>
        <w:spacing w:before="160" w:line="280" w:lineRule="exact"/>
        <w:jc w:val="both"/>
        <w:rPr>
          <w:sz w:val="22"/>
        </w:rPr>
      </w:pPr>
      <w:proofErr w:type="gramStart"/>
      <w:r w:rsidRPr="000950B3">
        <w:rPr>
          <w:sz w:val="22"/>
        </w:rPr>
        <w:t>that</w:t>
      </w:r>
      <w:proofErr w:type="gramEnd"/>
      <w:r w:rsidRPr="000950B3">
        <w:rPr>
          <w:sz w:val="22"/>
        </w:rPr>
        <w:t xml:space="preserve"> voluntary contributions are valuable, rapid and efficient instruments in the financing of extra activities for the Sector,</w:t>
      </w:r>
    </w:p>
    <w:p w:rsidR="000950B3" w:rsidRPr="000950B3" w:rsidRDefault="000950B3" w:rsidP="000950B3">
      <w:pPr>
        <w:keepNext/>
        <w:keepLines/>
        <w:spacing w:before="240" w:line="280" w:lineRule="exact"/>
        <w:ind w:left="794"/>
        <w:rPr>
          <w:i/>
          <w:sz w:val="22"/>
        </w:rPr>
      </w:pPr>
      <w:proofErr w:type="gramStart"/>
      <w:r w:rsidRPr="000950B3">
        <w:rPr>
          <w:i/>
          <w:sz w:val="22"/>
        </w:rPr>
        <w:t>resolves</w:t>
      </w:r>
      <w:proofErr w:type="gramEnd"/>
    </w:p>
    <w:p w:rsidR="000950B3" w:rsidRPr="000950B3" w:rsidRDefault="000950B3" w:rsidP="000950B3">
      <w:pPr>
        <w:spacing w:before="160" w:line="280" w:lineRule="exact"/>
        <w:jc w:val="both"/>
        <w:rPr>
          <w:sz w:val="22"/>
        </w:rPr>
      </w:pPr>
      <w:r w:rsidRPr="000950B3">
        <w:rPr>
          <w:sz w:val="22"/>
        </w:rPr>
        <w:t>1</w:t>
      </w:r>
      <w:r w:rsidRPr="000950B3">
        <w:rPr>
          <w:sz w:val="22"/>
        </w:rPr>
        <w:tab/>
        <w:t>to encourage the financing of specific projects, focus groups or other new initiatives, including any activities which help achieve the objectives of Resolution 44 (Rev. Dubai, 2012) of this assembly, on bridging the standardization gap, by voluntary contributions;</w:t>
      </w:r>
    </w:p>
    <w:p w:rsidR="000950B3" w:rsidRPr="000950B3" w:rsidRDefault="000950B3" w:rsidP="000950B3">
      <w:pPr>
        <w:tabs>
          <w:tab w:val="clear" w:pos="794"/>
          <w:tab w:val="clear" w:pos="1191"/>
          <w:tab w:val="clear" w:pos="1588"/>
          <w:tab w:val="clear" w:pos="1985"/>
        </w:tabs>
        <w:overflowPunct/>
        <w:autoSpaceDE/>
        <w:autoSpaceDN/>
        <w:adjustRightInd/>
        <w:spacing w:before="0"/>
        <w:textAlignment w:val="auto"/>
        <w:rPr>
          <w:sz w:val="22"/>
        </w:rPr>
      </w:pPr>
      <w:r w:rsidRPr="000950B3">
        <w:rPr>
          <w:sz w:val="22"/>
        </w:rPr>
        <w:br w:type="page"/>
      </w:r>
    </w:p>
    <w:p w:rsidR="000950B3" w:rsidRPr="000950B3" w:rsidRDefault="000950B3" w:rsidP="000950B3">
      <w:pPr>
        <w:spacing w:before="160" w:line="280" w:lineRule="exact"/>
        <w:jc w:val="both"/>
        <w:rPr>
          <w:sz w:val="22"/>
        </w:rPr>
      </w:pPr>
      <w:r w:rsidRPr="000950B3">
        <w:rPr>
          <w:sz w:val="22"/>
        </w:rPr>
        <w:lastRenderedPageBreak/>
        <w:t>2</w:t>
      </w:r>
      <w:r w:rsidRPr="000950B3">
        <w:rPr>
          <w:sz w:val="22"/>
        </w:rPr>
        <w:tab/>
        <w:t>to invite Sector Members and Associates to finance voluntarily the participation of developing countries, and in particular remote participation using electronic working methods, in ITU-T meetings and workshops;</w:t>
      </w:r>
    </w:p>
    <w:p w:rsidR="000950B3" w:rsidRPr="000950B3" w:rsidRDefault="000950B3" w:rsidP="000950B3">
      <w:pPr>
        <w:spacing w:before="160" w:line="280" w:lineRule="exact"/>
        <w:jc w:val="both"/>
        <w:rPr>
          <w:sz w:val="22"/>
        </w:rPr>
      </w:pPr>
      <w:r w:rsidRPr="000950B3">
        <w:rPr>
          <w:sz w:val="22"/>
        </w:rPr>
        <w:t>3</w:t>
      </w:r>
      <w:r w:rsidRPr="000950B3">
        <w:rPr>
          <w:sz w:val="22"/>
        </w:rPr>
        <w:tab/>
        <w:t>to invite Member States, Sector Members and Associates from both developing and developed countries to submit to the Director of the Telecommunication Standardization Bureau projects and other initiatives of interest for ITU</w:t>
      </w:r>
      <w:r w:rsidRPr="000950B3">
        <w:rPr>
          <w:sz w:val="22"/>
        </w:rPr>
        <w:noBreakHyphen/>
        <w:t>T to be financed under voluntary contributions.</w:t>
      </w:r>
    </w:p>
    <w:p w:rsidR="000950B3" w:rsidRPr="000950B3" w:rsidRDefault="000950B3" w:rsidP="000950B3">
      <w:pPr>
        <w:spacing w:before="160" w:line="280" w:lineRule="exact"/>
        <w:jc w:val="both"/>
        <w:rPr>
          <w:sz w:val="22"/>
        </w:rPr>
      </w:pPr>
    </w:p>
    <w:p w:rsidR="000950B3" w:rsidRPr="000950B3" w:rsidRDefault="000950B3" w:rsidP="000950B3">
      <w:pPr>
        <w:spacing w:before="160" w:line="280" w:lineRule="exact"/>
        <w:jc w:val="both"/>
        <w:rPr>
          <w:sz w:val="22"/>
        </w:rPr>
      </w:pPr>
    </w:p>
    <w:p w:rsidR="000950B3" w:rsidRPr="000950B3" w:rsidRDefault="000950B3" w:rsidP="000950B3">
      <w:pPr>
        <w:spacing w:before="160" w:line="280" w:lineRule="exact"/>
        <w:jc w:val="both"/>
        <w:rPr>
          <w:sz w:val="22"/>
        </w:rPr>
      </w:pPr>
    </w:p>
    <w:p w:rsidR="000950B3" w:rsidRPr="000950B3" w:rsidRDefault="000950B3" w:rsidP="000950B3">
      <w:pPr>
        <w:spacing w:before="160" w:line="280" w:lineRule="exact"/>
        <w:jc w:val="both"/>
        <w:rPr>
          <w:sz w:val="22"/>
        </w:rPr>
      </w:pPr>
    </w:p>
    <w:p w:rsidR="000950B3" w:rsidRDefault="000950B3" w:rsidP="005F5D50">
      <w:pPr>
        <w:rPr>
          <w:rFonts w:eastAsia="MS Mincho"/>
          <w:lang w:eastAsia="ja-JP"/>
        </w:rPr>
      </w:pPr>
    </w:p>
    <w:p w:rsidR="000950B3" w:rsidRDefault="000950B3" w:rsidP="000950B3">
      <w:pPr>
        <w:jc w:val="center"/>
        <w:rPr>
          <w:rFonts w:eastAsia="MS Mincho"/>
          <w:lang w:eastAsia="ja-JP"/>
        </w:rPr>
      </w:pPr>
      <w:r>
        <w:rPr>
          <w:rFonts w:eastAsia="MS Mincho"/>
          <w:lang w:eastAsia="ja-JP"/>
        </w:rPr>
        <w:t>____________________________</w:t>
      </w:r>
    </w:p>
    <w:sectPr w:rsidR="000950B3" w:rsidSect="009D618F">
      <w:headerReference w:type="default" r:id="rId10"/>
      <w:footerReference w:type="default" r:id="rId11"/>
      <w:footerReference w:type="first" r:id="rId12"/>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83" w:rsidRDefault="005E2083">
      <w:r>
        <w:separator/>
      </w:r>
    </w:p>
  </w:endnote>
  <w:endnote w:type="continuationSeparator" w:id="0">
    <w:p w:rsidR="005E2083" w:rsidRDefault="005E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CA" w:rsidRPr="00067ECA" w:rsidRDefault="00067ECA" w:rsidP="00BC15CF">
    <w:pPr>
      <w:pStyle w:val="Footer"/>
      <w:rPr>
        <w:lang w:val="fr-CH"/>
      </w:rPr>
    </w:pPr>
    <w:r w:rsidRPr="00067ECA">
      <w:rPr>
        <w:lang w:val="fr-CH"/>
      </w:rPr>
      <w:t>I</w:t>
    </w:r>
    <w:r w:rsidR="007108BB">
      <w:rPr>
        <w:lang w:val="fr-CH"/>
      </w:rPr>
      <w:t>TU-T\BUREAU\CIRC\0</w:t>
    </w:r>
    <w:r w:rsidR="00BC15CF">
      <w:rPr>
        <w:lang w:val="fr-CH"/>
      </w:rPr>
      <w:t>19</w:t>
    </w:r>
    <w:r w:rsidRPr="00067ECA">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18F" w:rsidRPr="009D618F" w:rsidRDefault="009D618F" w:rsidP="009D618F">
    <w:pPr>
      <w:pBdr>
        <w:top w:val="single" w:sz="4" w:space="5" w:color="auto"/>
      </w:pBdr>
      <w:tabs>
        <w:tab w:val="clear" w:pos="794"/>
        <w:tab w:val="clear" w:pos="1191"/>
        <w:tab w:val="clear" w:pos="1588"/>
        <w:tab w:val="left" w:pos="2693"/>
        <w:tab w:val="left" w:pos="3261"/>
        <w:tab w:val="left" w:pos="5387"/>
        <w:tab w:val="left" w:pos="7513"/>
        <w:tab w:val="left" w:pos="8222"/>
        <w:tab w:val="left" w:pos="9072"/>
        <w:tab w:val="right" w:pos="10858"/>
      </w:tabs>
      <w:textAlignment w:val="auto"/>
      <w:rPr>
        <w:rFonts w:ascii="Futura Lt BT" w:hAnsi="Futura Lt BT"/>
        <w:sz w:val="18"/>
        <w:lang w:val="fr-FR"/>
      </w:rPr>
    </w:pPr>
    <w:r w:rsidRPr="009D618F">
      <w:rPr>
        <w:rFonts w:ascii="Futura Lt BT" w:hAnsi="Futura Lt BT"/>
        <w:sz w:val="18"/>
        <w:lang w:val="fr-FR"/>
      </w:rPr>
      <w:t>Place des Nations</w:t>
    </w:r>
    <w:r w:rsidRPr="009D618F">
      <w:rPr>
        <w:rFonts w:ascii="Futura Lt BT" w:hAnsi="Futura Lt BT"/>
        <w:sz w:val="18"/>
        <w:lang w:val="fr-FR"/>
      </w:rPr>
      <w:tab/>
    </w:r>
    <w:proofErr w:type="spellStart"/>
    <w:r w:rsidRPr="009D618F">
      <w:rPr>
        <w:rFonts w:ascii="Futura Lt BT" w:hAnsi="Futura Lt BT"/>
        <w:sz w:val="18"/>
        <w:lang w:val="fr-FR"/>
      </w:rPr>
      <w:t>Telephone</w:t>
    </w:r>
    <w:proofErr w:type="spellEnd"/>
    <w:r w:rsidRPr="009D618F">
      <w:rPr>
        <w:rFonts w:ascii="Futura Lt BT" w:hAnsi="Futura Lt BT"/>
        <w:sz w:val="18"/>
        <w:lang w:val="fr-FR"/>
      </w:rPr>
      <w:t xml:space="preserve"> </w:t>
    </w:r>
    <w:r w:rsidRPr="009D618F">
      <w:rPr>
        <w:rFonts w:ascii="Futura Lt BT" w:hAnsi="Futura Lt BT"/>
        <w:sz w:val="18"/>
        <w:lang w:val="fr-FR"/>
      </w:rPr>
      <w:tab/>
      <w:t>+41 22 730 51 11</w:t>
    </w:r>
    <w:r w:rsidRPr="009D618F">
      <w:rPr>
        <w:rFonts w:ascii="Futura Lt BT" w:hAnsi="Futura Lt BT"/>
        <w:sz w:val="18"/>
        <w:lang w:val="fr-FR"/>
      </w:rPr>
      <w:tab/>
    </w:r>
    <w:proofErr w:type="spellStart"/>
    <w:r w:rsidRPr="009D618F">
      <w:rPr>
        <w:rFonts w:ascii="Futura Lt BT" w:hAnsi="Futura Lt BT"/>
        <w:sz w:val="18"/>
        <w:lang w:val="fr-FR"/>
      </w:rPr>
      <w:t>Telex</w:t>
    </w:r>
    <w:proofErr w:type="spellEnd"/>
    <w:r w:rsidRPr="009D618F">
      <w:rPr>
        <w:rFonts w:ascii="Futura Lt BT" w:hAnsi="Futura Lt BT"/>
        <w:sz w:val="18"/>
        <w:lang w:val="fr-FR"/>
      </w:rPr>
      <w:t xml:space="preserve"> 421 000 </w:t>
    </w:r>
    <w:proofErr w:type="spellStart"/>
    <w:r w:rsidRPr="009D618F">
      <w:rPr>
        <w:rFonts w:ascii="Futura Lt BT" w:hAnsi="Futura Lt BT"/>
        <w:sz w:val="18"/>
        <w:lang w:val="fr-FR"/>
      </w:rPr>
      <w:t>uit</w:t>
    </w:r>
    <w:proofErr w:type="spellEnd"/>
    <w:r w:rsidRPr="009D618F">
      <w:rPr>
        <w:rFonts w:ascii="Futura Lt BT" w:hAnsi="Futura Lt BT"/>
        <w:sz w:val="18"/>
        <w:lang w:val="fr-FR"/>
      </w:rPr>
      <w:t xml:space="preserve"> </w:t>
    </w:r>
    <w:proofErr w:type="spellStart"/>
    <w:r w:rsidRPr="009D618F">
      <w:rPr>
        <w:rFonts w:ascii="Futura Lt BT" w:hAnsi="Futura Lt BT"/>
        <w:sz w:val="18"/>
        <w:lang w:val="fr-FR"/>
      </w:rPr>
      <w:t>ch</w:t>
    </w:r>
    <w:proofErr w:type="spellEnd"/>
    <w:r w:rsidRPr="009D618F">
      <w:rPr>
        <w:rFonts w:ascii="Futura Lt BT" w:hAnsi="Futura Lt BT"/>
        <w:sz w:val="18"/>
        <w:lang w:val="fr-FR"/>
      </w:rPr>
      <w:tab/>
      <w:t>E-mail:</w:t>
    </w:r>
    <w:r w:rsidRPr="009D618F">
      <w:rPr>
        <w:rFonts w:ascii="Futura Lt BT" w:hAnsi="Futura Lt BT"/>
        <w:sz w:val="18"/>
        <w:lang w:val="fr-FR"/>
      </w:rPr>
      <w:tab/>
      <w:t>itumail@itu.int</w:t>
    </w:r>
  </w:p>
  <w:p w:rsidR="009D618F" w:rsidRPr="009D618F" w:rsidRDefault="009D618F" w:rsidP="009D618F">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sidRPr="009D618F">
      <w:rPr>
        <w:rFonts w:ascii="Futura Lt BT" w:hAnsi="Futura Lt BT"/>
        <w:sz w:val="18"/>
      </w:rPr>
      <w:t>CH-1211 Geneva 20</w:t>
    </w:r>
    <w:r w:rsidRPr="009D618F">
      <w:rPr>
        <w:rFonts w:ascii="Futura Lt BT" w:hAnsi="Futura Lt BT"/>
        <w:sz w:val="18"/>
      </w:rPr>
      <w:tab/>
      <w:t>Telefax</w:t>
    </w:r>
    <w:r w:rsidRPr="009D618F">
      <w:rPr>
        <w:rFonts w:ascii="Futura Lt BT" w:hAnsi="Futura Lt BT"/>
        <w:sz w:val="18"/>
      </w:rPr>
      <w:tab/>
      <w:t>Gr3:</w:t>
    </w:r>
    <w:r w:rsidRPr="009D618F">
      <w:rPr>
        <w:rFonts w:ascii="Futura Lt BT" w:hAnsi="Futura Lt BT"/>
        <w:sz w:val="18"/>
      </w:rPr>
      <w:tab/>
      <w:t>+41 22 733 72 56</w:t>
    </w:r>
    <w:r w:rsidRPr="009D618F">
      <w:rPr>
        <w:rFonts w:ascii="Futura Lt BT" w:hAnsi="Futura Lt BT"/>
        <w:sz w:val="18"/>
      </w:rPr>
      <w:tab/>
      <w:t>Telegram ITU GENEVE</w:t>
    </w:r>
    <w:r w:rsidRPr="009D618F">
      <w:rPr>
        <w:rFonts w:ascii="Futura Lt BT" w:hAnsi="Futura Lt BT"/>
        <w:sz w:val="18"/>
      </w:rPr>
      <w:tab/>
    </w:r>
    <w:hyperlink r:id="rId1" w:history="1">
      <w:r w:rsidRPr="009D618F">
        <w:rPr>
          <w:rFonts w:ascii="Futura Lt BT" w:hAnsi="Futura Lt BT"/>
          <w:color w:val="0000FF"/>
          <w:sz w:val="18"/>
          <w:u w:val="single"/>
        </w:rPr>
        <w:t>www.itu.int</w:t>
      </w:r>
    </w:hyperlink>
  </w:p>
  <w:p w:rsidR="009D618F" w:rsidRPr="009D618F" w:rsidRDefault="009D618F" w:rsidP="009D618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sidRPr="009D618F">
      <w:rPr>
        <w:rFonts w:ascii="Futura Lt BT" w:hAnsi="Futura Lt BT"/>
        <w:sz w:val="18"/>
      </w:rPr>
      <w:t>Switzerland</w:t>
    </w:r>
    <w:r w:rsidRPr="009D618F">
      <w:rPr>
        <w:rFonts w:ascii="Futura Lt BT" w:hAnsi="Futura Lt BT"/>
        <w:sz w:val="18"/>
      </w:rPr>
      <w:tab/>
    </w:r>
    <w:r w:rsidRPr="009D618F">
      <w:rPr>
        <w:rFonts w:ascii="Futura Lt BT" w:hAnsi="Futura Lt BT"/>
        <w:sz w:val="18"/>
      </w:rPr>
      <w:tab/>
      <w:t>Gr4:</w:t>
    </w:r>
    <w:r w:rsidRPr="009D618F">
      <w:rPr>
        <w:rFonts w:ascii="Futura Lt BT" w:hAnsi="Futura Lt BT"/>
        <w:sz w:val="18"/>
      </w:rPr>
      <w:tab/>
    </w:r>
    <w:r w:rsidRPr="009D618F">
      <w:rPr>
        <w:rFonts w:ascii="Futura Lt BT" w:hAnsi="Futura Lt BT"/>
        <w:sz w:val="18"/>
      </w:rPr>
      <w:tab/>
      <w:t>+41 22 730 65 00</w:t>
    </w:r>
  </w:p>
  <w:p w:rsidR="00697D21" w:rsidRPr="009D618F" w:rsidRDefault="00697D21" w:rsidP="009D6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83" w:rsidRDefault="005E2083">
      <w:r>
        <w:t>____________________</w:t>
      </w:r>
    </w:p>
  </w:footnote>
  <w:footnote w:type="continuationSeparator" w:id="0">
    <w:p w:rsidR="005E2083" w:rsidRDefault="005E2083">
      <w:r>
        <w:continuationSeparator/>
      </w:r>
    </w:p>
  </w:footnote>
  <w:footnote w:id="1">
    <w:p w:rsidR="000950B3" w:rsidRPr="000A7603" w:rsidRDefault="000950B3" w:rsidP="000950B3">
      <w:pPr>
        <w:pStyle w:val="FootnoteText"/>
        <w:rPr>
          <w:lang w:val="en-US"/>
        </w:rPr>
      </w:pPr>
      <w:r w:rsidRPr="00060FD4">
        <w:rPr>
          <w:rStyle w:val="FootnoteReference"/>
          <w:lang w:val="en-US"/>
        </w:rPr>
        <w:t>1</w:t>
      </w:r>
      <w:r w:rsidRPr="008122EA">
        <w:rPr>
          <w:lang w:val="en-US"/>
        </w:rPr>
        <w:t xml:space="preserve"> </w:t>
      </w:r>
      <w:r w:rsidRPr="000A7603">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21" w:rsidRDefault="002D646E" w:rsidP="00060952">
    <w:pPr>
      <w:pStyle w:val="Header"/>
    </w:pPr>
    <w:r>
      <w:fldChar w:fldCharType="begin"/>
    </w:r>
    <w:r w:rsidR="00697D21">
      <w:instrText>PAGE</w:instrText>
    </w:r>
    <w:r>
      <w:fldChar w:fldCharType="separate"/>
    </w:r>
    <w:r w:rsidR="000A4E25">
      <w:rPr>
        <w:noProof/>
      </w:rPr>
      <w:t>- 4 -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B28AA"/>
    <w:multiLevelType w:val="hybridMultilevel"/>
    <w:tmpl w:val="327C1B3E"/>
    <w:lvl w:ilvl="0" w:tplc="DB561BF6">
      <w:numFmt w:val="bullet"/>
      <w:lvlText w:val="-"/>
      <w:lvlJc w:val="left"/>
      <w:pPr>
        <w:ind w:left="720" w:hanging="360"/>
      </w:pPr>
      <w:rPr>
        <w:rFonts w:ascii="Times New Roman" w:eastAsia="Times New Roman" w:hAnsi="Times New Roman" w:cs="Times New Roman" w:hint="default"/>
      </w:rPr>
    </w:lvl>
    <w:lvl w:ilvl="1" w:tplc="63E82758">
      <w:numFmt w:val="bullet"/>
      <w:lvlText w:val=""/>
      <w:lvlJc w:val="left"/>
      <w:pPr>
        <w:ind w:left="1470" w:hanging="39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A62289"/>
    <w:multiLevelType w:val="hybridMultilevel"/>
    <w:tmpl w:val="53068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93206"/>
    <w:multiLevelType w:val="hybridMultilevel"/>
    <w:tmpl w:val="7CE01630"/>
    <w:lvl w:ilvl="0" w:tplc="DB561BF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3">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2F6146"/>
    <w:multiLevelType w:val="hybridMultilevel"/>
    <w:tmpl w:val="0EE49F32"/>
    <w:lvl w:ilvl="0" w:tplc="62060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B037A5"/>
    <w:multiLevelType w:val="hybridMultilevel"/>
    <w:tmpl w:val="936AEFD8"/>
    <w:lvl w:ilvl="0" w:tplc="5900F112">
      <w:start w:val="5"/>
      <w:numFmt w:val="bullet"/>
      <w:lvlText w:val="-"/>
      <w:lvlJc w:val="left"/>
      <w:pPr>
        <w:ind w:left="720" w:hanging="360"/>
      </w:pPr>
      <w:rPr>
        <w:rFonts w:ascii="Times New Roman" w:eastAsia="Times New Roman" w:hAnsi="Times New Roman" w:cs="Times New Roman" w:hint="default"/>
      </w:rPr>
    </w:lvl>
    <w:lvl w:ilvl="1" w:tplc="DFE29E08">
      <w:start w:val="1"/>
      <w:numFmt w:val="bullet"/>
      <w:lvlText w:val="o"/>
      <w:lvlJc w:val="left"/>
      <w:pPr>
        <w:ind w:left="1440" w:hanging="360"/>
      </w:pPr>
      <w:rPr>
        <w:rFonts w:ascii="Courier New" w:hAnsi="Courier New" w:cs="Courier New" w:hint="default"/>
        <w:lang w:val="fr-CH"/>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3">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34">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33"/>
  </w:num>
  <w:num w:numId="4">
    <w:abstractNumId w:val="32"/>
  </w:num>
  <w:num w:numId="5">
    <w:abstractNumId w:val="15"/>
  </w:num>
  <w:num w:numId="6">
    <w:abstractNumId w:val="26"/>
  </w:num>
  <w:num w:numId="7">
    <w:abstractNumId w:val="4"/>
  </w:num>
  <w:num w:numId="8">
    <w:abstractNumId w:val="12"/>
  </w:num>
  <w:num w:numId="9">
    <w:abstractNumId w:val="29"/>
  </w:num>
  <w:num w:numId="10">
    <w:abstractNumId w:val="11"/>
  </w:num>
  <w:num w:numId="11">
    <w:abstractNumId w:val="13"/>
  </w:num>
  <w:num w:numId="12">
    <w:abstractNumId w:val="34"/>
  </w:num>
  <w:num w:numId="13">
    <w:abstractNumId w:val="14"/>
  </w:num>
  <w:num w:numId="14">
    <w:abstractNumId w:val="16"/>
  </w:num>
  <w:num w:numId="15">
    <w:abstractNumId w:val="0"/>
  </w:num>
  <w:num w:numId="16">
    <w:abstractNumId w:val="28"/>
  </w:num>
  <w:num w:numId="17">
    <w:abstractNumId w:val="10"/>
  </w:num>
  <w:num w:numId="18">
    <w:abstractNumId w:val="23"/>
  </w:num>
  <w:num w:numId="19">
    <w:abstractNumId w:val="7"/>
  </w:num>
  <w:num w:numId="20">
    <w:abstractNumId w:val="25"/>
  </w:num>
  <w:num w:numId="21">
    <w:abstractNumId w:val="20"/>
  </w:num>
  <w:num w:numId="22">
    <w:abstractNumId w:val="9"/>
  </w:num>
  <w:num w:numId="23">
    <w:abstractNumId w:val="1"/>
  </w:num>
  <w:num w:numId="24">
    <w:abstractNumId w:val="5"/>
  </w:num>
  <w:num w:numId="25">
    <w:abstractNumId w:val="21"/>
  </w:num>
  <w:num w:numId="26">
    <w:abstractNumId w:val="6"/>
  </w:num>
  <w:num w:numId="27">
    <w:abstractNumId w:val="31"/>
  </w:num>
  <w:num w:numId="28">
    <w:abstractNumId w:val="8"/>
  </w:num>
  <w:num w:numId="29">
    <w:abstractNumId w:val="2"/>
  </w:num>
  <w:num w:numId="30">
    <w:abstractNumId w:val="18"/>
  </w:num>
  <w:num w:numId="31">
    <w:abstractNumId w:val="3"/>
  </w:num>
  <w:num w:numId="32">
    <w:abstractNumId w:val="19"/>
  </w:num>
  <w:num w:numId="33">
    <w:abstractNumId w:val="27"/>
  </w:num>
  <w:num w:numId="34">
    <w:abstractNumId w:val="17"/>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11144"/>
    <w:rsid w:val="00013F72"/>
    <w:rsid w:val="00017E65"/>
    <w:rsid w:val="00026E5A"/>
    <w:rsid w:val="00035C46"/>
    <w:rsid w:val="000376F6"/>
    <w:rsid w:val="00051A63"/>
    <w:rsid w:val="00056AA9"/>
    <w:rsid w:val="00060952"/>
    <w:rsid w:val="00067ECA"/>
    <w:rsid w:val="00073963"/>
    <w:rsid w:val="0008198D"/>
    <w:rsid w:val="0009124E"/>
    <w:rsid w:val="000950B3"/>
    <w:rsid w:val="000A145F"/>
    <w:rsid w:val="000A4E25"/>
    <w:rsid w:val="000C209B"/>
    <w:rsid w:val="000D0987"/>
    <w:rsid w:val="000E54E9"/>
    <w:rsid w:val="000F1051"/>
    <w:rsid w:val="000F3D72"/>
    <w:rsid w:val="00123EF1"/>
    <w:rsid w:val="00125014"/>
    <w:rsid w:val="00125634"/>
    <w:rsid w:val="001259FD"/>
    <w:rsid w:val="00132E06"/>
    <w:rsid w:val="00133444"/>
    <w:rsid w:val="00133B7C"/>
    <w:rsid w:val="001368EB"/>
    <w:rsid w:val="00136A3A"/>
    <w:rsid w:val="00155586"/>
    <w:rsid w:val="001569C6"/>
    <w:rsid w:val="001677A4"/>
    <w:rsid w:val="00167879"/>
    <w:rsid w:val="00170565"/>
    <w:rsid w:val="00174053"/>
    <w:rsid w:val="00175825"/>
    <w:rsid w:val="00187336"/>
    <w:rsid w:val="0019121A"/>
    <w:rsid w:val="001A153B"/>
    <w:rsid w:val="001A2BAA"/>
    <w:rsid w:val="001A508C"/>
    <w:rsid w:val="001C058E"/>
    <w:rsid w:val="001D228A"/>
    <w:rsid w:val="001F4A2E"/>
    <w:rsid w:val="0020032D"/>
    <w:rsid w:val="002010FE"/>
    <w:rsid w:val="00235DB9"/>
    <w:rsid w:val="002378BD"/>
    <w:rsid w:val="00252B18"/>
    <w:rsid w:val="00284516"/>
    <w:rsid w:val="002906AD"/>
    <w:rsid w:val="00296B7F"/>
    <w:rsid w:val="0029740F"/>
    <w:rsid w:val="002C2A8C"/>
    <w:rsid w:val="002D3853"/>
    <w:rsid w:val="002D646E"/>
    <w:rsid w:val="002E257E"/>
    <w:rsid w:val="002E63DC"/>
    <w:rsid w:val="002F22F6"/>
    <w:rsid w:val="002F2E6C"/>
    <w:rsid w:val="002F63A3"/>
    <w:rsid w:val="00300758"/>
    <w:rsid w:val="0031744E"/>
    <w:rsid w:val="00325F3A"/>
    <w:rsid w:val="00334D0E"/>
    <w:rsid w:val="003520AF"/>
    <w:rsid w:val="00377F50"/>
    <w:rsid w:val="00386E4E"/>
    <w:rsid w:val="003B6294"/>
    <w:rsid w:val="003C1132"/>
    <w:rsid w:val="003E620E"/>
    <w:rsid w:val="003F3552"/>
    <w:rsid w:val="0040485D"/>
    <w:rsid w:val="00405CD7"/>
    <w:rsid w:val="00406224"/>
    <w:rsid w:val="00414CBB"/>
    <w:rsid w:val="004259C3"/>
    <w:rsid w:val="004354F0"/>
    <w:rsid w:val="004556D7"/>
    <w:rsid w:val="00463772"/>
    <w:rsid w:val="00473B59"/>
    <w:rsid w:val="00480A04"/>
    <w:rsid w:val="0048397C"/>
    <w:rsid w:val="004856BC"/>
    <w:rsid w:val="00497175"/>
    <w:rsid w:val="004A1A1D"/>
    <w:rsid w:val="004B3E2D"/>
    <w:rsid w:val="00506865"/>
    <w:rsid w:val="005209C7"/>
    <w:rsid w:val="00523839"/>
    <w:rsid w:val="00583B87"/>
    <w:rsid w:val="0059537F"/>
    <w:rsid w:val="005A73A6"/>
    <w:rsid w:val="005B3270"/>
    <w:rsid w:val="005B53C7"/>
    <w:rsid w:val="005C7BD2"/>
    <w:rsid w:val="005E175B"/>
    <w:rsid w:val="005E2083"/>
    <w:rsid w:val="005E54DC"/>
    <w:rsid w:val="005E54DF"/>
    <w:rsid w:val="005F4AB7"/>
    <w:rsid w:val="005F5D50"/>
    <w:rsid w:val="005F6B35"/>
    <w:rsid w:val="00604878"/>
    <w:rsid w:val="00611736"/>
    <w:rsid w:val="0063589E"/>
    <w:rsid w:val="0064149D"/>
    <w:rsid w:val="00646117"/>
    <w:rsid w:val="00650071"/>
    <w:rsid w:val="00651FD4"/>
    <w:rsid w:val="00690FA5"/>
    <w:rsid w:val="00697500"/>
    <w:rsid w:val="00697D21"/>
    <w:rsid w:val="006A10E7"/>
    <w:rsid w:val="006B7D20"/>
    <w:rsid w:val="006B7E42"/>
    <w:rsid w:val="006C0802"/>
    <w:rsid w:val="006C48F9"/>
    <w:rsid w:val="006D279E"/>
    <w:rsid w:val="006D2FDF"/>
    <w:rsid w:val="006E14BC"/>
    <w:rsid w:val="006E2381"/>
    <w:rsid w:val="006E66FC"/>
    <w:rsid w:val="006E7C16"/>
    <w:rsid w:val="006F1ABE"/>
    <w:rsid w:val="00703064"/>
    <w:rsid w:val="00703612"/>
    <w:rsid w:val="00704936"/>
    <w:rsid w:val="007108BB"/>
    <w:rsid w:val="007212FB"/>
    <w:rsid w:val="007328B1"/>
    <w:rsid w:val="0073603C"/>
    <w:rsid w:val="00760405"/>
    <w:rsid w:val="0078244B"/>
    <w:rsid w:val="00785658"/>
    <w:rsid w:val="00787F7B"/>
    <w:rsid w:val="007A0468"/>
    <w:rsid w:val="007A710E"/>
    <w:rsid w:val="007A7287"/>
    <w:rsid w:val="007A7444"/>
    <w:rsid w:val="007B5425"/>
    <w:rsid w:val="007D3E49"/>
    <w:rsid w:val="00801170"/>
    <w:rsid w:val="008171E1"/>
    <w:rsid w:val="00833B55"/>
    <w:rsid w:val="00837DF6"/>
    <w:rsid w:val="008634B7"/>
    <w:rsid w:val="0087225E"/>
    <w:rsid w:val="008762A1"/>
    <w:rsid w:val="00877EA3"/>
    <w:rsid w:val="008804F6"/>
    <w:rsid w:val="008900D5"/>
    <w:rsid w:val="0089011D"/>
    <w:rsid w:val="00891922"/>
    <w:rsid w:val="008A53D6"/>
    <w:rsid w:val="008A6911"/>
    <w:rsid w:val="008B0DBC"/>
    <w:rsid w:val="008B5F31"/>
    <w:rsid w:val="008B7140"/>
    <w:rsid w:val="008D10C6"/>
    <w:rsid w:val="008F18FA"/>
    <w:rsid w:val="009070F9"/>
    <w:rsid w:val="00910089"/>
    <w:rsid w:val="00910799"/>
    <w:rsid w:val="009339A5"/>
    <w:rsid w:val="009560C7"/>
    <w:rsid w:val="00963579"/>
    <w:rsid w:val="009822E1"/>
    <w:rsid w:val="00987C72"/>
    <w:rsid w:val="009942BF"/>
    <w:rsid w:val="009A22F8"/>
    <w:rsid w:val="009D618F"/>
    <w:rsid w:val="009E1168"/>
    <w:rsid w:val="009E41DE"/>
    <w:rsid w:val="00A42838"/>
    <w:rsid w:val="00A5282C"/>
    <w:rsid w:val="00A55116"/>
    <w:rsid w:val="00A661B0"/>
    <w:rsid w:val="00A74919"/>
    <w:rsid w:val="00A82C84"/>
    <w:rsid w:val="00A870FA"/>
    <w:rsid w:val="00AA4AEF"/>
    <w:rsid w:val="00AB391D"/>
    <w:rsid w:val="00AB73BC"/>
    <w:rsid w:val="00AC3528"/>
    <w:rsid w:val="00AD3CCC"/>
    <w:rsid w:val="00AE1F2D"/>
    <w:rsid w:val="00AE6D52"/>
    <w:rsid w:val="00AF037E"/>
    <w:rsid w:val="00AF2D52"/>
    <w:rsid w:val="00B12825"/>
    <w:rsid w:val="00B37274"/>
    <w:rsid w:val="00B404FD"/>
    <w:rsid w:val="00B41739"/>
    <w:rsid w:val="00B43C45"/>
    <w:rsid w:val="00B51197"/>
    <w:rsid w:val="00B529FF"/>
    <w:rsid w:val="00B65895"/>
    <w:rsid w:val="00B75E6E"/>
    <w:rsid w:val="00B865AE"/>
    <w:rsid w:val="00B877D7"/>
    <w:rsid w:val="00B91A6F"/>
    <w:rsid w:val="00B94E81"/>
    <w:rsid w:val="00B96400"/>
    <w:rsid w:val="00BB173B"/>
    <w:rsid w:val="00BC15CF"/>
    <w:rsid w:val="00BC2315"/>
    <w:rsid w:val="00BC5B49"/>
    <w:rsid w:val="00BF1617"/>
    <w:rsid w:val="00C14C4F"/>
    <w:rsid w:val="00C30E04"/>
    <w:rsid w:val="00C3256E"/>
    <w:rsid w:val="00C60E22"/>
    <w:rsid w:val="00C65438"/>
    <w:rsid w:val="00C7740C"/>
    <w:rsid w:val="00C90A08"/>
    <w:rsid w:val="00C91CD0"/>
    <w:rsid w:val="00CB45B6"/>
    <w:rsid w:val="00CC1937"/>
    <w:rsid w:val="00CD595E"/>
    <w:rsid w:val="00CD79C5"/>
    <w:rsid w:val="00CF1C60"/>
    <w:rsid w:val="00D0335E"/>
    <w:rsid w:val="00D061A1"/>
    <w:rsid w:val="00D14E0E"/>
    <w:rsid w:val="00D20EE6"/>
    <w:rsid w:val="00D25AFE"/>
    <w:rsid w:val="00D25F11"/>
    <w:rsid w:val="00D27786"/>
    <w:rsid w:val="00D3619C"/>
    <w:rsid w:val="00D46AE2"/>
    <w:rsid w:val="00D50E3C"/>
    <w:rsid w:val="00D550B8"/>
    <w:rsid w:val="00D64B8E"/>
    <w:rsid w:val="00D76491"/>
    <w:rsid w:val="00D8717A"/>
    <w:rsid w:val="00DA11D1"/>
    <w:rsid w:val="00DB5171"/>
    <w:rsid w:val="00DC67C4"/>
    <w:rsid w:val="00E175F0"/>
    <w:rsid w:val="00E30B45"/>
    <w:rsid w:val="00E31150"/>
    <w:rsid w:val="00E37103"/>
    <w:rsid w:val="00E4666B"/>
    <w:rsid w:val="00E575E4"/>
    <w:rsid w:val="00E70A7F"/>
    <w:rsid w:val="00E83E20"/>
    <w:rsid w:val="00EA3F42"/>
    <w:rsid w:val="00EB051A"/>
    <w:rsid w:val="00EB137D"/>
    <w:rsid w:val="00EB2C29"/>
    <w:rsid w:val="00EB56D8"/>
    <w:rsid w:val="00EC6A5F"/>
    <w:rsid w:val="00ED6CCA"/>
    <w:rsid w:val="00EE0B70"/>
    <w:rsid w:val="00EE186F"/>
    <w:rsid w:val="00EE6D69"/>
    <w:rsid w:val="00F00ACF"/>
    <w:rsid w:val="00F015AB"/>
    <w:rsid w:val="00F02FEB"/>
    <w:rsid w:val="00F047DB"/>
    <w:rsid w:val="00F0530B"/>
    <w:rsid w:val="00F054D4"/>
    <w:rsid w:val="00F141EA"/>
    <w:rsid w:val="00F3043C"/>
    <w:rsid w:val="00F52ECA"/>
    <w:rsid w:val="00F603DF"/>
    <w:rsid w:val="00F64376"/>
    <w:rsid w:val="00F746EA"/>
    <w:rsid w:val="00F92A3C"/>
    <w:rsid w:val="00F93F2F"/>
    <w:rsid w:val="00FA01B3"/>
    <w:rsid w:val="00FB2F6A"/>
    <w:rsid w:val="00FB48C8"/>
    <w:rsid w:val="00FB4C63"/>
    <w:rsid w:val="00FB7E4E"/>
    <w:rsid w:val="00FC6FF4"/>
    <w:rsid w:val="00FD0B61"/>
    <w:rsid w:val="00FD2CD0"/>
    <w:rsid w:val="00FF097C"/>
    <w:rsid w:val="00FF46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Body Text 2" w:uiPriority="99"/>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61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aliases w:val="Appel note de bas de p,Footnote Reference/"/>
    <w:uiPriority w:val="99"/>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link w:val="enumlev1Char"/>
    <w:rsid w:val="00646117"/>
    <w:pPr>
      <w:tabs>
        <w:tab w:val="clear" w:pos="794"/>
        <w:tab w:val="clear" w:pos="1191"/>
        <w:tab w:val="clear" w:pos="1588"/>
        <w:tab w:val="clear" w:pos="1985"/>
      </w:tabs>
      <w:spacing w:before="80"/>
      <w:ind w:left="794" w:hanging="794"/>
    </w:pPr>
  </w:style>
  <w:style w:type="character" w:customStyle="1" w:styleId="enumlev1Char">
    <w:name w:val="enumlev1 Char"/>
    <w:link w:val="enumlev1"/>
    <w:rsid w:val="00646117"/>
    <w:rPr>
      <w:rFonts w:ascii="Times New Roman" w:hAnsi="Times New Roman"/>
      <w:sz w:val="24"/>
      <w:lang w:val="en-GB" w:eastAsia="en-US"/>
    </w:r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Normalaftertitle">
    <w:name w:val="Normal after title"/>
    <w:basedOn w:val="Normal"/>
    <w:next w:val="Normal"/>
    <w:rsid w:val="00D550B8"/>
    <w:pPr>
      <w:spacing w:before="320"/>
    </w:p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rsid w:val="00D550B8"/>
    <w:rPr>
      <w:color w:val="0000FF"/>
      <w:u w:val="single"/>
    </w:rPr>
  </w:style>
  <w:style w:type="character" w:styleId="FollowedHyperlink">
    <w:name w:val="FollowedHyperlink"/>
    <w:rsid w:val="00D550B8"/>
    <w:rPr>
      <w:color w:val="800080"/>
      <w:u w:val="single"/>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paragraph" w:customStyle="1" w:styleId="AnnexNotitle">
    <w:name w:val="Annex_No &amp; title"/>
    <w:basedOn w:val="Normal"/>
    <w:next w:val="Normal"/>
    <w:rsid w:val="0040485D"/>
    <w:pPr>
      <w:keepNext/>
      <w:keepLines/>
      <w:spacing w:before="480"/>
      <w:jc w:val="center"/>
    </w:pPr>
    <w:rPr>
      <w:b/>
      <w:sz w:val="28"/>
    </w:rPr>
  </w:style>
  <w:style w:type="paragraph" w:customStyle="1" w:styleId="Headingb0">
    <w:name w:val="Heading_b"/>
    <w:basedOn w:val="Normal"/>
    <w:next w:val="Normal"/>
    <w:rsid w:val="0040485D"/>
    <w:pPr>
      <w:keepNext/>
      <w:spacing w:before="160"/>
    </w:pPr>
    <w:rPr>
      <w:b/>
    </w:rPr>
  </w:style>
  <w:style w:type="paragraph" w:styleId="EndnoteText">
    <w:name w:val="endnote text"/>
    <w:basedOn w:val="Normal"/>
    <w:link w:val="EndnoteTextChar"/>
    <w:rsid w:val="0040485D"/>
    <w:pPr>
      <w:spacing w:before="0"/>
    </w:pPr>
    <w:rPr>
      <w:rFonts w:eastAsia="SimSun"/>
      <w:sz w:val="20"/>
    </w:rPr>
  </w:style>
  <w:style w:type="character" w:customStyle="1" w:styleId="EndnoteTextChar">
    <w:name w:val="Endnote Text Char"/>
    <w:link w:val="EndnoteText"/>
    <w:rsid w:val="0040485D"/>
    <w:rPr>
      <w:rFonts w:ascii="Times New Roman" w:eastAsia="SimSun" w:hAnsi="Times New Roman"/>
      <w:lang w:val="en-GB" w:eastAsia="en-US"/>
    </w:rPr>
  </w:style>
  <w:style w:type="paragraph" w:styleId="BodyText0">
    <w:name w:val="Body Text"/>
    <w:basedOn w:val="Normal"/>
    <w:link w:val="BodyTextChar"/>
    <w:rsid w:val="009D618F"/>
    <w:pPr>
      <w:spacing w:after="120"/>
    </w:pPr>
  </w:style>
  <w:style w:type="character" w:customStyle="1" w:styleId="BodyTextChar">
    <w:name w:val="Body Text Char"/>
    <w:link w:val="BodyText0"/>
    <w:rsid w:val="009D618F"/>
    <w:rPr>
      <w:rFonts w:ascii="Times New Roman" w:hAnsi="Times New Roman"/>
      <w:sz w:val="24"/>
      <w:lang w:val="en-GB" w:eastAsia="en-US"/>
    </w:rPr>
  </w:style>
  <w:style w:type="paragraph" w:styleId="ListParagraph">
    <w:name w:val="List Paragraph"/>
    <w:basedOn w:val="Normal"/>
    <w:uiPriority w:val="34"/>
    <w:qFormat/>
    <w:rsid w:val="00C65438"/>
    <w:pPr>
      <w:overflowPunct/>
      <w:autoSpaceDE/>
      <w:autoSpaceDN/>
      <w:adjustRightInd/>
      <w:ind w:left="720"/>
      <w:contextualSpacing/>
      <w:textAlignment w:val="auto"/>
    </w:pPr>
  </w:style>
  <w:style w:type="character" w:customStyle="1" w:styleId="CEONormalCharChar">
    <w:name w:val="CEO_Normal Char Char"/>
    <w:link w:val="CEONormal"/>
    <w:uiPriority w:val="99"/>
    <w:locked/>
    <w:rsid w:val="00C65438"/>
    <w:rPr>
      <w:rFonts w:ascii="Verdana" w:eastAsia="SimSun" w:hAnsi="Verdana"/>
      <w:lang w:val="en-GB" w:eastAsia="en-US"/>
    </w:rPr>
  </w:style>
  <w:style w:type="paragraph" w:customStyle="1" w:styleId="CEONormal">
    <w:name w:val="CEO_Normal"/>
    <w:link w:val="CEONormalCharChar"/>
    <w:uiPriority w:val="99"/>
    <w:rsid w:val="00C65438"/>
    <w:pPr>
      <w:spacing w:before="120" w:after="120"/>
    </w:pPr>
    <w:rPr>
      <w:rFonts w:ascii="Verdana" w:eastAsia="SimSun" w:hAnsi="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782457241">
      <w:bodyDiv w:val="1"/>
      <w:marLeft w:val="0"/>
      <w:marRight w:val="0"/>
      <w:marTop w:val="0"/>
      <w:marBottom w:val="0"/>
      <w:divBdr>
        <w:top w:val="none" w:sz="0" w:space="0" w:color="auto"/>
        <w:left w:val="none" w:sz="0" w:space="0" w:color="auto"/>
        <w:bottom w:val="none" w:sz="0" w:space="0" w:color="auto"/>
        <w:right w:val="none" w:sz="0" w:space="0" w:color="auto"/>
      </w:divBdr>
    </w:div>
    <w:div w:id="1259950216">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30DC11B8-250B-4430-831C-3A169527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7611</CharactersWithSpaces>
  <SharedDoc>false</SharedDoc>
  <HLinks>
    <vt:vector size="24" baseType="variant">
      <vt:variant>
        <vt:i4>6750218</vt:i4>
      </vt:variant>
      <vt:variant>
        <vt:i4>6</vt:i4>
      </vt:variant>
      <vt:variant>
        <vt:i4>0</vt:i4>
      </vt:variant>
      <vt:variant>
        <vt:i4>5</vt:i4>
      </vt:variant>
      <vt:variant>
        <vt:lpwstr>mailto:tsbsg5@itu.int</vt:lpwstr>
      </vt:variant>
      <vt:variant>
        <vt:lpwstr/>
      </vt:variant>
      <vt:variant>
        <vt:i4>6160476</vt:i4>
      </vt:variant>
      <vt:variant>
        <vt:i4>3</vt:i4>
      </vt:variant>
      <vt:variant>
        <vt:i4>0</vt:i4>
      </vt:variant>
      <vt:variant>
        <vt:i4>5</vt:i4>
      </vt:variant>
      <vt:variant>
        <vt:lpwstr>https://www.surveymonkey.com/s/201303-adaptation</vt:lpwstr>
      </vt:variant>
      <vt:variant>
        <vt:lpwstr/>
      </vt:variant>
      <vt:variant>
        <vt:i4>6750218</vt:i4>
      </vt:variant>
      <vt:variant>
        <vt:i4>0</vt:i4>
      </vt:variant>
      <vt:variant>
        <vt:i4>0</vt:i4>
      </vt:variant>
      <vt:variant>
        <vt:i4>5</vt:i4>
      </vt:variant>
      <vt:variant>
        <vt:lpwstr>mailto:tsbsg5@itu.int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2013-04-05T14:04:00Z</cp:lastPrinted>
  <dcterms:created xsi:type="dcterms:W3CDTF">2013-04-05T14:08:00Z</dcterms:created>
  <dcterms:modified xsi:type="dcterms:W3CDTF">2013-04-05T14:08:00Z</dcterms:modified>
</cp:coreProperties>
</file>