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708F9E3D" wp14:editId="50B6802C">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523A14">
            <w:pPr>
              <w:tabs>
                <w:tab w:val="left" w:pos="4111"/>
              </w:tabs>
              <w:spacing w:before="20" w:after="60" w:line="300" w:lineRule="exact"/>
              <w:ind w:left="57"/>
              <w:rPr>
                <w:rtl/>
                <w:lang w:bidi="ar-SY"/>
              </w:rPr>
            </w:pPr>
            <w:r w:rsidRPr="00DC5505">
              <w:rPr>
                <w:rFonts w:hint="cs"/>
                <w:rtl/>
              </w:rPr>
              <w:t>جنيف،</w:t>
            </w:r>
            <w:r w:rsidR="00E3506C">
              <w:rPr>
                <w:rFonts w:hint="cs"/>
                <w:rtl/>
              </w:rPr>
              <w:t xml:space="preserve"> </w:t>
            </w:r>
            <w:r w:rsidR="00523A14">
              <w:t>29</w:t>
            </w:r>
            <w:r w:rsidR="00523A14">
              <w:rPr>
                <w:rFonts w:hint="cs"/>
                <w:rtl/>
                <w:lang w:bidi="ar-SY"/>
              </w:rPr>
              <w:t xml:space="preserve"> أبريل </w:t>
            </w:r>
            <w:r w:rsidR="00523A14">
              <w:rPr>
                <w:lang w:bidi="ar-SY"/>
              </w:rPr>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Pr="00DC5505" w:rsidRDefault="00CF1B69" w:rsidP="00523A14">
            <w:pPr>
              <w:tabs>
                <w:tab w:val="left" w:pos="4111"/>
              </w:tabs>
              <w:spacing w:before="20" w:line="300" w:lineRule="exact"/>
              <w:ind w:left="57"/>
              <w:rPr>
                <w:b/>
                <w:rtl/>
                <w:lang w:bidi="ar-SY"/>
              </w:rPr>
            </w:pPr>
            <w:r>
              <w:rPr>
                <w:b/>
              </w:rPr>
              <w:t>TSB</w:t>
            </w:r>
            <w:r w:rsidR="004F3D50">
              <w:rPr>
                <w:b/>
              </w:rPr>
              <w:t> </w:t>
            </w:r>
            <w:r>
              <w:rPr>
                <w:b/>
              </w:rPr>
              <w:t xml:space="preserve">Circular </w:t>
            </w:r>
            <w:r w:rsidR="00523A14">
              <w:rPr>
                <w:b/>
              </w:rPr>
              <w:t>21</w:t>
            </w:r>
          </w:p>
          <w:p w:rsidR="00DC5505" w:rsidRPr="00DC5505" w:rsidRDefault="00DC5505" w:rsidP="00E3506C">
            <w:pPr>
              <w:tabs>
                <w:tab w:val="left" w:pos="4111"/>
              </w:tabs>
              <w:spacing w:before="0" w:after="60" w:line="300" w:lineRule="exact"/>
              <w:ind w:left="57"/>
              <w:rPr>
                <w:bCs/>
              </w:rPr>
            </w:pPr>
            <w:r w:rsidRPr="00DC5505">
              <w:rPr>
                <w:bCs/>
              </w:rPr>
              <w:t>COM</w:t>
            </w:r>
            <w:r w:rsidR="00141119">
              <w:rPr>
                <w:bCs/>
              </w:rPr>
              <w:t> </w:t>
            </w:r>
            <w:r w:rsidR="00E3506C">
              <w:rPr>
                <w:bCs/>
              </w:rPr>
              <w:t>13/TK</w:t>
            </w:r>
          </w:p>
        </w:tc>
        <w:tc>
          <w:tcPr>
            <w:tcW w:w="4760" w:type="dxa"/>
          </w:tcPr>
          <w:p w:rsidR="00DC5505" w:rsidRPr="00DC5505" w:rsidRDefault="00DC5505" w:rsidP="009B5009">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p>
          <w:p w:rsidR="00DC5505" w:rsidRPr="00DC5505" w:rsidRDefault="00DC5505" w:rsidP="009B5009">
            <w:pPr>
              <w:tabs>
                <w:tab w:val="left" w:pos="284"/>
                <w:tab w:val="left" w:pos="4111"/>
              </w:tabs>
              <w:spacing w:before="20" w:line="300" w:lineRule="exact"/>
              <w:ind w:left="57"/>
              <w:rPr>
                <w:lang w:bidi="ar-EG"/>
              </w:rPr>
            </w:pPr>
          </w:p>
          <w:p w:rsidR="00DC5505" w:rsidRPr="00DC5505" w:rsidRDefault="00DC5505" w:rsidP="009B5009">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7437F9">
            <w:pPr>
              <w:spacing w:before="60" w:after="60" w:line="300" w:lineRule="exact"/>
              <w:ind w:left="57"/>
            </w:pPr>
            <w:r w:rsidRPr="00DC5505">
              <w:rPr>
                <w:rFonts w:hint="cs"/>
                <w:rtl/>
                <w:lang w:bidi="ar-SY"/>
              </w:rPr>
              <w:t>الهاتف</w:t>
            </w:r>
            <w:r w:rsidRPr="00DC5505">
              <w:rPr>
                <w:rFonts w:hint="cs"/>
                <w:rtl/>
              </w:rPr>
              <w:t>:</w:t>
            </w:r>
            <w:r w:rsidR="007437F9">
              <w:rPr>
                <w:rtl/>
              </w:rPr>
              <w:br/>
            </w:r>
            <w:r w:rsidRPr="00DC5505">
              <w:rPr>
                <w:rFonts w:hint="cs"/>
                <w:rtl/>
              </w:rPr>
              <w:t>الفاكس:</w:t>
            </w:r>
            <w:r w:rsidR="007437F9">
              <w:rPr>
                <w:rFonts w:hint="cs"/>
                <w:rtl/>
              </w:rPr>
              <w:br/>
            </w:r>
            <w:r w:rsidRPr="00DC5505">
              <w:rPr>
                <w:rFonts w:hint="cs"/>
                <w:rtl/>
              </w:rPr>
              <w:t>البريد الإلكتروني:</w:t>
            </w:r>
          </w:p>
        </w:tc>
        <w:tc>
          <w:tcPr>
            <w:tcW w:w="3340" w:type="dxa"/>
          </w:tcPr>
          <w:p w:rsidR="00DC5505" w:rsidRPr="00DC5505" w:rsidRDefault="007202C3" w:rsidP="00066F6B">
            <w:pPr>
              <w:tabs>
                <w:tab w:val="left" w:pos="4111"/>
              </w:tabs>
              <w:spacing w:before="60" w:after="60" w:line="300" w:lineRule="exact"/>
              <w:ind w:left="57"/>
              <w:jc w:val="left"/>
            </w:pPr>
            <w:r>
              <w:t>+41 22 730</w:t>
            </w:r>
            <w:r w:rsidR="00E3506C">
              <w:t xml:space="preserve"> 5126</w:t>
            </w:r>
            <w:r w:rsidR="007437F9">
              <w:rPr>
                <w:rtl/>
                <w:lang w:bidi="ar-EG"/>
              </w:rPr>
              <w:br/>
            </w:r>
            <w:r w:rsidR="00DC5505" w:rsidRPr="00DC5505">
              <w:t>+41 22 730 5853</w:t>
            </w:r>
            <w:r w:rsidR="007437F9">
              <w:rPr>
                <w:rtl/>
              </w:rPr>
              <w:br/>
            </w:r>
            <w:hyperlink r:id="rId10" w:history="1">
              <w:r w:rsidR="00066F6B" w:rsidRPr="002E6C2D">
                <w:rPr>
                  <w:rStyle w:val="Hyperlink"/>
                </w:rPr>
                <w:t>tsbsg13@itu.int</w:t>
              </w:r>
            </w:hyperlink>
          </w:p>
        </w:tc>
        <w:tc>
          <w:tcPr>
            <w:tcW w:w="4760" w:type="dxa"/>
          </w:tcPr>
          <w:p w:rsidR="00DC5505" w:rsidRPr="00DC5505" w:rsidRDefault="00DC5505" w:rsidP="009B5009">
            <w:pPr>
              <w:tabs>
                <w:tab w:val="left" w:pos="284"/>
                <w:tab w:val="left" w:pos="4111"/>
              </w:tabs>
              <w:spacing w:before="60" w:after="60" w:line="300" w:lineRule="exact"/>
              <w:ind w:left="57"/>
              <w:rPr>
                <w:b/>
                <w:bCs/>
                <w:rtl/>
              </w:rPr>
            </w:pPr>
            <w:r w:rsidRPr="00DC5505">
              <w:rPr>
                <w:rFonts w:hint="cs"/>
                <w:b/>
                <w:bCs/>
                <w:rtl/>
              </w:rPr>
              <w:t>نسخة إلى:</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أعضاء قطاع تقييس الاتصالات؛</w:t>
            </w:r>
          </w:p>
          <w:p w:rsid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المنتسبين إلى قطاع تقييس الاتصالات؛</w:t>
            </w:r>
          </w:p>
          <w:p w:rsidR="00876CC0" w:rsidRPr="00E448CA" w:rsidRDefault="00876CC0" w:rsidP="009B5009">
            <w:pPr>
              <w:tabs>
                <w:tab w:val="left" w:pos="284"/>
                <w:tab w:val="left" w:pos="4111"/>
              </w:tabs>
              <w:spacing w:before="0" w:line="300" w:lineRule="exact"/>
              <w:ind w:left="57"/>
              <w:rPr>
                <w:rtl/>
                <w:lang w:bidi="ar-EG"/>
              </w:rPr>
            </w:pPr>
            <w:r w:rsidRPr="00C67A47">
              <w:rPr>
                <w:rFonts w:hint="cs"/>
                <w:rtl/>
              </w:rPr>
              <w:t>-</w:t>
            </w:r>
            <w:r w:rsidRPr="00C67A47">
              <w:rPr>
                <w:rtl/>
                <w:lang w:bidi="ar-EG"/>
              </w:rPr>
              <w:tab/>
            </w:r>
            <w:r w:rsidRPr="00C67A47">
              <w:rPr>
                <w:rFonts w:hint="cs"/>
                <w:rtl/>
                <w:lang w:bidi="ar-EG"/>
              </w:rPr>
              <w:t>الهيئات الأكاديمية المنضمة إلى قطاع تقييس الاتصالات؛</w:t>
            </w:r>
          </w:p>
          <w:p w:rsidR="00DC5505" w:rsidRPr="00DC5505" w:rsidRDefault="00DC5505" w:rsidP="00E3506C">
            <w:pPr>
              <w:tabs>
                <w:tab w:val="left" w:pos="284"/>
                <w:tab w:val="left" w:pos="4111"/>
              </w:tabs>
              <w:spacing w:before="0" w:line="300" w:lineRule="exact"/>
              <w:ind w:left="57"/>
              <w:rPr>
                <w:rtl/>
                <w:lang w:bidi="ar-EG"/>
              </w:rPr>
            </w:pPr>
            <w:r w:rsidRPr="00DC5505">
              <w:rPr>
                <w:rFonts w:hint="cs"/>
                <w:rtl/>
              </w:rPr>
              <w:t>-</w:t>
            </w:r>
            <w:r w:rsidRPr="00DC5505">
              <w:rPr>
                <w:rtl/>
              </w:rPr>
              <w:tab/>
            </w:r>
            <w:r w:rsidRPr="00DC5505">
              <w:rPr>
                <w:rFonts w:hint="cs"/>
                <w:rtl/>
              </w:rPr>
              <w:t xml:space="preserve">رئيس لجنة الدراسات </w:t>
            </w:r>
            <w:r w:rsidR="00E3506C">
              <w:t>13</w:t>
            </w:r>
            <w:r w:rsidRPr="00DC5505">
              <w:rPr>
                <w:rFonts w:hint="cs"/>
                <w:rtl/>
                <w:lang w:bidi="ar-EG"/>
              </w:rPr>
              <w:t xml:space="preserve"> ونوابه؛</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t>مدير مكتب تنمية الاتصالات</w:t>
            </w:r>
            <w:r w:rsidRPr="00DC5505">
              <w:rPr>
                <w:rFonts w:hint="cs"/>
                <w:rtl/>
              </w:rPr>
              <w:t>؛</w:t>
            </w:r>
          </w:p>
          <w:p w:rsidR="00DC5505" w:rsidRPr="00DC5505" w:rsidRDefault="00DC5505" w:rsidP="009B5009">
            <w:pPr>
              <w:tabs>
                <w:tab w:val="left" w:pos="284"/>
                <w:tab w:val="left" w:pos="4111"/>
              </w:tabs>
              <w:spacing w:before="0" w:after="120" w:line="300" w:lineRule="exact"/>
              <w:ind w:left="57"/>
              <w:rPr>
                <w:rtl/>
              </w:rPr>
            </w:pPr>
            <w:r w:rsidRPr="00DC5505">
              <w:rPr>
                <w:rFonts w:hint="cs"/>
                <w:rtl/>
              </w:rPr>
              <w:t>-</w:t>
            </w:r>
            <w:r w:rsidRPr="00DC5505">
              <w:rPr>
                <w:rtl/>
              </w:rPr>
              <w:tab/>
              <w:t>مدير مكتب الاتصالات الراديوية</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9D513D" w:rsidRDefault="000C2FB2" w:rsidP="009D7722">
            <w:pPr>
              <w:tabs>
                <w:tab w:val="left" w:pos="284"/>
                <w:tab w:val="left" w:pos="4111"/>
              </w:tabs>
              <w:ind w:left="57"/>
              <w:rPr>
                <w:rFonts w:ascii="Times New Roman Bold" w:hAnsi="Times New Roman Bold"/>
                <w:b/>
                <w:bCs/>
                <w:rtl/>
                <w:lang w:bidi="ar-EG"/>
              </w:rPr>
            </w:pPr>
            <w:r w:rsidRPr="00523A14">
              <w:rPr>
                <w:rFonts w:ascii="Times New Roman Bold" w:hAnsi="Times New Roman Bold" w:hint="cs"/>
                <w:b/>
                <w:bCs/>
                <w:rtl/>
              </w:rPr>
              <w:t>اجتماع لجنة الدراسات</w:t>
            </w:r>
            <w:r w:rsidRPr="00523A14">
              <w:rPr>
                <w:rFonts w:ascii="Times New Roman Bold" w:hAnsi="Times New Roman Bold" w:hint="cs"/>
                <w:b/>
                <w:bCs/>
                <w:rtl/>
                <w:lang w:bidi="ar-EG"/>
              </w:rPr>
              <w:t xml:space="preserve"> </w:t>
            </w:r>
            <w:r w:rsidR="00E3506C" w:rsidRPr="00523A14">
              <w:rPr>
                <w:rFonts w:ascii="Times New Roman Bold" w:hAnsi="Times New Roman Bold"/>
                <w:b/>
                <w:bCs/>
                <w:lang w:bidi="ar-EG"/>
              </w:rPr>
              <w:t>13</w:t>
            </w:r>
            <w:r w:rsidRPr="00523A14">
              <w:rPr>
                <w:rFonts w:ascii="Times New Roman Bold" w:hAnsi="Times New Roman Bold" w:hint="cs"/>
                <w:b/>
                <w:bCs/>
                <w:rtl/>
                <w:lang w:bidi="ar-EG"/>
              </w:rPr>
              <w:t xml:space="preserve"> بهدف الموافقة على </w:t>
            </w:r>
            <w:r w:rsidR="00523A14" w:rsidRPr="00523A14">
              <w:rPr>
                <w:rFonts w:ascii="Times New Roman Bold" w:hAnsi="Times New Roman Bold" w:hint="cs"/>
                <w:b/>
                <w:bCs/>
                <w:rtl/>
                <w:lang w:bidi="ar-EG"/>
              </w:rPr>
              <w:t>مشروعي التوصيتين الجديدتين</w:t>
            </w:r>
            <w:r w:rsidR="00141119">
              <w:rPr>
                <w:rFonts w:ascii="Times New Roman Bold" w:hAnsi="Times New Roman Bold" w:hint="eastAsia"/>
                <w:b/>
                <w:bCs/>
                <w:rtl/>
                <w:lang w:bidi="ar-EG"/>
              </w:rPr>
              <w:t> </w:t>
            </w:r>
            <w:r w:rsidR="00523A14" w:rsidRPr="00523A14">
              <w:rPr>
                <w:rFonts w:ascii="Times New Roman Bold" w:hAnsi="Times New Roman Bold"/>
                <w:b/>
                <w:bCs/>
                <w:lang w:val="en-GB" w:bidi="ar-EG"/>
              </w:rPr>
              <w:t>ITU</w:t>
            </w:r>
            <w:r w:rsidR="00523A14">
              <w:rPr>
                <w:rFonts w:ascii="Times New Roman Bold" w:hAnsi="Times New Roman Bold"/>
                <w:b/>
                <w:bCs/>
                <w:lang w:val="en-GB" w:bidi="ar-EG"/>
              </w:rPr>
              <w:noBreakHyphen/>
            </w:r>
            <w:r w:rsidR="00523A14" w:rsidRPr="00523A14">
              <w:rPr>
                <w:rFonts w:ascii="Times New Roman Bold" w:hAnsi="Times New Roman Bold"/>
                <w:b/>
                <w:bCs/>
                <w:lang w:val="en-GB" w:bidi="ar-EG"/>
              </w:rPr>
              <w:t>T</w:t>
            </w:r>
            <w:r w:rsidR="00523A14">
              <w:rPr>
                <w:rFonts w:ascii="Times New Roman Bold" w:hAnsi="Times New Roman Bold"/>
                <w:b/>
                <w:bCs/>
                <w:lang w:val="en-GB" w:bidi="ar-EG"/>
              </w:rPr>
              <w:t> </w:t>
            </w:r>
            <w:r w:rsidR="00523A14" w:rsidRPr="00523A14">
              <w:rPr>
                <w:rFonts w:ascii="Times New Roman Bold" w:hAnsi="Times New Roman Bold"/>
                <w:b/>
                <w:bCs/>
                <w:lang w:val="en-GB" w:bidi="ar-EG"/>
              </w:rPr>
              <w:t>Y.2723</w:t>
            </w:r>
            <w:r w:rsidR="00523A14" w:rsidRPr="00523A14">
              <w:rPr>
                <w:rFonts w:ascii="Times New Roman Bold" w:hAnsi="Times New Roman Bold" w:hint="cs"/>
                <w:b/>
                <w:bCs/>
                <w:rtl/>
                <w:lang w:val="en-GB" w:bidi="ar-EG"/>
              </w:rPr>
              <w:t xml:space="preserve"> و</w:t>
            </w:r>
            <w:r w:rsidR="00523A14" w:rsidRPr="00523A14">
              <w:rPr>
                <w:rFonts w:ascii="Times New Roman Bold" w:hAnsi="Times New Roman Bold"/>
                <w:b/>
                <w:bCs/>
                <w:lang w:val="en-GB"/>
              </w:rPr>
              <w:t>ITU</w:t>
            </w:r>
            <w:r w:rsidR="00523A14" w:rsidRPr="00523A14">
              <w:rPr>
                <w:rFonts w:ascii="Times New Roman Bold" w:hAnsi="Times New Roman Bold"/>
                <w:b/>
                <w:bCs/>
                <w:lang w:val="en-GB"/>
              </w:rPr>
              <w:noBreakHyphen/>
              <w:t>T </w:t>
            </w:r>
            <w:r w:rsidR="00523A14" w:rsidRPr="00523A14">
              <w:rPr>
                <w:rFonts w:ascii="Times New Roman Bold" w:hAnsi="Times New Roman Bold"/>
                <w:b/>
                <w:bCs/>
                <w:lang w:val="en-GB" w:bidi="ar-EG"/>
              </w:rPr>
              <w:t>Y.2724</w:t>
            </w:r>
            <w:r w:rsidR="00141119">
              <w:rPr>
                <w:rFonts w:ascii="Times New Roman Bold" w:hAnsi="Times New Roman Bold" w:hint="cs"/>
                <w:b/>
                <w:bCs/>
                <w:rtl/>
                <w:lang w:bidi="ar-EG"/>
              </w:rPr>
              <w:t xml:space="preserve"> لقطاع تقييس الاتصالات</w:t>
            </w:r>
            <w:r w:rsidRPr="00523A14">
              <w:rPr>
                <w:rFonts w:ascii="Times New Roman Bold" w:hAnsi="Times New Roman Bold" w:hint="cs"/>
                <w:b/>
                <w:bCs/>
                <w:rtl/>
                <w:lang w:bidi="ar-EG"/>
              </w:rPr>
              <w:t>، عملاً بأحكام القسم</w:t>
            </w:r>
            <w:r w:rsidR="009D7722">
              <w:rPr>
                <w:rFonts w:ascii="Times New Roman Bold" w:hAnsi="Times New Roman Bold" w:hint="eastAsia"/>
                <w:b/>
                <w:bCs/>
                <w:rtl/>
                <w:lang w:bidi="ar-EG"/>
              </w:rPr>
              <w:t> </w:t>
            </w:r>
            <w:r w:rsidRPr="00523A14">
              <w:rPr>
                <w:rFonts w:ascii="Times New Roman Bold" w:hAnsi="Times New Roman Bold"/>
                <w:b/>
                <w:bCs/>
                <w:lang w:bidi="ar-EG"/>
              </w:rPr>
              <w:t>9</w:t>
            </w:r>
            <w:r w:rsidRPr="00523A14">
              <w:rPr>
                <w:rFonts w:ascii="Times New Roman Bold" w:hAnsi="Times New Roman Bold" w:hint="cs"/>
                <w:b/>
                <w:bCs/>
                <w:rtl/>
                <w:lang w:bidi="ar-EG"/>
              </w:rPr>
              <w:t xml:space="preserve"> من القرار</w:t>
            </w:r>
            <w:r w:rsidR="00141119">
              <w:rPr>
                <w:rFonts w:ascii="Times New Roman Bold" w:hAnsi="Times New Roman Bold" w:hint="eastAsia"/>
                <w:b/>
                <w:bCs/>
                <w:rtl/>
                <w:lang w:bidi="ar-EG"/>
              </w:rPr>
              <w:t> </w:t>
            </w:r>
            <w:r w:rsidRPr="00523A14">
              <w:rPr>
                <w:rFonts w:ascii="Times New Roman Bold" w:hAnsi="Times New Roman Bold"/>
                <w:b/>
                <w:bCs/>
                <w:lang w:bidi="ar-EG"/>
              </w:rPr>
              <w:t>1</w:t>
            </w:r>
            <w:r w:rsidRPr="00523A14">
              <w:rPr>
                <w:rFonts w:ascii="Times New Roman Bold" w:hAnsi="Times New Roman Bold" w:hint="cs"/>
                <w:b/>
                <w:bCs/>
                <w:rtl/>
                <w:lang w:bidi="ar-EG"/>
              </w:rPr>
              <w:t xml:space="preserve"> الصادر عن الجمعية العالمية لتقييس الاتصالات (</w:t>
            </w:r>
            <w:r w:rsidR="00523A14">
              <w:rPr>
                <w:rFonts w:ascii="Times New Roman Bold" w:hAnsi="Times New Roman Bold" w:hint="cs"/>
                <w:b/>
                <w:bCs/>
                <w:rtl/>
                <w:lang w:bidi="ar-EG"/>
              </w:rPr>
              <w:t xml:space="preserve">دبي، </w:t>
            </w:r>
            <w:r w:rsidR="00523A14">
              <w:rPr>
                <w:rFonts w:ascii="Times New Roman Bold" w:hAnsi="Times New Roman Bold"/>
                <w:b/>
                <w:bCs/>
                <w:lang w:bidi="ar-EG"/>
              </w:rPr>
              <w:t>2012</w:t>
            </w:r>
            <w:r w:rsidRPr="00523A14">
              <w:rPr>
                <w:rFonts w:ascii="Times New Roman Bold" w:hAnsi="Times New Roman Bold" w:hint="cs"/>
                <w:b/>
                <w:bCs/>
                <w:rtl/>
                <w:lang w:bidi="ar-EG"/>
              </w:rPr>
              <w:t>)</w:t>
            </w:r>
          </w:p>
          <w:p w:rsidR="000C2FB2" w:rsidRPr="00523A14" w:rsidRDefault="000C2FB2" w:rsidP="009D513D">
            <w:pPr>
              <w:tabs>
                <w:tab w:val="left" w:pos="284"/>
                <w:tab w:val="left" w:pos="4111"/>
              </w:tabs>
              <w:spacing w:before="0" w:after="120"/>
              <w:ind w:left="57"/>
              <w:rPr>
                <w:rFonts w:ascii="Times New Roman Bold" w:hAnsi="Times New Roman Bold"/>
                <w:b/>
                <w:bCs/>
                <w:rtl/>
                <w:lang w:bidi="ar-SY"/>
              </w:rPr>
            </w:pPr>
            <w:r w:rsidRPr="00523A14">
              <w:rPr>
                <w:rFonts w:ascii="Times New Roman Bold" w:hAnsi="Times New Roman Bold" w:hint="cs"/>
                <w:b/>
                <w:bCs/>
                <w:rtl/>
                <w:lang w:bidi="ar-EG"/>
              </w:rPr>
              <w:t xml:space="preserve">جنيف، </w:t>
            </w:r>
            <w:r w:rsidR="00E3506C" w:rsidRPr="00523A14">
              <w:rPr>
                <w:rFonts w:ascii="Times New Roman Bold" w:hAnsi="Times New Roman Bold"/>
                <w:b/>
                <w:bCs/>
                <w:lang w:bidi="ar-EG"/>
              </w:rPr>
              <w:t>18</w:t>
            </w:r>
            <w:r w:rsidR="00E3506C" w:rsidRPr="00523A14">
              <w:rPr>
                <w:rFonts w:ascii="Times New Roman Bold" w:hAnsi="Times New Roman Bold" w:hint="cs"/>
                <w:b/>
                <w:bCs/>
                <w:rtl/>
                <w:lang w:bidi="ar-SY"/>
              </w:rPr>
              <w:t xml:space="preserve"> فبراير - </w:t>
            </w:r>
            <w:r w:rsidR="00E3506C" w:rsidRPr="00523A14">
              <w:rPr>
                <w:rFonts w:ascii="Times New Roman Bold" w:hAnsi="Times New Roman Bold"/>
                <w:b/>
                <w:bCs/>
                <w:lang w:bidi="ar-SY"/>
              </w:rPr>
              <w:t>1</w:t>
            </w:r>
            <w:r w:rsidR="00E3506C" w:rsidRPr="00523A14">
              <w:rPr>
                <w:rFonts w:ascii="Times New Roman Bold" w:hAnsi="Times New Roman Bold" w:hint="cs"/>
                <w:b/>
                <w:bCs/>
                <w:rtl/>
                <w:lang w:bidi="ar-SY"/>
              </w:rPr>
              <w:t xml:space="preserve"> مارس </w:t>
            </w:r>
            <w:r w:rsidR="00E3506C" w:rsidRPr="00523A14">
              <w:rPr>
                <w:rFonts w:ascii="Times New Roman Bold" w:hAnsi="Times New Roman Bold"/>
                <w:b/>
                <w:bCs/>
                <w:lang w:bidi="ar-SY"/>
              </w:rPr>
              <w:t>2013</w:t>
            </w:r>
          </w:p>
        </w:tc>
      </w:tr>
    </w:tbl>
    <w:p w:rsidR="00DC5505" w:rsidRPr="005F33FD" w:rsidRDefault="00DC5505" w:rsidP="00DC5505">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C5355E">
      <w:pPr>
        <w:tabs>
          <w:tab w:val="left" w:pos="2238"/>
        </w:tabs>
        <w:rPr>
          <w:rtl/>
        </w:rPr>
      </w:pPr>
      <w:r>
        <w:rPr>
          <w:rFonts w:hint="cs"/>
          <w:rtl/>
        </w:rPr>
        <w:t>تحية طيبة وبعد،</w:t>
      </w:r>
    </w:p>
    <w:p w:rsidR="00DC5505" w:rsidRDefault="00DC5505" w:rsidP="00141119">
      <w:pPr>
        <w:rPr>
          <w:rtl/>
          <w:lang w:bidi="ar-EG"/>
        </w:rPr>
      </w:pPr>
      <w:r w:rsidRPr="005F33FD">
        <w:t>1</w:t>
      </w:r>
      <w:r w:rsidRPr="005F33FD">
        <w:tab/>
      </w:r>
      <w:r>
        <w:rPr>
          <w:rFonts w:hint="cs"/>
          <w:rtl/>
        </w:rPr>
        <w:t>بناءً على طلب رئيس لجنة الدراسات</w:t>
      </w:r>
      <w:r w:rsidR="00523A14">
        <w:rPr>
          <w:rFonts w:hint="eastAsia"/>
          <w:rtl/>
        </w:rPr>
        <w:t> </w:t>
      </w:r>
      <w:r w:rsidR="00E3506C">
        <w:t>13</w:t>
      </w:r>
      <w:r>
        <w:rPr>
          <w:rFonts w:hint="cs"/>
          <w:rtl/>
          <w:lang w:bidi="ar-EG"/>
        </w:rPr>
        <w:t xml:space="preserve">، </w:t>
      </w:r>
      <w:r w:rsidR="00E3506C" w:rsidRPr="00B56A2C">
        <w:rPr>
          <w:rFonts w:hint="cs"/>
          <w:i/>
          <w:iCs/>
          <w:rtl/>
          <w:lang w:bidi="ar-EG"/>
        </w:rPr>
        <w:t xml:space="preserve">شبكات المستقبل بما فيها </w:t>
      </w:r>
      <w:r w:rsidR="00523A14" w:rsidRPr="00B56A2C">
        <w:rPr>
          <w:rFonts w:hint="cs"/>
          <w:i/>
          <w:iCs/>
          <w:rtl/>
          <w:lang w:bidi="ar-EG"/>
        </w:rPr>
        <w:t>الحوسبة السحابية و</w:t>
      </w:r>
      <w:r w:rsidR="00E3506C" w:rsidRPr="00B56A2C">
        <w:rPr>
          <w:rFonts w:hint="cs"/>
          <w:i/>
          <w:iCs/>
          <w:rtl/>
          <w:lang w:bidi="ar-EG"/>
        </w:rPr>
        <w:t>الشبكات المتنقلة وشبكات الجيل التالي</w:t>
      </w:r>
      <w:r w:rsidR="00E3506C">
        <w:rPr>
          <w:rFonts w:hint="cs"/>
          <w:rtl/>
          <w:lang w:bidi="ar-EG"/>
        </w:rPr>
        <w:t>،</w:t>
      </w:r>
      <w:r w:rsidR="00D0301A">
        <w:rPr>
          <w:rFonts w:hint="cs"/>
          <w:rtl/>
          <w:lang w:bidi="ar-EG"/>
        </w:rPr>
        <w:t xml:space="preserve"> أتشرف</w:t>
      </w:r>
      <w:r>
        <w:rPr>
          <w:rFonts w:hint="cs"/>
          <w:rtl/>
          <w:lang w:bidi="ar-EG"/>
        </w:rPr>
        <w:t xml:space="preserve"> بأن أُعلِمَكُم أن لجنة الدراسات هذه، التي ستجتمع من </w:t>
      </w:r>
      <w:r w:rsidR="00523A14">
        <w:rPr>
          <w:lang w:bidi="ar-EG"/>
        </w:rPr>
        <w:t>4</w:t>
      </w:r>
      <w:r w:rsidR="00E3506C">
        <w:rPr>
          <w:rFonts w:hint="cs"/>
          <w:rtl/>
          <w:lang w:bidi="ar-SY"/>
        </w:rPr>
        <w:t xml:space="preserve"> إلى </w:t>
      </w:r>
      <w:r w:rsidR="00523A14">
        <w:rPr>
          <w:lang w:bidi="ar-SY"/>
        </w:rPr>
        <w:t>15</w:t>
      </w:r>
      <w:r w:rsidR="00141119">
        <w:rPr>
          <w:rFonts w:hint="eastAsia"/>
          <w:rtl/>
          <w:lang w:bidi="ar-SY"/>
        </w:rPr>
        <w:t> </w:t>
      </w:r>
      <w:r w:rsidR="00523A14">
        <w:rPr>
          <w:rFonts w:hint="cs"/>
          <w:rtl/>
          <w:lang w:bidi="ar-SY"/>
        </w:rPr>
        <w:t>نوفمبر</w:t>
      </w:r>
      <w:r w:rsidR="00141119">
        <w:rPr>
          <w:rFonts w:hint="eastAsia"/>
          <w:rtl/>
          <w:lang w:bidi="ar-SY"/>
        </w:rPr>
        <w:t> </w:t>
      </w:r>
      <w:r w:rsidR="00E3506C">
        <w:rPr>
          <w:lang w:bidi="ar-SY"/>
        </w:rPr>
        <w:t>2013</w:t>
      </w:r>
      <w:r>
        <w:rPr>
          <w:rFonts w:hint="cs"/>
          <w:rtl/>
          <w:lang w:bidi="ar-EG"/>
        </w:rPr>
        <w:t>، تنوي تطبيق الإجراءات الموصوفة في القسم</w:t>
      </w:r>
      <w:r w:rsidR="00474AAB">
        <w:rPr>
          <w:rFonts w:hint="eastAsia"/>
          <w:rtl/>
          <w:lang w:bidi="ar-EG"/>
        </w:rPr>
        <w:t> </w:t>
      </w:r>
      <w:r>
        <w:rPr>
          <w:lang w:bidi="ar-EG"/>
        </w:rPr>
        <w:t>9</w:t>
      </w:r>
      <w:r>
        <w:rPr>
          <w:rFonts w:hint="cs"/>
          <w:rtl/>
          <w:lang w:bidi="ar-EG"/>
        </w:rPr>
        <w:t xml:space="preserve"> من القرار</w:t>
      </w:r>
      <w:r w:rsidR="00C5355E">
        <w:rPr>
          <w:rFonts w:hint="eastAsia"/>
          <w:rtl/>
          <w:lang w:bidi="ar-EG"/>
        </w:rPr>
        <w:t> </w:t>
      </w:r>
      <w:r>
        <w:rPr>
          <w:lang w:bidi="ar-EG"/>
        </w:rPr>
        <w:t>1</w:t>
      </w:r>
      <w:r>
        <w:rPr>
          <w:rFonts w:hint="cs"/>
          <w:rtl/>
          <w:lang w:bidi="ar-EG"/>
        </w:rPr>
        <w:t xml:space="preserve"> الصادر عن الجمعية العالمية لتقييس الاتصالات (</w:t>
      </w:r>
      <w:r w:rsidR="00141119">
        <w:rPr>
          <w:rFonts w:hint="cs"/>
          <w:rtl/>
          <w:lang w:bidi="ar-EG"/>
        </w:rPr>
        <w:t>دبي</w:t>
      </w:r>
      <w:r>
        <w:rPr>
          <w:rFonts w:hint="cs"/>
          <w:rtl/>
          <w:lang w:bidi="ar-EG"/>
        </w:rPr>
        <w:t>،</w:t>
      </w:r>
      <w:r w:rsidR="00523B5B">
        <w:rPr>
          <w:rFonts w:hint="eastAsia"/>
          <w:rtl/>
          <w:lang w:bidi="ar-EG"/>
        </w:rPr>
        <w:t> </w:t>
      </w:r>
      <w:r w:rsidR="00141119">
        <w:rPr>
          <w:lang w:bidi="ar-EG"/>
        </w:rPr>
        <w:t>2012</w:t>
      </w:r>
      <w:r>
        <w:rPr>
          <w:rFonts w:hint="cs"/>
          <w:rtl/>
          <w:lang w:bidi="ar-EG"/>
        </w:rPr>
        <w:t xml:space="preserve">) وذلك من أجل الموافقة على </w:t>
      </w:r>
      <w:r w:rsidR="00523A14">
        <w:rPr>
          <w:rFonts w:hint="cs"/>
          <w:rtl/>
          <w:lang w:bidi="ar-EG"/>
        </w:rPr>
        <w:t>مشروعي التوصيتين الجديدتين المذكورتين أعلاه</w:t>
      </w:r>
      <w:r>
        <w:rPr>
          <w:rFonts w:hint="cs"/>
          <w:rtl/>
          <w:lang w:bidi="ar-EG"/>
        </w:rPr>
        <w:t>.</w:t>
      </w:r>
    </w:p>
    <w:p w:rsidR="00DC5505" w:rsidRDefault="00DC5505" w:rsidP="00DF20A0">
      <w:pPr>
        <w:rPr>
          <w:rtl/>
          <w:lang w:bidi="ar-EG"/>
        </w:rPr>
      </w:pPr>
      <w:proofErr w:type="gramStart"/>
      <w:r>
        <w:rPr>
          <w:lang w:bidi="ar-EG"/>
        </w:rPr>
        <w:t>2</w:t>
      </w:r>
      <w:r>
        <w:rPr>
          <w:rFonts w:hint="cs"/>
          <w:rtl/>
          <w:lang w:bidi="ar-EG"/>
        </w:rPr>
        <w:tab/>
        <w:t xml:space="preserve">ويشتمل </w:t>
      </w:r>
      <w:r>
        <w:rPr>
          <w:rFonts w:hint="cs"/>
          <w:b/>
          <w:bCs/>
          <w:rtl/>
          <w:lang w:bidi="ar-EG"/>
        </w:rPr>
        <w:t>ال</w:t>
      </w:r>
      <w:r w:rsidR="00D21574">
        <w:rPr>
          <w:rFonts w:hint="cs"/>
          <w:b/>
          <w:bCs/>
          <w:rtl/>
          <w:lang w:bidi="ar-EG"/>
        </w:rPr>
        <w:t>‍</w:t>
      </w:r>
      <w:r>
        <w:rPr>
          <w:rFonts w:hint="cs"/>
          <w:b/>
          <w:bCs/>
          <w:rtl/>
          <w:lang w:bidi="ar-EG"/>
        </w:rPr>
        <w:t>ملحق</w:t>
      </w:r>
      <w:r w:rsidR="00274B47">
        <w:rPr>
          <w:rFonts w:hint="eastAsia"/>
          <w:b/>
          <w:bCs/>
          <w:rtl/>
          <w:lang w:bidi="ar-EG"/>
        </w:rPr>
        <w:t> </w:t>
      </w:r>
      <w:r>
        <w:rPr>
          <w:b/>
          <w:bCs/>
          <w:lang w:bidi="ar-EG"/>
        </w:rPr>
        <w:t>1</w:t>
      </w:r>
      <w:r>
        <w:rPr>
          <w:rFonts w:hint="cs"/>
          <w:rtl/>
          <w:lang w:bidi="ar-EG"/>
        </w:rPr>
        <w:t xml:space="preserve"> بهذه الرسالة على </w:t>
      </w:r>
      <w:r w:rsidR="00DF20A0">
        <w:rPr>
          <w:rFonts w:hint="cs"/>
          <w:rtl/>
          <w:lang w:bidi="ar-EG"/>
        </w:rPr>
        <w:t xml:space="preserve">ملخص مشروعي التوصيتين الجديدتين </w:t>
      </w:r>
      <w:r>
        <w:rPr>
          <w:rFonts w:hint="cs"/>
          <w:rtl/>
          <w:lang w:bidi="ar-EG"/>
        </w:rPr>
        <w:t xml:space="preserve">لقطاع تقييس الاتصالات المقترح الموافقة </w:t>
      </w:r>
      <w:r w:rsidR="00DF20A0">
        <w:rPr>
          <w:rFonts w:hint="cs"/>
          <w:rtl/>
          <w:lang w:bidi="ar-EG"/>
        </w:rPr>
        <w:t>عليهما وعلى عنوانيهما والوثيقتين الموجودتين فيهما</w:t>
      </w:r>
      <w:r>
        <w:rPr>
          <w:rFonts w:hint="cs"/>
          <w:rtl/>
          <w:lang w:bidi="ar-EG"/>
        </w:rPr>
        <w:t>.</w:t>
      </w:r>
      <w:proofErr w:type="gramEnd"/>
    </w:p>
    <w:p w:rsidR="00DC5505" w:rsidRPr="007266EC" w:rsidRDefault="00DC5505" w:rsidP="00141119">
      <w:pPr>
        <w:rPr>
          <w:spacing w:val="-2"/>
          <w:lang w:bidi="ar-EG"/>
        </w:rPr>
      </w:pPr>
      <w:r w:rsidRPr="007266EC">
        <w:rPr>
          <w:spacing w:val="-2"/>
          <w:lang w:bidi="ar-EG"/>
        </w:rPr>
        <w:t>3</w:t>
      </w:r>
      <w:r w:rsidRPr="007266EC">
        <w:rPr>
          <w:rFonts w:hint="cs"/>
          <w:spacing w:val="-2"/>
          <w:rtl/>
          <w:lang w:bidi="ar-EG"/>
        </w:rPr>
        <w:tab/>
        <w:t xml:space="preserve">يرجى من أي دولة عضو في الاتحاد أو عضو في القطاع أو منتسب إليه </w:t>
      </w:r>
      <w:r w:rsidR="00980D9A" w:rsidRPr="007266EC">
        <w:rPr>
          <w:rFonts w:hint="cs"/>
          <w:spacing w:val="-2"/>
          <w:rtl/>
          <w:lang w:bidi="ar-EG"/>
        </w:rPr>
        <w:t xml:space="preserve">أو </w:t>
      </w:r>
      <w:r w:rsidR="00C67A47" w:rsidRPr="007266EC">
        <w:rPr>
          <w:rFonts w:hint="cs"/>
          <w:spacing w:val="-2"/>
          <w:rtl/>
          <w:lang w:bidi="ar-EG"/>
        </w:rPr>
        <w:t>هيئة</w:t>
      </w:r>
      <w:r w:rsidR="00980D9A" w:rsidRPr="007266EC">
        <w:rPr>
          <w:rFonts w:hint="cs"/>
          <w:spacing w:val="-2"/>
          <w:rtl/>
          <w:lang w:bidi="ar-EG"/>
        </w:rPr>
        <w:t xml:space="preserve"> أكاديمية</w:t>
      </w:r>
      <w:r w:rsidR="00247D9B" w:rsidRPr="007266EC">
        <w:rPr>
          <w:rFonts w:hint="cs"/>
          <w:spacing w:val="-2"/>
          <w:rtl/>
          <w:lang w:bidi="ar-EG"/>
        </w:rPr>
        <w:t>،</w:t>
      </w:r>
      <w:r w:rsidR="00980D9A" w:rsidRPr="007266EC">
        <w:rPr>
          <w:rFonts w:hint="cs"/>
          <w:spacing w:val="-2"/>
          <w:rtl/>
          <w:lang w:bidi="ar-EG"/>
        </w:rPr>
        <w:t xml:space="preserve"> </w:t>
      </w:r>
      <w:r w:rsidR="00C67A47" w:rsidRPr="007266EC">
        <w:rPr>
          <w:rFonts w:hint="cs"/>
          <w:spacing w:val="-2"/>
          <w:rtl/>
          <w:lang w:bidi="ar-EG"/>
        </w:rPr>
        <w:t>ت</w:t>
      </w:r>
      <w:r w:rsidRPr="007266EC">
        <w:rPr>
          <w:rFonts w:hint="cs"/>
          <w:spacing w:val="-2"/>
          <w:rtl/>
          <w:lang w:bidi="ar-EG"/>
        </w:rPr>
        <w:t>علم بوجود براءة اختراع في</w:t>
      </w:r>
      <w:r w:rsidR="00F9110F" w:rsidRPr="007266EC">
        <w:rPr>
          <w:rFonts w:hint="eastAsia"/>
          <w:spacing w:val="-2"/>
          <w:rtl/>
          <w:lang w:bidi="ar-EG"/>
        </w:rPr>
        <w:t> </w:t>
      </w:r>
      <w:r w:rsidRPr="007266EC">
        <w:rPr>
          <w:rFonts w:hint="cs"/>
          <w:spacing w:val="-2"/>
          <w:rtl/>
          <w:lang w:bidi="ar-EG"/>
        </w:rPr>
        <w:t>حيازته</w:t>
      </w:r>
      <w:r w:rsidR="00C67A47" w:rsidRPr="007266EC">
        <w:rPr>
          <w:rFonts w:hint="cs"/>
          <w:spacing w:val="-2"/>
          <w:rtl/>
          <w:lang w:bidi="ar-EG"/>
        </w:rPr>
        <w:t>ا</w:t>
      </w:r>
      <w:r w:rsidRPr="007266EC">
        <w:rPr>
          <w:rFonts w:hint="cs"/>
          <w:spacing w:val="-2"/>
          <w:rtl/>
          <w:lang w:bidi="ar-EG"/>
        </w:rPr>
        <w:t xml:space="preserve"> أو في حيازة الغير من شأنها أن تشمل كلياً أو جزئياً عناصر من </w:t>
      </w:r>
      <w:r w:rsidR="00141119" w:rsidRPr="007266EC">
        <w:rPr>
          <w:rFonts w:hint="cs"/>
          <w:spacing w:val="-2"/>
          <w:rtl/>
          <w:lang w:bidi="ar-EG"/>
        </w:rPr>
        <w:t>مشروعي التوصيتين المقترح الموافقة عليهما</w:t>
      </w:r>
      <w:r w:rsidR="00C67A47" w:rsidRPr="007266EC">
        <w:rPr>
          <w:rFonts w:hint="cs"/>
          <w:spacing w:val="-2"/>
          <w:rtl/>
          <w:lang w:bidi="ar-EG"/>
        </w:rPr>
        <w:t>،</w:t>
      </w:r>
      <w:r w:rsidRPr="007266EC">
        <w:rPr>
          <w:rFonts w:hint="cs"/>
          <w:spacing w:val="-2"/>
          <w:rtl/>
          <w:lang w:bidi="ar-EG"/>
        </w:rPr>
        <w:t xml:space="preserve"> أن</w:t>
      </w:r>
      <w:r w:rsidR="00C67A47" w:rsidRPr="007266EC">
        <w:rPr>
          <w:rFonts w:hint="eastAsia"/>
          <w:spacing w:val="-2"/>
          <w:rtl/>
          <w:lang w:bidi="ar-EG"/>
        </w:rPr>
        <w:t> </w:t>
      </w:r>
      <w:r w:rsidR="00C67A47" w:rsidRPr="007266EC">
        <w:rPr>
          <w:rFonts w:hint="cs"/>
          <w:spacing w:val="-2"/>
          <w:rtl/>
          <w:lang w:bidi="ar-EG"/>
        </w:rPr>
        <w:t>ت</w:t>
      </w:r>
      <w:r w:rsidRPr="007266EC">
        <w:rPr>
          <w:rFonts w:hint="cs"/>
          <w:spacing w:val="-2"/>
          <w:rtl/>
          <w:lang w:bidi="ar-EG"/>
        </w:rPr>
        <w:t>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00B269E5" w:rsidRPr="007266EC">
        <w:rPr>
          <w:rFonts w:hint="eastAsia"/>
          <w:spacing w:val="-2"/>
          <w:rtl/>
          <w:lang w:bidi="ar-EG"/>
        </w:rPr>
        <w:t> </w:t>
      </w:r>
      <w:r w:rsidRPr="007266EC">
        <w:rPr>
          <w:spacing w:val="-2"/>
          <w:lang w:bidi="ar-EG"/>
        </w:rPr>
        <w:t>(ITU-T/ITU-R/ISO/IEC)</w:t>
      </w:r>
      <w:r w:rsidRPr="007266EC">
        <w:rPr>
          <w:rFonts w:hint="cs"/>
          <w:spacing w:val="-2"/>
          <w:rtl/>
          <w:lang w:bidi="ar-EG"/>
        </w:rPr>
        <w:t>.</w:t>
      </w:r>
    </w:p>
    <w:p w:rsidR="00DC5505" w:rsidRPr="006F493F" w:rsidRDefault="00DC5505" w:rsidP="00C5355E">
      <w:pPr>
        <w:rPr>
          <w:spacing w:val="-6"/>
          <w:rtl/>
          <w:lang w:bidi="ar-EG"/>
        </w:rPr>
      </w:pPr>
      <w:r w:rsidRPr="006F493F">
        <w:rPr>
          <w:rFonts w:hint="cs"/>
          <w:spacing w:val="-6"/>
          <w:rtl/>
          <w:lang w:bidi="ar-EG"/>
        </w:rPr>
        <w:t xml:space="preserve">ويمكن الاطلاع على معلومات براءات الاختراع المتاحة مباشرة على الخط في الموقع الإلكتروني للقطاع </w:t>
      </w:r>
      <w:r w:rsidR="00980D9A">
        <w:rPr>
          <w:spacing w:val="-6"/>
          <w:lang w:bidi="ar-EG"/>
        </w:rPr>
        <w:t>(</w:t>
      </w:r>
      <w:hyperlink r:id="rId11" w:history="1">
        <w:r w:rsidRPr="006F493F">
          <w:rPr>
            <w:rStyle w:val="Hyperlink"/>
            <w:spacing w:val="-6"/>
            <w:lang w:bidi="ar-EG"/>
          </w:rPr>
          <w:t>www.itu.int/ITU-T/ipr/</w:t>
        </w:r>
      </w:hyperlink>
      <w:r w:rsidR="00980D9A">
        <w:rPr>
          <w:spacing w:val="-6"/>
          <w:lang w:bidi="ar-EG"/>
        </w:rPr>
        <w:t>)</w:t>
      </w:r>
      <w:r w:rsidRPr="006F493F">
        <w:rPr>
          <w:rFonts w:hint="cs"/>
          <w:spacing w:val="-6"/>
          <w:rtl/>
          <w:lang w:bidi="ar-EG"/>
        </w:rPr>
        <w:t>.</w:t>
      </w:r>
    </w:p>
    <w:p w:rsidR="00DC5505" w:rsidRDefault="00DC5505" w:rsidP="0021143C">
      <w:pPr>
        <w:rPr>
          <w:rtl/>
          <w:lang w:bidi="ar-EG"/>
        </w:rPr>
      </w:pPr>
      <w:r>
        <w:rPr>
          <w:lang w:bidi="ar-EG"/>
        </w:rPr>
        <w:lastRenderedPageBreak/>
        <w:t>4</w:t>
      </w:r>
      <w:r>
        <w:rPr>
          <w:rFonts w:hint="cs"/>
          <w:rtl/>
          <w:lang w:bidi="ar-EG"/>
        </w:rPr>
        <w:tab/>
        <w:t>وتبعاً لأحكام القسم</w:t>
      </w:r>
      <w:r w:rsidR="00274B47">
        <w:rPr>
          <w:rFonts w:hint="eastAsia"/>
          <w:rtl/>
          <w:lang w:bidi="ar-EG"/>
        </w:rPr>
        <w:t> </w:t>
      </w:r>
      <w:r>
        <w:rPr>
          <w:lang w:bidi="ar-EG"/>
        </w:rPr>
        <w:t>9</w:t>
      </w:r>
      <w:r>
        <w:rPr>
          <w:rFonts w:hint="cs"/>
          <w:rtl/>
          <w:lang w:bidi="ar-EG"/>
        </w:rPr>
        <w:t xml:space="preserve"> من القرار</w:t>
      </w:r>
      <w:r w:rsidR="00274B47">
        <w:rPr>
          <w:rFonts w:hint="eastAsia"/>
          <w:rtl/>
          <w:lang w:bidi="ar-EG"/>
        </w:rPr>
        <w:t> </w:t>
      </w:r>
      <w:r>
        <w:rPr>
          <w:lang w:bidi="ar-EG"/>
        </w:rPr>
        <w:t>1</w:t>
      </w:r>
      <w:r>
        <w:rPr>
          <w:rFonts w:hint="cs"/>
          <w:rtl/>
          <w:lang w:bidi="ar-EG"/>
        </w:rPr>
        <w:t xml:space="preserve"> سأكون ممتناً لو تفضلتم بإعلامي في موعد أقصاه منتصف الليل بالتوقيت العالمي المنسَّق </w:t>
      </w:r>
      <w:r>
        <w:rPr>
          <w:rFonts w:hint="cs"/>
          <w:b/>
          <w:bCs/>
          <w:rtl/>
          <w:lang w:bidi="ar-EG"/>
        </w:rPr>
        <w:t xml:space="preserve">في </w:t>
      </w:r>
      <w:r w:rsidR="00DF20A0">
        <w:rPr>
          <w:b/>
          <w:bCs/>
          <w:lang w:bidi="ar-EG"/>
        </w:rPr>
        <w:t>23</w:t>
      </w:r>
      <w:r w:rsidR="00015D2D">
        <w:rPr>
          <w:rFonts w:hint="eastAsia"/>
          <w:b/>
          <w:bCs/>
          <w:rtl/>
          <w:lang w:bidi="ar-SY"/>
        </w:rPr>
        <w:t> </w:t>
      </w:r>
      <w:r w:rsidR="00DF20A0">
        <w:rPr>
          <w:rFonts w:hint="cs"/>
          <w:b/>
          <w:bCs/>
          <w:rtl/>
          <w:lang w:bidi="ar-SY"/>
        </w:rPr>
        <w:t>أكتوبر</w:t>
      </w:r>
      <w:r w:rsidR="00015D2D">
        <w:rPr>
          <w:rFonts w:hint="eastAsia"/>
          <w:b/>
          <w:bCs/>
          <w:rtl/>
          <w:lang w:bidi="ar-SY"/>
        </w:rPr>
        <w:t> </w:t>
      </w:r>
      <w:r w:rsidR="00F9110F">
        <w:rPr>
          <w:b/>
          <w:bCs/>
          <w:lang w:bidi="ar-SY"/>
        </w:rPr>
        <w:t>2013</w:t>
      </w:r>
      <w:r w:rsidR="00F9110F">
        <w:rPr>
          <w:rFonts w:hint="cs"/>
          <w:rtl/>
        </w:rPr>
        <w:t xml:space="preserve"> </w:t>
      </w:r>
      <w:r>
        <w:rPr>
          <w:rFonts w:hint="cs"/>
          <w:rtl/>
          <w:lang w:bidi="ar-EG"/>
        </w:rPr>
        <w:t>ما إذا كانت إدارتكم تفوِّض السلطة إلى لجنة الدراسات</w:t>
      </w:r>
      <w:r w:rsidR="00015D2D">
        <w:rPr>
          <w:rFonts w:hint="eastAsia"/>
          <w:rtl/>
          <w:lang w:bidi="ar-EG"/>
        </w:rPr>
        <w:t> </w:t>
      </w:r>
      <w:r w:rsidR="00F9110F">
        <w:rPr>
          <w:lang w:bidi="ar-EG"/>
        </w:rPr>
        <w:t>13</w:t>
      </w:r>
      <w:r w:rsidR="00F9110F">
        <w:rPr>
          <w:rFonts w:hint="cs"/>
          <w:rtl/>
          <w:lang w:bidi="ar-SY"/>
        </w:rPr>
        <w:t xml:space="preserve"> </w:t>
      </w:r>
      <w:r>
        <w:rPr>
          <w:rFonts w:hint="cs"/>
          <w:rtl/>
          <w:lang w:bidi="ar-EG"/>
        </w:rPr>
        <w:t>للنظر في</w:t>
      </w:r>
      <w:r w:rsidR="0021143C">
        <w:rPr>
          <w:rFonts w:hint="eastAsia"/>
          <w:rtl/>
          <w:lang w:bidi="ar-EG"/>
        </w:rPr>
        <w:t> </w:t>
      </w:r>
      <w:r w:rsidR="00015D2D">
        <w:rPr>
          <w:rFonts w:hint="cs"/>
          <w:rtl/>
          <w:lang w:bidi="ar-EG"/>
        </w:rPr>
        <w:t>مشروعي التوصيتين الجديدتين بغرض الموافقة عليهما</w:t>
      </w:r>
      <w:r>
        <w:rPr>
          <w:rFonts w:hint="cs"/>
          <w:rtl/>
          <w:lang w:bidi="ar-EG"/>
        </w:rPr>
        <w:t xml:space="preserve"> في اجتماع لجنة الدراسات.</w:t>
      </w:r>
    </w:p>
    <w:p w:rsidR="00DC5505" w:rsidRDefault="00DC5505" w:rsidP="00FB477E">
      <w:pPr>
        <w:rPr>
          <w:rtl/>
          <w:lang w:bidi="ar-EG"/>
        </w:rPr>
      </w:pPr>
      <w:r>
        <w:rPr>
          <w:rFonts w:hint="cs"/>
          <w:rtl/>
          <w:lang w:bidi="ar-EG"/>
        </w:rPr>
        <w:t xml:space="preserve">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w:t>
      </w:r>
      <w:r w:rsidR="00FB477E">
        <w:rPr>
          <w:rFonts w:hint="cs"/>
          <w:rtl/>
          <w:lang w:bidi="ar-EG"/>
        </w:rPr>
        <w:t>مشروعي التوصيتين الجديدتين</w:t>
      </w:r>
      <w:r w:rsidR="00F36104">
        <w:rPr>
          <w:rFonts w:hint="cs"/>
          <w:rtl/>
          <w:lang w:bidi="ar-EG"/>
        </w:rPr>
        <w:t>.</w:t>
      </w:r>
    </w:p>
    <w:p w:rsidR="00DC5505" w:rsidRPr="006D7BF3" w:rsidRDefault="00DC5505" w:rsidP="00FD7E2A">
      <w:pPr>
        <w:rPr>
          <w:spacing w:val="-2"/>
          <w:rtl/>
          <w:lang w:bidi="ar-EG"/>
        </w:rPr>
      </w:pPr>
      <w:proofErr w:type="gramStart"/>
      <w:r w:rsidRPr="006D7BF3">
        <w:rPr>
          <w:spacing w:val="-2"/>
          <w:lang w:bidi="ar-EG"/>
        </w:rPr>
        <w:t>5</w:t>
      </w:r>
      <w:r w:rsidRPr="006D7BF3">
        <w:rPr>
          <w:rFonts w:hint="cs"/>
          <w:spacing w:val="-2"/>
          <w:rtl/>
          <w:lang w:bidi="ar-EG"/>
        </w:rPr>
        <w:tab/>
        <w:t>فإذا كان</w:t>
      </w:r>
      <w:r w:rsidR="001B5908" w:rsidRPr="006D7BF3">
        <w:rPr>
          <w:rFonts w:hint="eastAsia"/>
          <w:spacing w:val="-2"/>
          <w:rtl/>
          <w:lang w:bidi="ar-EG"/>
        </w:rPr>
        <w:t> </w:t>
      </w:r>
      <w:r w:rsidRPr="006D7BF3">
        <w:rPr>
          <w:spacing w:val="-2"/>
          <w:lang w:bidi="ar-EG"/>
        </w:rPr>
        <w:t>70</w:t>
      </w:r>
      <w:r w:rsidRPr="006D7BF3">
        <w:rPr>
          <w:rFonts w:hint="cs"/>
          <w:spacing w:val="-2"/>
          <w:rtl/>
          <w:lang w:bidi="ar-EG"/>
        </w:rPr>
        <w:t xml:space="preserve"> في المائة أو أكثر من الردود الواردة من الدول الأعضاء تؤيد النظر في </w:t>
      </w:r>
      <w:r w:rsidR="00FD7E2A">
        <w:rPr>
          <w:rFonts w:hint="cs"/>
          <w:spacing w:val="-2"/>
          <w:rtl/>
          <w:lang w:bidi="ar-EG"/>
        </w:rPr>
        <w:t>مشروعي التوصيتين الجديدتين</w:t>
      </w:r>
      <w:r w:rsidRPr="006D7BF3">
        <w:rPr>
          <w:rFonts w:hint="cs"/>
          <w:spacing w:val="-2"/>
          <w:rtl/>
          <w:lang w:bidi="ar-EG"/>
        </w:rPr>
        <w:t xml:space="preserve"> بغرض الموافقة عليه</w:t>
      </w:r>
      <w:r w:rsidR="00FD7E2A">
        <w:rPr>
          <w:rFonts w:hint="cs"/>
          <w:spacing w:val="-2"/>
          <w:rtl/>
          <w:lang w:bidi="ar-EG"/>
        </w:rPr>
        <w:t>م</w:t>
      </w:r>
      <w:r w:rsidRPr="006D7BF3">
        <w:rPr>
          <w:rFonts w:hint="cs"/>
          <w:spacing w:val="-2"/>
          <w:rtl/>
          <w:lang w:bidi="ar-EG"/>
        </w:rPr>
        <w:t>ا في اجتماع لجنة الدراسات، عندئذ سوف تُكرَّس جلسة عامة</w:t>
      </w:r>
      <w:r w:rsidR="00F36104" w:rsidRPr="006D7BF3">
        <w:rPr>
          <w:rFonts w:hint="cs"/>
          <w:spacing w:val="-2"/>
          <w:rtl/>
          <w:lang w:bidi="ar-EG"/>
        </w:rPr>
        <w:t xml:space="preserve"> </w:t>
      </w:r>
      <w:r w:rsidRPr="006D7BF3">
        <w:rPr>
          <w:rFonts w:hint="cs"/>
          <w:b/>
          <w:bCs/>
          <w:spacing w:val="-2"/>
          <w:rtl/>
          <w:lang w:bidi="ar-EG"/>
        </w:rPr>
        <w:t xml:space="preserve">في </w:t>
      </w:r>
      <w:r w:rsidR="00DF20A0">
        <w:rPr>
          <w:b/>
          <w:bCs/>
          <w:spacing w:val="-2"/>
          <w:lang w:bidi="ar-EG"/>
        </w:rPr>
        <w:t>15</w:t>
      </w:r>
      <w:r w:rsidR="00FD7E2A">
        <w:rPr>
          <w:rFonts w:hint="eastAsia"/>
          <w:b/>
          <w:bCs/>
          <w:spacing w:val="-2"/>
          <w:rtl/>
          <w:lang w:bidi="ar-SY"/>
        </w:rPr>
        <w:t> </w:t>
      </w:r>
      <w:r w:rsidR="00DF20A0">
        <w:rPr>
          <w:rFonts w:hint="cs"/>
          <w:b/>
          <w:bCs/>
          <w:spacing w:val="-2"/>
          <w:rtl/>
          <w:lang w:bidi="ar-SY"/>
        </w:rPr>
        <w:t>نوفمبر</w:t>
      </w:r>
      <w:r w:rsidR="00FD7E2A">
        <w:rPr>
          <w:rFonts w:hint="eastAsia"/>
          <w:b/>
          <w:bCs/>
          <w:spacing w:val="-2"/>
          <w:rtl/>
          <w:lang w:bidi="ar-SY"/>
        </w:rPr>
        <w:t> </w:t>
      </w:r>
      <w:r w:rsidR="00F36104" w:rsidRPr="006D7BF3">
        <w:rPr>
          <w:b/>
          <w:bCs/>
          <w:spacing w:val="-2"/>
          <w:lang w:bidi="ar-SY"/>
        </w:rPr>
        <w:t>2013</w:t>
      </w:r>
      <w:r w:rsidR="00F36104" w:rsidRPr="006D7BF3">
        <w:rPr>
          <w:rFonts w:hint="cs"/>
          <w:b/>
          <w:bCs/>
          <w:spacing w:val="-2"/>
          <w:rtl/>
          <w:lang w:bidi="ar-SY"/>
        </w:rPr>
        <w:t xml:space="preserve"> </w:t>
      </w:r>
      <w:r w:rsidR="00553E94">
        <w:rPr>
          <w:rFonts w:hint="cs"/>
          <w:spacing w:val="-2"/>
          <w:rtl/>
          <w:lang w:bidi="ar-EG"/>
        </w:rPr>
        <w:t>لتطبيق إجراء</w:t>
      </w:r>
      <w:r w:rsidRPr="006D7BF3">
        <w:rPr>
          <w:rFonts w:hint="cs"/>
          <w:spacing w:val="-2"/>
          <w:rtl/>
          <w:lang w:bidi="ar-EG"/>
        </w:rPr>
        <w:t xml:space="preserve"> الموافقة.</w:t>
      </w:r>
      <w:proofErr w:type="gramEnd"/>
    </w:p>
    <w:p w:rsidR="00DC5505" w:rsidRPr="00F11BC4" w:rsidRDefault="00DC5505" w:rsidP="00274B47">
      <w:pPr>
        <w:rPr>
          <w:spacing w:val="2"/>
          <w:rtl/>
          <w:lang w:bidi="ar-EG"/>
        </w:rPr>
      </w:pPr>
      <w:r w:rsidRPr="00F11BC4">
        <w:rPr>
          <w:rFonts w:hint="cs"/>
          <w:spacing w:val="2"/>
          <w:rtl/>
          <w:lang w:bidi="ar-EG"/>
        </w:rPr>
        <w:t xml:space="preserve">ولذلك فإنني أدعو إدارتكم إلى </w:t>
      </w:r>
      <w:r>
        <w:rPr>
          <w:rFonts w:hint="cs"/>
          <w:spacing w:val="2"/>
          <w:rtl/>
          <w:lang w:bidi="ar-EG"/>
        </w:rPr>
        <w:t>إيفاد</w:t>
      </w:r>
      <w:r w:rsidRPr="00F11BC4">
        <w:rPr>
          <w:rFonts w:hint="cs"/>
          <w:spacing w:val="2"/>
          <w:rtl/>
          <w:lang w:bidi="ar-EG"/>
        </w:rPr>
        <w:t xml:space="preserve"> ممثل إلى الاجتماع. </w:t>
      </w:r>
      <w:r w:rsidRPr="00F11BC4">
        <w:rPr>
          <w:rFonts w:hint="cs"/>
          <w:b/>
          <w:bCs/>
          <w:spacing w:val="2"/>
          <w:rtl/>
          <w:lang w:bidi="ar-EG"/>
        </w:rPr>
        <w:t>ويرجى من إدارات الدول الأعضاء في الاتحاد</w:t>
      </w:r>
      <w:r w:rsidRPr="00F11BC4">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w:t>
      </w:r>
      <w:r>
        <w:rPr>
          <w:rFonts w:hint="cs"/>
          <w:spacing w:val="2"/>
          <w:rtl/>
          <w:lang w:bidi="ar-EG"/>
        </w:rPr>
        <w:t>،</w:t>
      </w:r>
      <w:r w:rsidRPr="00F11BC4">
        <w:rPr>
          <w:rFonts w:hint="cs"/>
          <w:spacing w:val="2"/>
          <w:rtl/>
          <w:lang w:bidi="ar-EG"/>
        </w:rPr>
        <w:t xml:space="preserve"> </w:t>
      </w:r>
      <w:r>
        <w:rPr>
          <w:rFonts w:hint="cs"/>
          <w:spacing w:val="2"/>
          <w:rtl/>
          <w:lang w:bidi="ar-EG"/>
        </w:rPr>
        <w:t>ينبغي</w:t>
      </w:r>
      <w:r w:rsidRPr="00F11BC4">
        <w:rPr>
          <w:rFonts w:hint="cs"/>
          <w:spacing w:val="2"/>
          <w:rtl/>
          <w:lang w:bidi="ar-EG"/>
        </w:rPr>
        <w:t xml:space="preserve"> إبلاغ </w:t>
      </w:r>
      <w:r>
        <w:rPr>
          <w:rFonts w:hint="cs"/>
          <w:spacing w:val="2"/>
          <w:rtl/>
          <w:lang w:bidi="ar-EG"/>
        </w:rPr>
        <w:t>المدير</w:t>
      </w:r>
      <w:r w:rsidRPr="00F11BC4">
        <w:rPr>
          <w:rFonts w:hint="cs"/>
          <w:spacing w:val="2"/>
          <w:rtl/>
          <w:lang w:bidi="ar-EG"/>
        </w:rPr>
        <w:t xml:space="preserve"> بذلك طبقاً لأحكام الرقم</w:t>
      </w:r>
      <w:r w:rsidR="00274B47">
        <w:rPr>
          <w:rFonts w:hint="eastAsia"/>
          <w:spacing w:val="2"/>
          <w:rtl/>
          <w:lang w:bidi="ar-EG"/>
        </w:rPr>
        <w:t> </w:t>
      </w:r>
      <w:r w:rsidRPr="00F11BC4">
        <w:rPr>
          <w:spacing w:val="2"/>
          <w:lang w:bidi="ar-EG"/>
        </w:rPr>
        <w:t>239</w:t>
      </w:r>
      <w:r w:rsidRPr="00F11BC4">
        <w:rPr>
          <w:rFonts w:hint="cs"/>
          <w:spacing w:val="2"/>
          <w:rtl/>
          <w:lang w:bidi="ar-EG"/>
        </w:rPr>
        <w:t xml:space="preserve"> من المادة</w:t>
      </w:r>
      <w:r w:rsidR="00274B47">
        <w:rPr>
          <w:rFonts w:hint="eastAsia"/>
          <w:spacing w:val="2"/>
          <w:rtl/>
          <w:lang w:bidi="ar-EG"/>
        </w:rPr>
        <w:t> </w:t>
      </w:r>
      <w:r w:rsidRPr="00F11BC4">
        <w:rPr>
          <w:spacing w:val="2"/>
          <w:lang w:bidi="ar-EG"/>
        </w:rPr>
        <w:t>19</w:t>
      </w:r>
      <w:r w:rsidRPr="00F11BC4">
        <w:rPr>
          <w:rFonts w:hint="cs"/>
          <w:spacing w:val="2"/>
          <w:rtl/>
          <w:lang w:bidi="ar-EG"/>
        </w:rPr>
        <w:t xml:space="preserve"> من اتفاقية الاتحاد.</w:t>
      </w:r>
    </w:p>
    <w:p w:rsidR="00DC5505" w:rsidRDefault="00DC5505" w:rsidP="00FD7E2A">
      <w:pPr>
        <w:rPr>
          <w:rtl/>
          <w:lang w:bidi="ar-SY"/>
        </w:rPr>
      </w:pPr>
      <w:proofErr w:type="gramStart"/>
      <w:r>
        <w:rPr>
          <w:lang w:bidi="ar-EG"/>
        </w:rPr>
        <w:t>6</w:t>
      </w:r>
      <w:r>
        <w:rPr>
          <w:rFonts w:hint="cs"/>
          <w:rtl/>
          <w:lang w:bidi="ar-EG"/>
        </w:rPr>
        <w:tab/>
        <w:t>ويمكن الاطلاع على جدول الأعمال وجميع المعلومات ذات الصلة فيما يتعلق باجتماع لجنة الدراسات</w:t>
      </w:r>
      <w:r w:rsidR="00FD7E2A">
        <w:rPr>
          <w:rFonts w:hint="eastAsia"/>
          <w:rtl/>
          <w:lang w:bidi="ar-EG"/>
        </w:rPr>
        <w:t> </w:t>
      </w:r>
      <w:r w:rsidR="00E5478D">
        <w:rPr>
          <w:lang w:bidi="ar-EG"/>
        </w:rPr>
        <w:t>13</w:t>
      </w:r>
      <w:r w:rsidR="00E5478D">
        <w:rPr>
          <w:rFonts w:hint="cs"/>
          <w:rtl/>
          <w:lang w:bidi="ar-EG"/>
        </w:rPr>
        <w:t xml:space="preserve"> </w:t>
      </w:r>
      <w:r>
        <w:rPr>
          <w:rFonts w:hint="cs"/>
          <w:rtl/>
          <w:lang w:bidi="ar-EG"/>
        </w:rPr>
        <w:t>في</w:t>
      </w:r>
      <w:r w:rsidR="00E5478D">
        <w:rPr>
          <w:rFonts w:hint="eastAsia"/>
          <w:rtl/>
          <w:lang w:bidi="ar-EG"/>
        </w:rPr>
        <w:t> </w:t>
      </w:r>
      <w:r>
        <w:rPr>
          <w:rFonts w:hint="cs"/>
          <w:rtl/>
          <w:lang w:bidi="ar-EG"/>
        </w:rPr>
        <w:t>الرسالة الجماعية</w:t>
      </w:r>
      <w:r w:rsidR="00B56A2C">
        <w:rPr>
          <w:rFonts w:hint="eastAsia"/>
          <w:rtl/>
          <w:lang w:bidi="ar-EG"/>
        </w:rPr>
        <w:t> </w:t>
      </w:r>
      <w:r w:rsidR="00DF20A0">
        <w:rPr>
          <w:lang w:bidi="ar-EG"/>
        </w:rPr>
        <w:t>3/13</w:t>
      </w:r>
      <w:r w:rsidR="00E5478D">
        <w:rPr>
          <w:rFonts w:hint="cs"/>
          <w:rtl/>
          <w:lang w:bidi="ar-SY"/>
        </w:rPr>
        <w:t>.</w:t>
      </w:r>
      <w:proofErr w:type="gramEnd"/>
    </w:p>
    <w:p w:rsidR="00DC5505" w:rsidRPr="004579B5" w:rsidRDefault="00DC5505" w:rsidP="006F0512">
      <w:pPr>
        <w:rPr>
          <w:rtl/>
          <w:lang w:bidi="ar-EG"/>
        </w:rPr>
      </w:pPr>
      <w:proofErr w:type="gramStart"/>
      <w:r>
        <w:rPr>
          <w:lang w:bidi="ar-EG"/>
        </w:rPr>
        <w:t>7</w:t>
      </w:r>
      <w:r>
        <w:rPr>
          <w:rFonts w:hint="cs"/>
          <w:rtl/>
          <w:lang w:bidi="ar-EG"/>
        </w:rPr>
        <w:tab/>
        <w:t xml:space="preserve">وفي أعقاب الاجتماع سوف يعلن مدير مكتب تقييس الاتصالات، في رسالة معممة، عن القرار المُتَخّذ بشأن </w:t>
      </w:r>
      <w:r w:rsidR="006F0512">
        <w:rPr>
          <w:rFonts w:hint="cs"/>
          <w:rtl/>
          <w:lang w:bidi="ar-EG"/>
        </w:rPr>
        <w:t>هاتين التوصيتين</w:t>
      </w:r>
      <w:r>
        <w:rPr>
          <w:rFonts w:hint="cs"/>
          <w:rtl/>
          <w:lang w:bidi="ar-EG"/>
        </w:rPr>
        <w:t>.</w:t>
      </w:r>
      <w:proofErr w:type="gramEnd"/>
      <w:r>
        <w:rPr>
          <w:rFonts w:hint="cs"/>
          <w:rtl/>
          <w:lang w:bidi="ar-EG"/>
        </w:rPr>
        <w:t xml:space="preserve"> ولسوف تُنشر هذه المعلومات أيضاً في النشرة التشغيلية للاتحاد.</w:t>
      </w:r>
    </w:p>
    <w:p w:rsidR="00DC5505" w:rsidRPr="005F33FD" w:rsidRDefault="00DC5505" w:rsidP="00C5355E">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DC5505" w:rsidRDefault="00DC5505" w:rsidP="00C5355E">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DC5505" w:rsidRDefault="00DC5505" w:rsidP="00C5355E">
      <w:pPr>
        <w:tabs>
          <w:tab w:val="left" w:pos="1173"/>
        </w:tabs>
        <w:spacing w:before="1320"/>
        <w:ind w:left="1174" w:hanging="1174"/>
        <w:jc w:val="left"/>
        <w:rPr>
          <w:rtl/>
          <w:lang w:bidi="ar-EG"/>
        </w:rPr>
      </w:pPr>
      <w:r>
        <w:rPr>
          <w:rFonts w:hint="cs"/>
          <w:b/>
          <w:bCs/>
          <w:rtl/>
          <w:lang w:bidi="ar-EG"/>
        </w:rPr>
        <w:t>الملحقات:</w:t>
      </w:r>
      <w:r w:rsidR="008C4385">
        <w:rPr>
          <w:rFonts w:hint="cs"/>
          <w:rtl/>
          <w:lang w:bidi="ar-EG"/>
        </w:rPr>
        <w:t xml:space="preserve"> </w:t>
      </w:r>
      <w:r w:rsidR="001F66AB">
        <w:rPr>
          <w:lang w:bidi="ar-EG"/>
        </w:rPr>
        <w:t>1</w:t>
      </w:r>
    </w:p>
    <w:p w:rsidR="00BD77B9" w:rsidRDefault="00BD77B9" w:rsidP="00BD77B9">
      <w:pPr>
        <w:rPr>
          <w:rtl/>
          <w:lang w:bidi="ar-EG"/>
        </w:rPr>
      </w:pPr>
      <w:r>
        <w:rPr>
          <w:rtl/>
          <w:lang w:bidi="ar-SY"/>
        </w:rPr>
        <w:br w:type="page"/>
      </w:r>
    </w:p>
    <w:p w:rsidR="00BD77B9" w:rsidRPr="0011441F" w:rsidRDefault="0011441F" w:rsidP="0011441F">
      <w:pPr>
        <w:jc w:val="center"/>
        <w:rPr>
          <w:rStyle w:val="AnnexNotitleChar"/>
          <w:rFonts w:ascii="Times New Roman" w:hAnsi="Times New Roman"/>
          <w:b w:val="0"/>
          <w:bCs w:val="0"/>
          <w:rtl/>
        </w:rPr>
      </w:pPr>
      <w:r w:rsidRPr="0011441F">
        <w:rPr>
          <w:rStyle w:val="AnnexNotitleChar"/>
          <w:rFonts w:ascii="Times New Roman" w:hAnsi="Times New Roman" w:hint="cs"/>
          <w:b w:val="0"/>
          <w:bCs w:val="0"/>
          <w:rtl/>
        </w:rPr>
        <w:lastRenderedPageBreak/>
        <w:t>ال</w:t>
      </w:r>
      <w:r w:rsidR="001F3985">
        <w:rPr>
          <w:rStyle w:val="AnnexNotitleChar"/>
          <w:rFonts w:ascii="Times New Roman" w:hAnsi="Times New Roman" w:hint="cs"/>
          <w:b w:val="0"/>
          <w:bCs w:val="0"/>
          <w:rtl/>
        </w:rPr>
        <w:t>‍</w:t>
      </w:r>
      <w:r w:rsidRPr="0011441F">
        <w:rPr>
          <w:rStyle w:val="AnnexNotitleChar"/>
          <w:rFonts w:ascii="Times New Roman" w:hAnsi="Times New Roman" w:hint="cs"/>
          <w:b w:val="0"/>
          <w:bCs w:val="0"/>
          <w:rtl/>
        </w:rPr>
        <w:t xml:space="preserve">ملحـق </w:t>
      </w:r>
      <w:r w:rsidRPr="0011441F">
        <w:rPr>
          <w:rStyle w:val="AnnexNotitleChar"/>
          <w:rFonts w:ascii="Times New Roman" w:hAnsi="Times New Roman"/>
          <w:b w:val="0"/>
          <w:bCs w:val="0"/>
        </w:rPr>
        <w:t>1</w:t>
      </w:r>
    </w:p>
    <w:p w:rsidR="0011441F" w:rsidRDefault="0011441F" w:rsidP="001F3985">
      <w:pPr>
        <w:spacing w:before="0"/>
        <w:jc w:val="center"/>
        <w:rPr>
          <w:rtl/>
          <w:lang w:bidi="ar-SY"/>
        </w:rPr>
      </w:pPr>
      <w:r>
        <w:rPr>
          <w:rFonts w:hint="cs"/>
          <w:rtl/>
          <w:lang w:bidi="ar-SY"/>
        </w:rPr>
        <w:t xml:space="preserve">(بالرسالة المعممة </w:t>
      </w:r>
      <w:r w:rsidR="00B56A2C">
        <w:rPr>
          <w:lang w:bidi="ar-SY"/>
        </w:rPr>
        <w:t>21</w:t>
      </w:r>
      <w:r>
        <w:rPr>
          <w:rFonts w:hint="cs"/>
          <w:rtl/>
          <w:lang w:bidi="ar-SY"/>
        </w:rPr>
        <w:t xml:space="preserve"> لمكتب تقييس الاتصالات)</w:t>
      </w:r>
    </w:p>
    <w:p w:rsidR="0011441F" w:rsidRPr="0011441F" w:rsidRDefault="00B56A2C" w:rsidP="0011441F">
      <w:pPr>
        <w:spacing w:before="240" w:after="120"/>
        <w:jc w:val="center"/>
        <w:rPr>
          <w:rStyle w:val="AnnexNotitleChar"/>
          <w:rtl/>
        </w:rPr>
      </w:pPr>
      <w:r>
        <w:rPr>
          <w:rStyle w:val="AnnexNotitleChar"/>
          <w:rFonts w:hint="cs"/>
          <w:rtl/>
        </w:rPr>
        <w:t>ملخص نصي التوصيتين والوثيقتان الواردتان بهما</w:t>
      </w:r>
    </w:p>
    <w:p w:rsidR="0011441F" w:rsidRDefault="0011441F" w:rsidP="00886A97">
      <w:pPr>
        <w:pStyle w:val="Heading1"/>
        <w:jc w:val="left"/>
        <w:rPr>
          <w:rtl/>
          <w:lang w:bidi="ar-SY"/>
        </w:rPr>
      </w:pPr>
      <w:r>
        <w:rPr>
          <w:rFonts w:hint="cs"/>
          <w:rtl/>
          <w:lang w:bidi="ar-SY"/>
        </w:rPr>
        <w:t xml:space="preserve">مشروع التوصية الجديدة </w:t>
      </w:r>
      <w:r w:rsidR="00B56A2C" w:rsidRPr="00B56A2C">
        <w:rPr>
          <w:lang w:val="en-GB" w:bidi="ar-SY"/>
        </w:rPr>
        <w:t>ITU-T Y.2723</w:t>
      </w:r>
      <w:r w:rsidR="008E187D">
        <w:rPr>
          <w:rFonts w:hint="cs"/>
          <w:rtl/>
          <w:lang w:val="en-GB" w:bidi="ar-SY"/>
        </w:rPr>
        <w:t xml:space="preserve"> </w:t>
      </w:r>
      <w:r w:rsidR="00B56A2C" w:rsidRPr="00B56A2C">
        <w:rPr>
          <w:lang w:val="en-GB" w:bidi="ar-SY"/>
        </w:rPr>
        <w:t>(Y.NGN-</w:t>
      </w:r>
      <w:proofErr w:type="spellStart"/>
      <w:r w:rsidR="00B56A2C" w:rsidRPr="00B56A2C">
        <w:rPr>
          <w:lang w:val="en-GB" w:bidi="ar-SY"/>
        </w:rPr>
        <w:t>OAuth</w:t>
      </w:r>
      <w:proofErr w:type="spellEnd"/>
      <w:r w:rsidR="00B56A2C" w:rsidRPr="00B56A2C">
        <w:rPr>
          <w:lang w:val="en-GB" w:bidi="ar-SY"/>
        </w:rPr>
        <w:t>)</w:t>
      </w:r>
      <w:r>
        <w:rPr>
          <w:rtl/>
          <w:lang w:bidi="ar-SY"/>
        </w:rPr>
        <w:br/>
      </w:r>
      <w:r w:rsidR="008E187D">
        <w:rPr>
          <w:rFonts w:hint="cs"/>
          <w:rtl/>
          <w:lang w:bidi="ar-SY"/>
        </w:rPr>
        <w:t xml:space="preserve">(الوثيقة </w:t>
      </w:r>
      <w:r w:rsidR="00B56A2C" w:rsidRPr="00B56A2C">
        <w:rPr>
          <w:lang w:bidi="ar-SY"/>
        </w:rPr>
        <w:t>COM</w:t>
      </w:r>
      <w:r w:rsidR="00886A97">
        <w:rPr>
          <w:lang w:bidi="ar-SY"/>
        </w:rPr>
        <w:t> </w:t>
      </w:r>
      <w:r w:rsidR="00B56A2C" w:rsidRPr="00B56A2C">
        <w:rPr>
          <w:lang w:bidi="ar-SY"/>
        </w:rPr>
        <w:t>13-R</w:t>
      </w:r>
      <w:r w:rsidR="00886A97">
        <w:rPr>
          <w:lang w:bidi="ar-SY"/>
        </w:rPr>
        <w:t> </w:t>
      </w:r>
      <w:r w:rsidR="00B56A2C" w:rsidRPr="00B56A2C">
        <w:rPr>
          <w:lang w:bidi="ar-SY"/>
        </w:rPr>
        <w:t>4</w:t>
      </w:r>
      <w:r w:rsidR="008E187D">
        <w:rPr>
          <w:rFonts w:hint="cs"/>
          <w:rtl/>
          <w:lang w:bidi="ar-SY"/>
        </w:rPr>
        <w:t>)</w:t>
      </w:r>
    </w:p>
    <w:p w:rsidR="00B56A2C" w:rsidRDefault="00B56A2C" w:rsidP="001F3985">
      <w:pPr>
        <w:pStyle w:val="Rectitle"/>
      </w:pPr>
      <w:r>
        <w:rPr>
          <w:rFonts w:hint="cs"/>
          <w:rtl/>
        </w:rPr>
        <w:t xml:space="preserve">دعم معيار التخويل المفتوح </w:t>
      </w:r>
      <w:r>
        <w:t>(</w:t>
      </w:r>
      <w:proofErr w:type="spellStart"/>
      <w:r>
        <w:t>OAuth</w:t>
      </w:r>
      <w:proofErr w:type="spellEnd"/>
      <w:r>
        <w:t>)</w:t>
      </w:r>
      <w:r>
        <w:rPr>
          <w:rFonts w:hint="cs"/>
          <w:rtl/>
        </w:rPr>
        <w:t xml:space="preserve"> في شبكات الجيل التالي</w:t>
      </w:r>
    </w:p>
    <w:p w:rsidR="0011441F" w:rsidRPr="0091075D" w:rsidRDefault="0011441F" w:rsidP="0091075D">
      <w:pPr>
        <w:pStyle w:val="Headingb"/>
        <w:rPr>
          <w:rtl/>
          <w:lang w:bidi="ar-SY"/>
        </w:rPr>
      </w:pPr>
      <w:r w:rsidRPr="0091075D">
        <w:rPr>
          <w:rFonts w:hint="cs"/>
          <w:rtl/>
          <w:lang w:bidi="ar-SY"/>
        </w:rPr>
        <w:t>ملخص</w:t>
      </w:r>
    </w:p>
    <w:p w:rsidR="0011441F" w:rsidRDefault="00B56A2C" w:rsidP="0027645C">
      <w:pPr>
        <w:rPr>
          <w:spacing w:val="-2"/>
          <w:rtl/>
          <w:lang w:bidi="ar-SY"/>
        </w:rPr>
      </w:pPr>
      <w:r>
        <w:rPr>
          <w:rFonts w:hint="cs"/>
          <w:spacing w:val="-2"/>
          <w:rtl/>
          <w:lang w:bidi="ar-SY"/>
        </w:rPr>
        <w:t xml:space="preserve">تحدد هذه التوصية آليات وإجراءات </w:t>
      </w:r>
      <w:r w:rsidRPr="00817F54">
        <w:rPr>
          <w:rFonts w:hint="cs"/>
          <w:i/>
          <w:iCs/>
          <w:spacing w:val="-2"/>
          <w:rtl/>
          <w:lang w:bidi="ar-SY"/>
        </w:rPr>
        <w:t>استخدام الإصدار الثاني من المعيار</w:t>
      </w:r>
      <w:r>
        <w:rPr>
          <w:rFonts w:hint="cs"/>
          <w:spacing w:val="-2"/>
          <w:rtl/>
          <w:lang w:bidi="ar-SY"/>
        </w:rPr>
        <w:t xml:space="preserve"> </w:t>
      </w:r>
      <w:proofErr w:type="spellStart"/>
      <w:r w:rsidRPr="00817F54">
        <w:rPr>
          <w:i/>
          <w:iCs/>
          <w:spacing w:val="-2"/>
          <w:lang w:bidi="ar-SY"/>
        </w:rPr>
        <w:t>OAuth</w:t>
      </w:r>
      <w:proofErr w:type="spellEnd"/>
      <w:r>
        <w:rPr>
          <w:rFonts w:hint="cs"/>
          <w:spacing w:val="-2"/>
          <w:rtl/>
          <w:lang w:bidi="ar-SY"/>
        </w:rPr>
        <w:t>، إطار التخويل</w:t>
      </w:r>
      <w:r w:rsidR="0027645C">
        <w:rPr>
          <w:rFonts w:hint="eastAsia"/>
          <w:spacing w:val="-2"/>
          <w:rtl/>
          <w:lang w:bidi="ar-SY"/>
        </w:rPr>
        <w:t> </w:t>
      </w:r>
      <w:r w:rsidRPr="00817F54">
        <w:rPr>
          <w:i/>
          <w:iCs/>
          <w:spacing w:val="-2"/>
          <w:lang w:bidi="ar-SY"/>
        </w:rPr>
        <w:t>(</w:t>
      </w:r>
      <w:proofErr w:type="spellStart"/>
      <w:r w:rsidRPr="00817F54">
        <w:rPr>
          <w:i/>
          <w:iCs/>
          <w:spacing w:val="-2"/>
          <w:lang w:bidi="ar-SY"/>
        </w:rPr>
        <w:t>OAuth</w:t>
      </w:r>
      <w:proofErr w:type="spellEnd"/>
      <w:r w:rsidRPr="00817F54">
        <w:rPr>
          <w:i/>
          <w:iCs/>
          <w:spacing w:val="-2"/>
          <w:lang w:bidi="ar-SY"/>
        </w:rPr>
        <w:t>)</w:t>
      </w:r>
      <w:r>
        <w:rPr>
          <w:rFonts w:hint="cs"/>
          <w:spacing w:val="-2"/>
          <w:rtl/>
          <w:lang w:bidi="ar-SY"/>
        </w:rPr>
        <w:t xml:space="preserve"> المعرف من جانب فريق مهام هندسة الإنترنت في السيناريوهات التي يقوم فيها مورد شبكات الجيل التالي بدور مخدم التخويل</w:t>
      </w:r>
      <w:r w:rsidR="0027645C">
        <w:rPr>
          <w:rFonts w:hint="eastAsia"/>
          <w:spacing w:val="-2"/>
          <w:rtl/>
          <w:lang w:bidi="ar-SY"/>
        </w:rPr>
        <w:t> </w:t>
      </w:r>
      <w:proofErr w:type="spellStart"/>
      <w:r w:rsidRPr="00817F54">
        <w:rPr>
          <w:i/>
          <w:iCs/>
          <w:spacing w:val="-2"/>
          <w:lang w:bidi="ar-SY"/>
        </w:rPr>
        <w:t>OAuth</w:t>
      </w:r>
      <w:proofErr w:type="spellEnd"/>
      <w:r>
        <w:rPr>
          <w:rFonts w:hint="cs"/>
          <w:spacing w:val="-2"/>
          <w:rtl/>
          <w:lang w:bidi="ar-SY"/>
        </w:rPr>
        <w:t>.</w:t>
      </w:r>
    </w:p>
    <w:p w:rsidR="00B56A2C" w:rsidRPr="00B56A2C" w:rsidRDefault="00B56A2C" w:rsidP="007E397B">
      <w:pPr>
        <w:rPr>
          <w:spacing w:val="-4"/>
          <w:rtl/>
          <w:lang w:bidi="ar-SY"/>
        </w:rPr>
      </w:pPr>
      <w:r w:rsidRPr="00B56A2C">
        <w:rPr>
          <w:rFonts w:hint="cs"/>
          <w:spacing w:val="-4"/>
          <w:rtl/>
          <w:lang w:bidi="ar-SY"/>
        </w:rPr>
        <w:t>وهناك توصية من نفس العائلة، التوصية</w:t>
      </w:r>
      <w:r w:rsidR="0027645C">
        <w:rPr>
          <w:rFonts w:hint="eastAsia"/>
          <w:spacing w:val="-4"/>
          <w:rtl/>
          <w:lang w:bidi="ar-SY"/>
        </w:rPr>
        <w:t> </w:t>
      </w:r>
      <w:r w:rsidRPr="00B56A2C">
        <w:rPr>
          <w:spacing w:val="-4"/>
          <w:lang w:bidi="ar-SY"/>
        </w:rPr>
        <w:t>ITU</w:t>
      </w:r>
      <w:r w:rsidRPr="00B56A2C">
        <w:rPr>
          <w:spacing w:val="-4"/>
          <w:lang w:bidi="ar-SY"/>
        </w:rPr>
        <w:noBreakHyphen/>
        <w:t>T Y.2724</w:t>
      </w:r>
      <w:r w:rsidRPr="00B56A2C">
        <w:rPr>
          <w:rFonts w:hint="cs"/>
          <w:spacing w:val="-4"/>
          <w:rtl/>
          <w:lang w:bidi="ar-SY"/>
        </w:rPr>
        <w:t>، إطار لدعم المعيار</w:t>
      </w:r>
      <w:r w:rsidR="007E397B">
        <w:rPr>
          <w:rFonts w:hint="eastAsia"/>
          <w:spacing w:val="-4"/>
          <w:rtl/>
          <w:lang w:bidi="ar-SY"/>
        </w:rPr>
        <w:t> </w:t>
      </w:r>
      <w:proofErr w:type="spellStart"/>
      <w:r w:rsidRPr="00817F54">
        <w:rPr>
          <w:i/>
          <w:iCs/>
          <w:spacing w:val="-4"/>
          <w:lang w:bidi="ar-SY"/>
        </w:rPr>
        <w:t>OAuth</w:t>
      </w:r>
      <w:proofErr w:type="spellEnd"/>
      <w:r w:rsidRPr="00B56A2C">
        <w:rPr>
          <w:rFonts w:hint="cs"/>
          <w:spacing w:val="-4"/>
          <w:rtl/>
          <w:lang w:bidi="ar-SY"/>
        </w:rPr>
        <w:t xml:space="preserve"> و</w:t>
      </w:r>
      <w:r w:rsidRPr="00817F54">
        <w:rPr>
          <w:rFonts w:hint="cs"/>
          <w:i/>
          <w:iCs/>
          <w:spacing w:val="-4"/>
          <w:rtl/>
          <w:lang w:bidi="ar-SY"/>
        </w:rPr>
        <w:t>معرف الهوية المفتوح</w:t>
      </w:r>
      <w:r w:rsidR="0027645C">
        <w:rPr>
          <w:rFonts w:hint="eastAsia"/>
          <w:i/>
          <w:iCs/>
          <w:spacing w:val="-4"/>
          <w:rtl/>
          <w:lang w:bidi="ar-SY"/>
        </w:rPr>
        <w:t> </w:t>
      </w:r>
      <w:r w:rsidRPr="00817F54">
        <w:rPr>
          <w:i/>
          <w:iCs/>
          <w:spacing w:val="-4"/>
          <w:lang w:bidi="ar-SY"/>
        </w:rPr>
        <w:t>(Open ID)</w:t>
      </w:r>
      <w:r w:rsidRPr="00817F54">
        <w:rPr>
          <w:rFonts w:hint="cs"/>
          <w:i/>
          <w:iCs/>
          <w:spacing w:val="-4"/>
          <w:rtl/>
          <w:lang w:bidi="ar-SY"/>
        </w:rPr>
        <w:t xml:space="preserve"> في</w:t>
      </w:r>
      <w:r w:rsidRPr="00817F54">
        <w:rPr>
          <w:rFonts w:hint="eastAsia"/>
          <w:i/>
          <w:iCs/>
          <w:spacing w:val="-4"/>
          <w:rtl/>
          <w:lang w:bidi="ar-SY"/>
        </w:rPr>
        <w:t> </w:t>
      </w:r>
      <w:r w:rsidRPr="00817F54">
        <w:rPr>
          <w:rFonts w:hint="cs"/>
          <w:i/>
          <w:iCs/>
          <w:spacing w:val="-4"/>
          <w:rtl/>
          <w:lang w:bidi="ar-SY"/>
        </w:rPr>
        <w:t>شبكات الجيل التالي</w:t>
      </w:r>
      <w:r w:rsidRPr="00B56A2C">
        <w:rPr>
          <w:rFonts w:hint="cs"/>
          <w:spacing w:val="-4"/>
          <w:rtl/>
          <w:lang w:bidi="ar-SY"/>
        </w:rPr>
        <w:t>، تقدم السياق والاعتبارات المعمارية مع إطار رفيع المستوى لاستخدام المعيار</w:t>
      </w:r>
      <w:r w:rsidR="0027645C">
        <w:rPr>
          <w:rFonts w:hint="eastAsia"/>
          <w:spacing w:val="-4"/>
          <w:rtl/>
          <w:lang w:bidi="ar-SY"/>
        </w:rPr>
        <w:t> </w:t>
      </w:r>
      <w:proofErr w:type="spellStart"/>
      <w:r w:rsidRPr="00817F54">
        <w:rPr>
          <w:i/>
          <w:iCs/>
          <w:spacing w:val="-4"/>
          <w:lang w:bidi="ar-SY"/>
        </w:rPr>
        <w:t>OAuth</w:t>
      </w:r>
      <w:proofErr w:type="spellEnd"/>
      <w:r w:rsidRPr="00B56A2C">
        <w:rPr>
          <w:rFonts w:hint="cs"/>
          <w:spacing w:val="-4"/>
          <w:rtl/>
          <w:lang w:bidi="ar-SY"/>
        </w:rPr>
        <w:t xml:space="preserve"> في</w:t>
      </w:r>
      <w:r w:rsidR="001F3985">
        <w:rPr>
          <w:rFonts w:hint="eastAsia"/>
          <w:spacing w:val="-4"/>
          <w:rtl/>
          <w:lang w:bidi="ar-SY"/>
        </w:rPr>
        <w:t> </w:t>
      </w:r>
      <w:r w:rsidRPr="00B56A2C">
        <w:rPr>
          <w:rFonts w:hint="cs"/>
          <w:spacing w:val="-4"/>
          <w:rtl/>
          <w:lang w:bidi="ar-SY"/>
        </w:rPr>
        <w:t>شبكات الجيل</w:t>
      </w:r>
      <w:r w:rsidR="001F3985">
        <w:rPr>
          <w:rFonts w:hint="eastAsia"/>
          <w:spacing w:val="-4"/>
          <w:rtl/>
          <w:lang w:bidi="ar-SY"/>
        </w:rPr>
        <w:t> </w:t>
      </w:r>
      <w:r w:rsidRPr="00B56A2C">
        <w:rPr>
          <w:rFonts w:hint="cs"/>
          <w:spacing w:val="-4"/>
          <w:rtl/>
          <w:lang w:bidi="ar-SY"/>
        </w:rPr>
        <w:t>التالي.</w:t>
      </w:r>
    </w:p>
    <w:p w:rsidR="00B56A2C" w:rsidRDefault="00B56A2C" w:rsidP="0027645C">
      <w:pPr>
        <w:rPr>
          <w:spacing w:val="-2"/>
          <w:rtl/>
          <w:lang w:bidi="ar-SY"/>
        </w:rPr>
      </w:pPr>
      <w:r>
        <w:rPr>
          <w:rFonts w:hint="cs"/>
          <w:spacing w:val="-2"/>
          <w:rtl/>
          <w:lang w:bidi="ar-SY"/>
        </w:rPr>
        <w:t>وتوصف هذه التوصية المتطلبات المتعلقة بتقييد انتقاء خيارات المعيار</w:t>
      </w:r>
      <w:r w:rsidR="0027645C">
        <w:rPr>
          <w:rFonts w:hint="eastAsia"/>
          <w:spacing w:val="-2"/>
          <w:rtl/>
          <w:lang w:bidi="ar-SY"/>
        </w:rPr>
        <w:t> </w:t>
      </w:r>
      <w:proofErr w:type="spellStart"/>
      <w:r w:rsidRPr="00817F54">
        <w:rPr>
          <w:i/>
          <w:iCs/>
          <w:spacing w:val="-2"/>
          <w:lang w:bidi="ar-SY"/>
        </w:rPr>
        <w:t>OAuth</w:t>
      </w:r>
      <w:proofErr w:type="spellEnd"/>
      <w:r>
        <w:rPr>
          <w:rFonts w:hint="cs"/>
          <w:spacing w:val="-2"/>
          <w:rtl/>
          <w:lang w:bidi="ar-SY"/>
        </w:rPr>
        <w:t xml:space="preserve"> إلى جانب متطلبات إضافية من أجل استعمال المعيار</w:t>
      </w:r>
      <w:r w:rsidR="001F3985">
        <w:rPr>
          <w:rFonts w:hint="eastAsia"/>
          <w:spacing w:val="-2"/>
          <w:rtl/>
          <w:lang w:bidi="ar-SY"/>
        </w:rPr>
        <w:t> </w:t>
      </w:r>
      <w:proofErr w:type="spellStart"/>
      <w:r w:rsidRPr="00817F54">
        <w:rPr>
          <w:i/>
          <w:iCs/>
          <w:spacing w:val="-2"/>
          <w:lang w:bidi="ar-SY"/>
        </w:rPr>
        <w:t>OAuth</w:t>
      </w:r>
      <w:proofErr w:type="spellEnd"/>
      <w:r>
        <w:rPr>
          <w:rFonts w:hint="cs"/>
          <w:spacing w:val="-2"/>
          <w:rtl/>
          <w:lang w:bidi="ar-SY"/>
        </w:rPr>
        <w:t xml:space="preserve"> بشكل يتسق مع متطلبات الأمن وإدارة الهوية في شبكات الجيل التالي.</w:t>
      </w:r>
    </w:p>
    <w:p w:rsidR="00601F0B" w:rsidRDefault="00601F0B" w:rsidP="00886A97">
      <w:pPr>
        <w:pStyle w:val="Heading1"/>
        <w:jc w:val="left"/>
        <w:rPr>
          <w:rtl/>
          <w:lang w:bidi="ar-SY"/>
        </w:rPr>
      </w:pPr>
      <w:r>
        <w:rPr>
          <w:rFonts w:hint="cs"/>
          <w:rtl/>
          <w:lang w:bidi="ar-SY"/>
        </w:rPr>
        <w:t xml:space="preserve">مشروع التوصية الجديدة </w:t>
      </w:r>
      <w:r w:rsidR="008E187D" w:rsidRPr="008E187D">
        <w:rPr>
          <w:lang w:bidi="ar-SY"/>
        </w:rPr>
        <w:t>ITU-T Y.2724</w:t>
      </w:r>
      <w:r w:rsidR="008E187D">
        <w:rPr>
          <w:rFonts w:hint="cs"/>
          <w:rtl/>
          <w:lang w:bidi="ar-SY"/>
        </w:rPr>
        <w:t xml:space="preserve"> (</w:t>
      </w:r>
      <w:r w:rsidR="008E187D" w:rsidRPr="008E187D">
        <w:rPr>
          <w:lang w:bidi="ar-SY"/>
        </w:rPr>
        <w:t>Y.NGN-OOF</w:t>
      </w:r>
      <w:r w:rsidR="008E187D">
        <w:rPr>
          <w:rFonts w:hint="cs"/>
          <w:rtl/>
          <w:lang w:bidi="ar-SY"/>
        </w:rPr>
        <w:t xml:space="preserve"> سابقاً)</w:t>
      </w:r>
      <w:r>
        <w:rPr>
          <w:rtl/>
          <w:lang w:bidi="ar-SY"/>
        </w:rPr>
        <w:br/>
      </w:r>
      <w:r w:rsidR="008E187D">
        <w:rPr>
          <w:rFonts w:hint="cs"/>
          <w:rtl/>
          <w:lang w:bidi="ar-SY"/>
        </w:rPr>
        <w:t xml:space="preserve">(الوثيقة </w:t>
      </w:r>
      <w:r w:rsidR="008E187D" w:rsidRPr="008E187D">
        <w:rPr>
          <w:lang w:bidi="ar-SY"/>
        </w:rPr>
        <w:t>COM</w:t>
      </w:r>
      <w:r w:rsidR="00886A97">
        <w:rPr>
          <w:lang w:bidi="ar-SY"/>
        </w:rPr>
        <w:t> </w:t>
      </w:r>
      <w:r w:rsidR="008E187D" w:rsidRPr="008E187D">
        <w:rPr>
          <w:lang w:bidi="ar-SY"/>
        </w:rPr>
        <w:t>13-R</w:t>
      </w:r>
      <w:r w:rsidR="00886A97">
        <w:rPr>
          <w:lang w:bidi="ar-SY"/>
        </w:rPr>
        <w:t> </w:t>
      </w:r>
      <w:r w:rsidR="008E187D" w:rsidRPr="008E187D">
        <w:rPr>
          <w:lang w:bidi="ar-SY"/>
        </w:rPr>
        <w:t>5</w:t>
      </w:r>
      <w:r w:rsidR="008E187D">
        <w:rPr>
          <w:rFonts w:hint="cs"/>
          <w:rtl/>
          <w:lang w:bidi="ar-SY"/>
        </w:rPr>
        <w:t xml:space="preserve">) </w:t>
      </w:r>
      <w:r w:rsidR="008E187D">
        <w:rPr>
          <w:rFonts w:hint="cs"/>
          <w:i/>
          <w:iCs/>
          <w:rtl/>
          <w:lang w:bidi="ar-SY"/>
        </w:rPr>
        <w:t>(ستتاح قريباً)</w:t>
      </w:r>
    </w:p>
    <w:p w:rsidR="00B56A2C" w:rsidRPr="00FF4632" w:rsidRDefault="00FF4632" w:rsidP="001F3985">
      <w:pPr>
        <w:pStyle w:val="Rectitle"/>
        <w:rPr>
          <w:rtl/>
        </w:rPr>
      </w:pPr>
      <w:r w:rsidRPr="00FF4632">
        <w:rPr>
          <w:rFonts w:hint="cs"/>
          <w:rtl/>
        </w:rPr>
        <w:t xml:space="preserve">إطار لدعم المعيار </w:t>
      </w:r>
      <w:proofErr w:type="spellStart"/>
      <w:r w:rsidRPr="00FF4632">
        <w:t>OAuth</w:t>
      </w:r>
      <w:proofErr w:type="spellEnd"/>
      <w:r w:rsidRPr="00FF4632">
        <w:rPr>
          <w:rFonts w:hint="cs"/>
          <w:rtl/>
        </w:rPr>
        <w:t xml:space="preserve"> ومعرف الهوية المفتوح </w:t>
      </w:r>
      <w:r w:rsidRPr="00FF4632">
        <w:t>(Open ID)</w:t>
      </w:r>
      <w:r w:rsidRPr="00FF4632">
        <w:rPr>
          <w:rFonts w:hint="cs"/>
          <w:rtl/>
        </w:rPr>
        <w:t xml:space="preserve"> في شبكات الجيل التالي</w:t>
      </w:r>
    </w:p>
    <w:p w:rsidR="00FF4632" w:rsidRPr="0091075D" w:rsidRDefault="00FF4632" w:rsidP="0091075D">
      <w:pPr>
        <w:pStyle w:val="Headingb"/>
        <w:rPr>
          <w:rtl/>
          <w:lang w:bidi="ar-SY"/>
        </w:rPr>
      </w:pPr>
      <w:r w:rsidRPr="0091075D">
        <w:rPr>
          <w:rFonts w:hint="cs"/>
          <w:rtl/>
          <w:lang w:bidi="ar-SY"/>
        </w:rPr>
        <w:t>ملخص</w:t>
      </w:r>
    </w:p>
    <w:p w:rsidR="00FF4632" w:rsidRDefault="00FF4632" w:rsidP="00946462">
      <w:pPr>
        <w:rPr>
          <w:spacing w:val="-2"/>
          <w:rtl/>
          <w:lang w:bidi="ar-SY"/>
        </w:rPr>
      </w:pPr>
      <w:r>
        <w:rPr>
          <w:rFonts w:hint="cs"/>
          <w:spacing w:val="-2"/>
          <w:rtl/>
          <w:lang w:bidi="ar-SY"/>
        </w:rPr>
        <w:t xml:space="preserve">تصف هذه التوصية إطاراً لدعم استعمال </w:t>
      </w:r>
      <w:r w:rsidRPr="001F3985">
        <w:rPr>
          <w:rFonts w:hint="cs"/>
          <w:i/>
          <w:iCs/>
          <w:spacing w:val="-2"/>
          <w:rtl/>
          <w:lang w:bidi="ar-SY"/>
        </w:rPr>
        <w:t>بروتوكول التخويل المفتوح</w:t>
      </w:r>
      <w:r w:rsidR="00946462">
        <w:rPr>
          <w:rFonts w:hint="eastAsia"/>
          <w:spacing w:val="-2"/>
          <w:rtl/>
          <w:lang w:bidi="ar-SY"/>
        </w:rPr>
        <w:t> </w:t>
      </w:r>
      <w:r w:rsidRPr="00817F54">
        <w:rPr>
          <w:i/>
          <w:iCs/>
          <w:spacing w:val="-2"/>
          <w:lang w:bidi="ar-SY"/>
        </w:rPr>
        <w:t>(</w:t>
      </w:r>
      <w:proofErr w:type="spellStart"/>
      <w:r w:rsidRPr="00817F54">
        <w:rPr>
          <w:i/>
          <w:iCs/>
          <w:spacing w:val="-2"/>
          <w:lang w:bidi="ar-SY"/>
        </w:rPr>
        <w:t>OAuth</w:t>
      </w:r>
      <w:proofErr w:type="spellEnd"/>
      <w:r w:rsidRPr="00817F54">
        <w:rPr>
          <w:i/>
          <w:iCs/>
          <w:spacing w:val="-2"/>
          <w:lang w:bidi="ar-SY"/>
        </w:rPr>
        <w:t>)</w:t>
      </w:r>
      <w:r>
        <w:rPr>
          <w:rFonts w:hint="cs"/>
          <w:spacing w:val="-2"/>
          <w:rtl/>
          <w:lang w:bidi="ar-SY"/>
        </w:rPr>
        <w:t xml:space="preserve"> </w:t>
      </w:r>
      <w:r w:rsidRPr="001F3985">
        <w:rPr>
          <w:rFonts w:hint="cs"/>
          <w:i/>
          <w:iCs/>
          <w:spacing w:val="-2"/>
          <w:rtl/>
          <w:lang w:bidi="ar-SY"/>
        </w:rPr>
        <w:t>وبرتوكول معرف الهوية المفتوح</w:t>
      </w:r>
      <w:r w:rsidR="00946462">
        <w:rPr>
          <w:rFonts w:hint="eastAsia"/>
          <w:spacing w:val="-2"/>
          <w:rtl/>
          <w:lang w:bidi="ar-SY"/>
        </w:rPr>
        <w:t> </w:t>
      </w:r>
      <w:r w:rsidRPr="00817F54">
        <w:rPr>
          <w:i/>
          <w:iCs/>
          <w:spacing w:val="-2"/>
          <w:lang w:bidi="ar-SY"/>
        </w:rPr>
        <w:t>(Open ID)</w:t>
      </w:r>
      <w:r>
        <w:rPr>
          <w:rFonts w:hint="cs"/>
          <w:spacing w:val="-2"/>
          <w:rtl/>
          <w:lang w:bidi="ar-SY"/>
        </w:rPr>
        <w:t xml:space="preserve"> الصادرين عن فريق مهام هندسة الإنترنت في سياق شبكات الجيل التالي.</w:t>
      </w:r>
      <w:r w:rsidR="00F1712C">
        <w:rPr>
          <w:rFonts w:hint="cs"/>
          <w:spacing w:val="-2"/>
          <w:rtl/>
          <w:lang w:bidi="ar-SY"/>
        </w:rPr>
        <w:t xml:space="preserve"> وجرى تعريف البروتوكولين للاستعمال العام في شبكة الويب</w:t>
      </w:r>
      <w:r w:rsidR="009B3202">
        <w:rPr>
          <w:rFonts w:hint="eastAsia"/>
          <w:spacing w:val="-2"/>
          <w:rtl/>
          <w:lang w:bidi="ar-SY"/>
        </w:rPr>
        <w:t> </w:t>
      </w:r>
      <w:r w:rsidR="00F1712C">
        <w:rPr>
          <w:rFonts w:hint="cs"/>
          <w:spacing w:val="-2"/>
          <w:rtl/>
          <w:lang w:bidi="ar-SY"/>
        </w:rPr>
        <w:t>العالمية.</w:t>
      </w:r>
    </w:p>
    <w:p w:rsidR="00F1712C" w:rsidRDefault="00F1712C" w:rsidP="00F1712C">
      <w:pPr>
        <w:rPr>
          <w:spacing w:val="-2"/>
          <w:rtl/>
          <w:lang w:bidi="ar-SY"/>
        </w:rPr>
      </w:pPr>
      <w:r>
        <w:rPr>
          <w:rFonts w:hint="cs"/>
          <w:spacing w:val="-2"/>
          <w:rtl/>
          <w:lang w:bidi="ar-SY"/>
        </w:rPr>
        <w:t>والمتطلبات المعززة لإدارة الأمن والهوية في شبكات الجيل التالي تتطلب تقييد متأن للبروتوكولين أعلاه. وتشرح هذه التوصية تطبيق هذين البروتوكولين على شبكات الجيل التالي وتقدم مبادئ توجيهية رفيعة المستوى بشأن استعمالهما.</w:t>
      </w:r>
    </w:p>
    <w:p w:rsidR="00F1712C" w:rsidRPr="0011441F" w:rsidRDefault="00F1712C" w:rsidP="00946462">
      <w:pPr>
        <w:rPr>
          <w:spacing w:val="-2"/>
          <w:rtl/>
          <w:lang w:bidi="ar-SY"/>
        </w:rPr>
      </w:pPr>
      <w:r>
        <w:rPr>
          <w:rFonts w:hint="cs"/>
          <w:spacing w:val="-2"/>
          <w:rtl/>
          <w:lang w:bidi="ar-SY"/>
        </w:rPr>
        <w:t>وهناك توصية أخرى من نفس العائلة، التوصية</w:t>
      </w:r>
      <w:r w:rsidR="00946462">
        <w:rPr>
          <w:rFonts w:hint="eastAsia"/>
          <w:spacing w:val="-2"/>
          <w:rtl/>
          <w:lang w:bidi="ar-SY"/>
        </w:rPr>
        <w:t> </w:t>
      </w:r>
      <w:r>
        <w:rPr>
          <w:spacing w:val="-2"/>
          <w:lang w:bidi="ar-SY"/>
        </w:rPr>
        <w:t>ITU</w:t>
      </w:r>
      <w:r>
        <w:rPr>
          <w:spacing w:val="-2"/>
          <w:lang w:bidi="ar-SY"/>
        </w:rPr>
        <w:noBreakHyphen/>
        <w:t>T Y.2723</w:t>
      </w:r>
      <w:r>
        <w:rPr>
          <w:rFonts w:hint="cs"/>
          <w:spacing w:val="-2"/>
          <w:rtl/>
          <w:lang w:bidi="ar-SY"/>
        </w:rPr>
        <w:t xml:space="preserve">، دعم </w:t>
      </w:r>
      <w:r w:rsidRPr="00817F54">
        <w:rPr>
          <w:rFonts w:hint="cs"/>
          <w:i/>
          <w:iCs/>
          <w:spacing w:val="-2"/>
          <w:rtl/>
          <w:lang w:bidi="ar-SY"/>
        </w:rPr>
        <w:t>معيار التخويل المفتوح</w:t>
      </w:r>
      <w:r w:rsidR="00946462">
        <w:rPr>
          <w:rFonts w:hint="eastAsia"/>
          <w:i/>
          <w:iCs/>
          <w:spacing w:val="-2"/>
          <w:rtl/>
          <w:lang w:bidi="ar-SY"/>
        </w:rPr>
        <w:t> </w:t>
      </w:r>
      <w:r w:rsidRPr="00817F54">
        <w:rPr>
          <w:i/>
          <w:iCs/>
          <w:spacing w:val="-2"/>
          <w:lang w:bidi="ar-SY"/>
        </w:rPr>
        <w:t>(</w:t>
      </w:r>
      <w:proofErr w:type="spellStart"/>
      <w:r w:rsidRPr="00817F54">
        <w:rPr>
          <w:i/>
          <w:iCs/>
          <w:spacing w:val="-2"/>
          <w:lang w:bidi="ar-SY"/>
        </w:rPr>
        <w:t>OAuth</w:t>
      </w:r>
      <w:proofErr w:type="spellEnd"/>
      <w:r w:rsidRPr="00817F54">
        <w:rPr>
          <w:i/>
          <w:iCs/>
          <w:spacing w:val="-2"/>
          <w:lang w:bidi="ar-SY"/>
        </w:rPr>
        <w:t>)</w:t>
      </w:r>
      <w:r w:rsidRPr="00817F54">
        <w:rPr>
          <w:rFonts w:hint="cs"/>
          <w:i/>
          <w:iCs/>
          <w:spacing w:val="-2"/>
          <w:rtl/>
          <w:lang w:bidi="ar-SY"/>
        </w:rPr>
        <w:t xml:space="preserve"> في شبكات الجيل التالي</w:t>
      </w:r>
      <w:r>
        <w:rPr>
          <w:rFonts w:hint="cs"/>
          <w:spacing w:val="-2"/>
          <w:rtl/>
          <w:lang w:bidi="ar-SY"/>
        </w:rPr>
        <w:t>، تقدم مجموعة متصلة من مواصفات شبكات الجيل التالي.</w:t>
      </w:r>
    </w:p>
    <w:p w:rsidR="0011441F" w:rsidRPr="00EE2C4A" w:rsidRDefault="0011441F" w:rsidP="009E7DA5">
      <w:pPr>
        <w:spacing w:before="600"/>
        <w:jc w:val="center"/>
        <w:rPr>
          <w:rtl/>
          <w:lang w:bidi="ar-SY"/>
        </w:rPr>
      </w:pPr>
      <w:r>
        <w:rPr>
          <w:rFonts w:hint="cs"/>
          <w:rtl/>
          <w:lang w:bidi="ar-SY"/>
        </w:rPr>
        <w:t>___________</w:t>
      </w:r>
    </w:p>
    <w:sectPr w:rsidR="0011441F" w:rsidRPr="00EE2C4A" w:rsidSect="001631E7">
      <w:headerReference w:type="even" r:id="rId12"/>
      <w:headerReference w:type="default" r:id="rId13"/>
      <w:footerReference w:type="even" r:id="rId14"/>
      <w:footerReference w:type="default" r:id="rId15"/>
      <w:headerReference w:type="first" r:id="rId16"/>
      <w:footerReference w:type="first" r:id="rId17"/>
      <w:pgSz w:w="11901" w:h="16840" w:code="9"/>
      <w:pgMar w:top="1418"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F0B" w:rsidRDefault="00601F0B">
      <w:r>
        <w:separator/>
      </w:r>
    </w:p>
  </w:endnote>
  <w:endnote w:type="continuationSeparator" w:id="0">
    <w:p w:rsidR="00601F0B" w:rsidRDefault="0060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F5" w:rsidRDefault="00363C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C6" w:rsidRPr="005626D7" w:rsidRDefault="005626D7" w:rsidP="005626D7">
    <w:pPr>
      <w:pStyle w:val="Footer"/>
      <w:jc w:val="right"/>
      <w:rPr>
        <w:lang w:val="fr-CH"/>
      </w:rPr>
    </w:pPr>
    <w:r>
      <w:rPr>
        <w:sz w:val="16"/>
        <w:lang w:val="fr-CH"/>
      </w:rPr>
      <w:t>ITU-T\BUREAU\CIRC\021</w:t>
    </w:r>
    <w:r>
      <w:rPr>
        <w:sz w:val="16"/>
        <w:lang w:val="fr-CH"/>
      </w:rPr>
      <w:t>A</w:t>
    </w:r>
    <w:r>
      <w:rPr>
        <w:sz w:val="16"/>
        <w:lang w:val="fr-CH"/>
      </w:rPr>
      <w:t>.DOC</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601F0B" w:rsidTr="00601F0B">
      <w:trPr>
        <w:cantSplit/>
      </w:trPr>
      <w:tc>
        <w:tcPr>
          <w:tcW w:w="1062" w:type="pct"/>
          <w:tcBorders>
            <w:top w:val="single" w:sz="6" w:space="0" w:color="auto"/>
          </w:tcBorders>
          <w:tcMar>
            <w:top w:w="57" w:type="dxa"/>
          </w:tcMar>
        </w:tcPr>
        <w:p w:rsidR="00601F0B" w:rsidRDefault="00601F0B" w:rsidP="00601F0B">
          <w:pPr>
            <w:pStyle w:val="itu"/>
          </w:pPr>
          <w:r>
            <w:t>Place des Nations</w:t>
          </w:r>
        </w:p>
      </w:tc>
      <w:tc>
        <w:tcPr>
          <w:tcW w:w="1583" w:type="pct"/>
          <w:tcBorders>
            <w:top w:val="single" w:sz="6" w:space="0" w:color="auto"/>
          </w:tcBorders>
          <w:tcMar>
            <w:top w:w="57" w:type="dxa"/>
          </w:tcMar>
        </w:tcPr>
        <w:p w:rsidR="00601F0B" w:rsidRDefault="00601F0B" w:rsidP="00601F0B">
          <w:pPr>
            <w:pStyle w:val="itu"/>
          </w:pPr>
          <w:r>
            <w:t>Telephone</w:t>
          </w:r>
          <w:r>
            <w:tab/>
            <w:t>+41 22 730 51 11</w:t>
          </w:r>
        </w:p>
      </w:tc>
      <w:tc>
        <w:tcPr>
          <w:tcW w:w="1224" w:type="pct"/>
          <w:tcBorders>
            <w:top w:val="single" w:sz="6" w:space="0" w:color="auto"/>
          </w:tcBorders>
          <w:tcMar>
            <w:top w:w="57" w:type="dxa"/>
          </w:tcMar>
        </w:tcPr>
        <w:p w:rsidR="00601F0B" w:rsidRDefault="00601F0B" w:rsidP="00601F0B">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01F0B" w:rsidRDefault="00601F0B" w:rsidP="00601F0B">
          <w:pPr>
            <w:pStyle w:val="itu"/>
          </w:pPr>
          <w:r>
            <w:t>E-mail:</w:t>
          </w:r>
          <w:r>
            <w:tab/>
            <w:t>itumail@itu.int</w:t>
          </w:r>
        </w:p>
      </w:tc>
    </w:tr>
    <w:tr w:rsidR="00601F0B" w:rsidTr="00601F0B">
      <w:trPr>
        <w:cantSplit/>
      </w:trPr>
      <w:tc>
        <w:tcPr>
          <w:tcW w:w="1062" w:type="pct"/>
        </w:tcPr>
        <w:p w:rsidR="00601F0B" w:rsidRPr="008F5E3A" w:rsidRDefault="00601F0B" w:rsidP="00601F0B">
          <w:pPr>
            <w:pStyle w:val="itu"/>
          </w:pPr>
          <w:r w:rsidRPr="008F5E3A">
            <w:t>CH-1211 Geneva 20</w:t>
          </w:r>
        </w:p>
      </w:tc>
      <w:tc>
        <w:tcPr>
          <w:tcW w:w="1583" w:type="pct"/>
        </w:tcPr>
        <w:p w:rsidR="00601F0B" w:rsidRPr="008F5E3A" w:rsidRDefault="00601F0B" w:rsidP="00601F0B">
          <w:pPr>
            <w:pStyle w:val="itu"/>
          </w:pPr>
          <w:r w:rsidRPr="008F5E3A">
            <w:t>Telefax</w:t>
          </w:r>
          <w:r w:rsidRPr="008F5E3A">
            <w:tab/>
            <w:t>Gr3:</w:t>
          </w:r>
          <w:r w:rsidRPr="008F5E3A">
            <w:tab/>
            <w:t>+41 22 733 72 56</w:t>
          </w:r>
        </w:p>
      </w:tc>
      <w:tc>
        <w:tcPr>
          <w:tcW w:w="1224" w:type="pct"/>
        </w:tcPr>
        <w:p w:rsidR="00601F0B" w:rsidRPr="008F5E3A" w:rsidRDefault="00601F0B" w:rsidP="00601F0B">
          <w:pPr>
            <w:pStyle w:val="itu"/>
          </w:pPr>
          <w:r w:rsidRPr="008F5E3A">
            <w:t>Telegram ITU GENEVE</w:t>
          </w:r>
        </w:p>
      </w:tc>
      <w:tc>
        <w:tcPr>
          <w:tcW w:w="1131" w:type="pct"/>
        </w:tcPr>
        <w:p w:rsidR="00601F0B" w:rsidRPr="00724ED5" w:rsidRDefault="00601F0B" w:rsidP="00601F0B">
          <w:pPr>
            <w:pStyle w:val="itu"/>
            <w:rPr>
              <w:lang w:val="en-US"/>
            </w:rPr>
          </w:pPr>
          <w:r w:rsidRPr="008F5E3A">
            <w:tab/>
          </w:r>
          <w:hyperlink r:id="rId1" w:history="1">
            <w:r w:rsidRPr="0034525D">
              <w:rPr>
                <w:rStyle w:val="Hyperlink"/>
              </w:rPr>
              <w:t>www.itu.int</w:t>
            </w:r>
          </w:hyperlink>
        </w:p>
      </w:tc>
    </w:tr>
    <w:tr w:rsidR="00601F0B" w:rsidTr="00601F0B">
      <w:trPr>
        <w:cantSplit/>
      </w:trPr>
      <w:tc>
        <w:tcPr>
          <w:tcW w:w="1062" w:type="pct"/>
        </w:tcPr>
        <w:p w:rsidR="00601F0B" w:rsidRDefault="00601F0B" w:rsidP="00601F0B">
          <w:pPr>
            <w:pStyle w:val="itu"/>
          </w:pPr>
          <w:r>
            <w:t>SWITZERLAND</w:t>
          </w:r>
        </w:p>
      </w:tc>
      <w:tc>
        <w:tcPr>
          <w:tcW w:w="1583" w:type="pct"/>
        </w:tcPr>
        <w:p w:rsidR="00601F0B" w:rsidRDefault="00601F0B" w:rsidP="00601F0B">
          <w:pPr>
            <w:pStyle w:val="itu"/>
          </w:pPr>
          <w:r>
            <w:tab/>
            <w:t>Gr4:</w:t>
          </w:r>
          <w:r>
            <w:tab/>
            <w:t>+41 22 730 65 00</w:t>
          </w:r>
        </w:p>
      </w:tc>
      <w:tc>
        <w:tcPr>
          <w:tcW w:w="1224" w:type="pct"/>
        </w:tcPr>
        <w:p w:rsidR="00601F0B" w:rsidRDefault="00601F0B" w:rsidP="00601F0B">
          <w:pPr>
            <w:pStyle w:val="itu"/>
          </w:pPr>
        </w:p>
      </w:tc>
      <w:tc>
        <w:tcPr>
          <w:tcW w:w="1131" w:type="pct"/>
        </w:tcPr>
        <w:p w:rsidR="00601F0B" w:rsidRDefault="00601F0B" w:rsidP="00601F0B">
          <w:pPr>
            <w:pStyle w:val="itu"/>
          </w:pPr>
        </w:p>
      </w:tc>
    </w:tr>
  </w:tbl>
  <w:p w:rsidR="00601F0B" w:rsidRPr="00AE03C4" w:rsidRDefault="00601F0B" w:rsidP="001631E7">
    <w:pPr>
      <w:pStyle w:val="Footer"/>
      <w:bidi w:val="0"/>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F0B" w:rsidRDefault="00601F0B" w:rsidP="00F9110F">
      <w:pPr>
        <w:rPr>
          <w:rtl/>
          <w:lang w:bidi="ar-SY"/>
        </w:rPr>
      </w:pPr>
      <w:r>
        <w:t>_______________</w:t>
      </w:r>
    </w:p>
  </w:footnote>
  <w:footnote w:type="continuationSeparator" w:id="0">
    <w:p w:rsidR="00601F0B" w:rsidRDefault="00601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F5" w:rsidRDefault="00363C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0B" w:rsidRPr="00F70CC6" w:rsidRDefault="00601F0B" w:rsidP="004331B3">
    <w:pPr>
      <w:pStyle w:val="Header"/>
      <w:bidi w:val="0"/>
      <w:spacing w:after="240"/>
      <w:jc w:val="center"/>
      <w:rPr>
        <w:sz w:val="20"/>
        <w:szCs w:val="28"/>
      </w:rPr>
    </w:pPr>
    <w:r w:rsidRPr="00F70CC6">
      <w:rPr>
        <w:sz w:val="20"/>
        <w:szCs w:val="28"/>
      </w:rPr>
      <w:t>- </w:t>
    </w:r>
    <w:r w:rsidRPr="00F70CC6">
      <w:rPr>
        <w:rFonts w:cs="Times New Roman"/>
        <w:sz w:val="20"/>
        <w:szCs w:val="20"/>
      </w:rPr>
      <w:fldChar w:fldCharType="begin"/>
    </w:r>
    <w:r w:rsidRPr="00F70CC6">
      <w:rPr>
        <w:rFonts w:cs="Times New Roman"/>
        <w:sz w:val="20"/>
        <w:szCs w:val="20"/>
      </w:rPr>
      <w:instrText>PAGE</w:instrText>
    </w:r>
    <w:r w:rsidRPr="00F70CC6">
      <w:rPr>
        <w:rFonts w:cs="Times New Roman"/>
        <w:sz w:val="20"/>
        <w:szCs w:val="20"/>
      </w:rPr>
      <w:fldChar w:fldCharType="separate"/>
    </w:r>
    <w:r w:rsidR="005626D7">
      <w:rPr>
        <w:rFonts w:cs="Times New Roman"/>
        <w:noProof/>
        <w:sz w:val="20"/>
        <w:szCs w:val="20"/>
      </w:rPr>
      <w:t>3</w:t>
    </w:r>
    <w:r w:rsidRPr="00F70CC6">
      <w:rPr>
        <w:rFonts w:cs="Times New Roman"/>
        <w:sz w:val="20"/>
        <w:szCs w:val="20"/>
      </w:rPr>
      <w:fldChar w:fldCharType="end"/>
    </w:r>
    <w:r w:rsidRPr="00F70CC6">
      <w:rPr>
        <w:sz w:val="20"/>
        <w:szCs w:val="28"/>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F5" w:rsidRDefault="00363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15D2D"/>
    <w:rsid w:val="00020DB7"/>
    <w:rsid w:val="000260D5"/>
    <w:rsid w:val="000302D3"/>
    <w:rsid w:val="000440C4"/>
    <w:rsid w:val="000525E5"/>
    <w:rsid w:val="000637D6"/>
    <w:rsid w:val="0006455A"/>
    <w:rsid w:val="00064EC5"/>
    <w:rsid w:val="00066F6B"/>
    <w:rsid w:val="00071718"/>
    <w:rsid w:val="00073E7E"/>
    <w:rsid w:val="00076A45"/>
    <w:rsid w:val="00081D8A"/>
    <w:rsid w:val="000A3EFF"/>
    <w:rsid w:val="000A7621"/>
    <w:rsid w:val="000C2FB2"/>
    <w:rsid w:val="000D3455"/>
    <w:rsid w:val="000D3F69"/>
    <w:rsid w:val="000D6000"/>
    <w:rsid w:val="0010144A"/>
    <w:rsid w:val="001014A9"/>
    <w:rsid w:val="001132C8"/>
    <w:rsid w:val="0011441F"/>
    <w:rsid w:val="00127FFE"/>
    <w:rsid w:val="00133BF7"/>
    <w:rsid w:val="00137E44"/>
    <w:rsid w:val="001401E7"/>
    <w:rsid w:val="00141119"/>
    <w:rsid w:val="00150879"/>
    <w:rsid w:val="001523BE"/>
    <w:rsid w:val="0016239F"/>
    <w:rsid w:val="001631E7"/>
    <w:rsid w:val="00180899"/>
    <w:rsid w:val="001919D1"/>
    <w:rsid w:val="0019658A"/>
    <w:rsid w:val="001A55C3"/>
    <w:rsid w:val="001A5641"/>
    <w:rsid w:val="001A5E10"/>
    <w:rsid w:val="001B5908"/>
    <w:rsid w:val="001C0EF6"/>
    <w:rsid w:val="001C7ECA"/>
    <w:rsid w:val="001D1DF8"/>
    <w:rsid w:val="001D39B3"/>
    <w:rsid w:val="001D3E3A"/>
    <w:rsid w:val="001D6103"/>
    <w:rsid w:val="001D6F02"/>
    <w:rsid w:val="001F1051"/>
    <w:rsid w:val="001F3985"/>
    <w:rsid w:val="001F66AB"/>
    <w:rsid w:val="001F6CD8"/>
    <w:rsid w:val="00201E08"/>
    <w:rsid w:val="0021011A"/>
    <w:rsid w:val="0021143C"/>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7645C"/>
    <w:rsid w:val="00286E0F"/>
    <w:rsid w:val="00287340"/>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CF5"/>
    <w:rsid w:val="00363E8E"/>
    <w:rsid w:val="00393E7C"/>
    <w:rsid w:val="00397491"/>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52800"/>
    <w:rsid w:val="0045475A"/>
    <w:rsid w:val="004558BF"/>
    <w:rsid w:val="004579B5"/>
    <w:rsid w:val="004603FF"/>
    <w:rsid w:val="00460C4B"/>
    <w:rsid w:val="00461C8D"/>
    <w:rsid w:val="00465E56"/>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23A14"/>
    <w:rsid w:val="00523B5B"/>
    <w:rsid w:val="005276AD"/>
    <w:rsid w:val="00535CA0"/>
    <w:rsid w:val="00537B94"/>
    <w:rsid w:val="005429E9"/>
    <w:rsid w:val="00543D04"/>
    <w:rsid w:val="0054515F"/>
    <w:rsid w:val="00550F45"/>
    <w:rsid w:val="00553969"/>
    <w:rsid w:val="00553E94"/>
    <w:rsid w:val="005626D7"/>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1F0B"/>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5B02"/>
    <w:rsid w:val="00687F0B"/>
    <w:rsid w:val="0069450E"/>
    <w:rsid w:val="00696BB2"/>
    <w:rsid w:val="00697445"/>
    <w:rsid w:val="006A058F"/>
    <w:rsid w:val="006A3056"/>
    <w:rsid w:val="006B52B5"/>
    <w:rsid w:val="006B6B9A"/>
    <w:rsid w:val="006C1530"/>
    <w:rsid w:val="006C4FFB"/>
    <w:rsid w:val="006D1672"/>
    <w:rsid w:val="006D49AD"/>
    <w:rsid w:val="006D7BF3"/>
    <w:rsid w:val="006E73B1"/>
    <w:rsid w:val="006F0512"/>
    <w:rsid w:val="0071127D"/>
    <w:rsid w:val="007149A7"/>
    <w:rsid w:val="007202C3"/>
    <w:rsid w:val="007266EC"/>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E397B"/>
    <w:rsid w:val="007F0AC6"/>
    <w:rsid w:val="007F58A1"/>
    <w:rsid w:val="0080133D"/>
    <w:rsid w:val="008041A7"/>
    <w:rsid w:val="00811121"/>
    <w:rsid w:val="008165EA"/>
    <w:rsid w:val="0081722F"/>
    <w:rsid w:val="00817F54"/>
    <w:rsid w:val="008226F2"/>
    <w:rsid w:val="0082500A"/>
    <w:rsid w:val="0082673E"/>
    <w:rsid w:val="00830F86"/>
    <w:rsid w:val="00852573"/>
    <w:rsid w:val="00866CFB"/>
    <w:rsid w:val="0087077B"/>
    <w:rsid w:val="00876CC0"/>
    <w:rsid w:val="00883E59"/>
    <w:rsid w:val="00886A0C"/>
    <w:rsid w:val="00886A97"/>
    <w:rsid w:val="008B61CA"/>
    <w:rsid w:val="008C3899"/>
    <w:rsid w:val="008C4385"/>
    <w:rsid w:val="008C7D86"/>
    <w:rsid w:val="008D27E0"/>
    <w:rsid w:val="008D2E33"/>
    <w:rsid w:val="008D3838"/>
    <w:rsid w:val="008E187D"/>
    <w:rsid w:val="008F4C50"/>
    <w:rsid w:val="008F55E3"/>
    <w:rsid w:val="008F7B1F"/>
    <w:rsid w:val="009015FD"/>
    <w:rsid w:val="009041F1"/>
    <w:rsid w:val="009048A4"/>
    <w:rsid w:val="00904BF4"/>
    <w:rsid w:val="0091075D"/>
    <w:rsid w:val="00911629"/>
    <w:rsid w:val="00914455"/>
    <w:rsid w:val="00920A44"/>
    <w:rsid w:val="009257DF"/>
    <w:rsid w:val="0093679C"/>
    <w:rsid w:val="00937B0B"/>
    <w:rsid w:val="00946462"/>
    <w:rsid w:val="00965582"/>
    <w:rsid w:val="00973D3C"/>
    <w:rsid w:val="0097559C"/>
    <w:rsid w:val="0097651D"/>
    <w:rsid w:val="0098075F"/>
    <w:rsid w:val="00980D9A"/>
    <w:rsid w:val="009824F8"/>
    <w:rsid w:val="00986865"/>
    <w:rsid w:val="009938A9"/>
    <w:rsid w:val="009961EB"/>
    <w:rsid w:val="009A398E"/>
    <w:rsid w:val="009A61F8"/>
    <w:rsid w:val="009B0414"/>
    <w:rsid w:val="009B3202"/>
    <w:rsid w:val="009B5009"/>
    <w:rsid w:val="009C4ADE"/>
    <w:rsid w:val="009D2DD2"/>
    <w:rsid w:val="009D513D"/>
    <w:rsid w:val="009D7722"/>
    <w:rsid w:val="009E21AD"/>
    <w:rsid w:val="009E7DA5"/>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204CB"/>
    <w:rsid w:val="00B22847"/>
    <w:rsid w:val="00B232BD"/>
    <w:rsid w:val="00B269E5"/>
    <w:rsid w:val="00B40910"/>
    <w:rsid w:val="00B51184"/>
    <w:rsid w:val="00B56A2C"/>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BD77B9"/>
    <w:rsid w:val="00C16CB6"/>
    <w:rsid w:val="00C335A4"/>
    <w:rsid w:val="00C33D50"/>
    <w:rsid w:val="00C42FC9"/>
    <w:rsid w:val="00C47940"/>
    <w:rsid w:val="00C5355E"/>
    <w:rsid w:val="00C53A1D"/>
    <w:rsid w:val="00C5483C"/>
    <w:rsid w:val="00C56944"/>
    <w:rsid w:val="00C64F3B"/>
    <w:rsid w:val="00C66212"/>
    <w:rsid w:val="00C67A47"/>
    <w:rsid w:val="00C714FF"/>
    <w:rsid w:val="00C7616B"/>
    <w:rsid w:val="00C766C5"/>
    <w:rsid w:val="00C96833"/>
    <w:rsid w:val="00CB63B9"/>
    <w:rsid w:val="00CC0E5D"/>
    <w:rsid w:val="00CC30F9"/>
    <w:rsid w:val="00CD3457"/>
    <w:rsid w:val="00CD49DF"/>
    <w:rsid w:val="00CE2555"/>
    <w:rsid w:val="00CE7C57"/>
    <w:rsid w:val="00CF1B69"/>
    <w:rsid w:val="00CF2045"/>
    <w:rsid w:val="00CF4610"/>
    <w:rsid w:val="00CF7EA1"/>
    <w:rsid w:val="00D0301A"/>
    <w:rsid w:val="00D07074"/>
    <w:rsid w:val="00D119B1"/>
    <w:rsid w:val="00D16C82"/>
    <w:rsid w:val="00D177A6"/>
    <w:rsid w:val="00D20AE5"/>
    <w:rsid w:val="00D21574"/>
    <w:rsid w:val="00D32283"/>
    <w:rsid w:val="00D34A31"/>
    <w:rsid w:val="00D36DE5"/>
    <w:rsid w:val="00D45212"/>
    <w:rsid w:val="00D57797"/>
    <w:rsid w:val="00D61F3A"/>
    <w:rsid w:val="00D668E2"/>
    <w:rsid w:val="00D807A7"/>
    <w:rsid w:val="00D82615"/>
    <w:rsid w:val="00D84854"/>
    <w:rsid w:val="00D86402"/>
    <w:rsid w:val="00D87242"/>
    <w:rsid w:val="00D90360"/>
    <w:rsid w:val="00D92E61"/>
    <w:rsid w:val="00DA07ED"/>
    <w:rsid w:val="00DA1155"/>
    <w:rsid w:val="00DB0549"/>
    <w:rsid w:val="00DC2200"/>
    <w:rsid w:val="00DC4DC2"/>
    <w:rsid w:val="00DC5505"/>
    <w:rsid w:val="00DE3A97"/>
    <w:rsid w:val="00DE4D41"/>
    <w:rsid w:val="00DE76C6"/>
    <w:rsid w:val="00DE7845"/>
    <w:rsid w:val="00DF0B2F"/>
    <w:rsid w:val="00DF20A0"/>
    <w:rsid w:val="00E11642"/>
    <w:rsid w:val="00E14185"/>
    <w:rsid w:val="00E168DB"/>
    <w:rsid w:val="00E24356"/>
    <w:rsid w:val="00E25C6C"/>
    <w:rsid w:val="00E27501"/>
    <w:rsid w:val="00E32073"/>
    <w:rsid w:val="00E3506C"/>
    <w:rsid w:val="00E36E54"/>
    <w:rsid w:val="00E4218D"/>
    <w:rsid w:val="00E448CA"/>
    <w:rsid w:val="00E507D1"/>
    <w:rsid w:val="00E529E7"/>
    <w:rsid w:val="00E5478D"/>
    <w:rsid w:val="00E61E5B"/>
    <w:rsid w:val="00E65A50"/>
    <w:rsid w:val="00E76382"/>
    <w:rsid w:val="00E7666B"/>
    <w:rsid w:val="00E80F95"/>
    <w:rsid w:val="00E96B35"/>
    <w:rsid w:val="00EA5B6B"/>
    <w:rsid w:val="00EA722D"/>
    <w:rsid w:val="00EB28A5"/>
    <w:rsid w:val="00EB661D"/>
    <w:rsid w:val="00EC0515"/>
    <w:rsid w:val="00EC38BA"/>
    <w:rsid w:val="00EC689A"/>
    <w:rsid w:val="00ED30C0"/>
    <w:rsid w:val="00ED3E50"/>
    <w:rsid w:val="00ED6CD3"/>
    <w:rsid w:val="00EF1712"/>
    <w:rsid w:val="00EF5BAB"/>
    <w:rsid w:val="00F03585"/>
    <w:rsid w:val="00F060DD"/>
    <w:rsid w:val="00F0698D"/>
    <w:rsid w:val="00F11BC4"/>
    <w:rsid w:val="00F14BA4"/>
    <w:rsid w:val="00F1712C"/>
    <w:rsid w:val="00F20164"/>
    <w:rsid w:val="00F23FC1"/>
    <w:rsid w:val="00F318DD"/>
    <w:rsid w:val="00F36104"/>
    <w:rsid w:val="00F43260"/>
    <w:rsid w:val="00F53552"/>
    <w:rsid w:val="00F64182"/>
    <w:rsid w:val="00F65153"/>
    <w:rsid w:val="00F6747C"/>
    <w:rsid w:val="00F70CC6"/>
    <w:rsid w:val="00F70E06"/>
    <w:rsid w:val="00F71475"/>
    <w:rsid w:val="00F71CA3"/>
    <w:rsid w:val="00F76437"/>
    <w:rsid w:val="00F7732F"/>
    <w:rsid w:val="00F856AD"/>
    <w:rsid w:val="00F877C1"/>
    <w:rsid w:val="00F9110F"/>
    <w:rsid w:val="00F91BE5"/>
    <w:rsid w:val="00F968D5"/>
    <w:rsid w:val="00FA6851"/>
    <w:rsid w:val="00FB089C"/>
    <w:rsid w:val="00FB1373"/>
    <w:rsid w:val="00FB3342"/>
    <w:rsid w:val="00FB477E"/>
    <w:rsid w:val="00FB6B6D"/>
    <w:rsid w:val="00FC16AB"/>
    <w:rsid w:val="00FC593B"/>
    <w:rsid w:val="00FC641F"/>
    <w:rsid w:val="00FC651D"/>
    <w:rsid w:val="00FD7E2A"/>
    <w:rsid w:val="00FE7226"/>
    <w:rsid w:val="00FF4632"/>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C64F3B"/>
    <w:rPr>
      <w:color w:val="800080" w:themeColor="followedHyperlink"/>
      <w:u w:val="single"/>
    </w:rPr>
  </w:style>
  <w:style w:type="paragraph" w:customStyle="1" w:styleId="Rectitle">
    <w:name w:val="Rec_title"/>
    <w:basedOn w:val="Normal"/>
    <w:next w:val="Normal"/>
    <w:rsid w:val="001F3985"/>
    <w:pPr>
      <w:keepNext/>
      <w:keepLines/>
      <w:tabs>
        <w:tab w:val="left" w:pos="794"/>
        <w:tab w:val="left" w:pos="1191"/>
        <w:tab w:val="left" w:pos="1588"/>
        <w:tab w:val="left" w:pos="1985"/>
      </w:tabs>
      <w:overflowPunct w:val="0"/>
      <w:autoSpaceDE w:val="0"/>
      <w:autoSpaceDN w:val="0"/>
      <w:adjustRightInd w:val="0"/>
      <w:spacing w:before="360" w:after="360"/>
      <w:jc w:val="center"/>
      <w:textAlignment w:val="baseline"/>
    </w:pPr>
    <w:rPr>
      <w:rFonts w:ascii="Times New Roman Bold" w:hAnsi="Times New Roman Bold"/>
      <w:b/>
      <w:bCs/>
      <w:sz w:val="26"/>
      <w:szCs w:val="36"/>
      <w:lang w:bidi="ar-EG"/>
    </w:rPr>
  </w:style>
  <w:style w:type="paragraph" w:customStyle="1" w:styleId="Headingb">
    <w:name w:val="Heading_b"/>
    <w:basedOn w:val="Normal"/>
    <w:next w:val="Normal"/>
    <w:qFormat/>
    <w:rsid w:val="0091075D"/>
    <w:pPr>
      <w:keepNext/>
      <w:overflowPunct w:val="0"/>
      <w:autoSpaceDE w:val="0"/>
      <w:autoSpaceDN w:val="0"/>
      <w:adjustRightInd w:val="0"/>
      <w:spacing w:before="180"/>
      <w:textAlignment w:val="baseline"/>
    </w:pPr>
    <w:rPr>
      <w:rFonts w:ascii="Times New Roman Bold" w:hAnsi="Times New Roman Bold"/>
      <w:b/>
      <w:bCs/>
      <w:sz w:val="24"/>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C64F3B"/>
    <w:rPr>
      <w:color w:val="800080" w:themeColor="followedHyperlink"/>
      <w:u w:val="single"/>
    </w:rPr>
  </w:style>
  <w:style w:type="paragraph" w:customStyle="1" w:styleId="Rectitle">
    <w:name w:val="Rec_title"/>
    <w:basedOn w:val="Normal"/>
    <w:next w:val="Normal"/>
    <w:rsid w:val="001F3985"/>
    <w:pPr>
      <w:keepNext/>
      <w:keepLines/>
      <w:tabs>
        <w:tab w:val="left" w:pos="794"/>
        <w:tab w:val="left" w:pos="1191"/>
        <w:tab w:val="left" w:pos="1588"/>
        <w:tab w:val="left" w:pos="1985"/>
      </w:tabs>
      <w:overflowPunct w:val="0"/>
      <w:autoSpaceDE w:val="0"/>
      <w:autoSpaceDN w:val="0"/>
      <w:adjustRightInd w:val="0"/>
      <w:spacing w:before="360" w:after="360"/>
      <w:jc w:val="center"/>
      <w:textAlignment w:val="baseline"/>
    </w:pPr>
    <w:rPr>
      <w:rFonts w:ascii="Times New Roman Bold" w:hAnsi="Times New Roman Bold"/>
      <w:b/>
      <w:bCs/>
      <w:sz w:val="26"/>
      <w:szCs w:val="36"/>
      <w:lang w:bidi="ar-EG"/>
    </w:rPr>
  </w:style>
  <w:style w:type="paragraph" w:customStyle="1" w:styleId="Headingb">
    <w:name w:val="Heading_b"/>
    <w:basedOn w:val="Normal"/>
    <w:next w:val="Normal"/>
    <w:qFormat/>
    <w:rsid w:val="0091075D"/>
    <w:pPr>
      <w:keepNext/>
      <w:overflowPunct w:val="0"/>
      <w:autoSpaceDE w:val="0"/>
      <w:autoSpaceDN w:val="0"/>
      <w:adjustRightInd w:val="0"/>
      <w:spacing w:before="180"/>
      <w:textAlignment w:val="baseline"/>
    </w:pPr>
    <w:rPr>
      <w:rFonts w:ascii="Times New Roman Bold" w:hAnsi="Times New Roman Bold"/>
      <w:b/>
      <w:bCs/>
      <w:sz w:val="2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13@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4E74-364E-4C77-BB22-C62BBD18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778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4976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Regan, Gabrielle</cp:lastModifiedBy>
  <cp:revision>34</cp:revision>
  <cp:lastPrinted>2013-05-01T14:55:00Z</cp:lastPrinted>
  <dcterms:created xsi:type="dcterms:W3CDTF">2013-05-01T14:28:00Z</dcterms:created>
  <dcterms:modified xsi:type="dcterms:W3CDTF">2013-05-15T12:52:00Z</dcterms:modified>
</cp:coreProperties>
</file>