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B43610" w:rsidTr="00B43610">
        <w:trPr>
          <w:cantSplit/>
        </w:trPr>
        <w:tc>
          <w:tcPr>
            <w:tcW w:w="7044" w:type="dxa"/>
            <w:vAlign w:val="center"/>
          </w:tcPr>
          <w:p w:rsidR="00642ECF" w:rsidRPr="00B43610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4361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4361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B43610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43610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4E20CED8" wp14:editId="5BAC18A6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B43610" w:rsidTr="00B43610">
        <w:trPr>
          <w:cantSplit/>
        </w:trPr>
        <w:tc>
          <w:tcPr>
            <w:tcW w:w="7044" w:type="dxa"/>
            <w:vAlign w:val="center"/>
          </w:tcPr>
          <w:p w:rsidR="00642ECF" w:rsidRPr="00B43610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B43610" w:rsidRDefault="00642ECF" w:rsidP="00B43610">
            <w:pPr>
              <w:rPr>
                <w:lang w:val="ru-RU"/>
              </w:rPr>
            </w:pPr>
          </w:p>
        </w:tc>
      </w:tr>
    </w:tbl>
    <w:p w:rsidR="00701561" w:rsidRPr="00B43610" w:rsidRDefault="00701561" w:rsidP="0004718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B43610">
        <w:rPr>
          <w:lang w:val="ru-RU"/>
        </w:rPr>
        <w:tab/>
        <w:t>Женева,</w:t>
      </w:r>
      <w:r w:rsidR="00047184" w:rsidRPr="00B43610">
        <w:rPr>
          <w:lang w:val="ru-RU"/>
        </w:rPr>
        <w:t xml:space="preserve"> 29 апреля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B43610" w:rsidTr="00D91C71">
        <w:trPr>
          <w:cantSplit/>
        </w:trPr>
        <w:tc>
          <w:tcPr>
            <w:tcW w:w="1232" w:type="dxa"/>
          </w:tcPr>
          <w:p w:rsidR="00701561" w:rsidRPr="00B43610" w:rsidRDefault="00701561" w:rsidP="00E6370F">
            <w:pPr>
              <w:spacing w:before="0"/>
              <w:rPr>
                <w:lang w:val="ru-RU"/>
              </w:rPr>
            </w:pPr>
            <w:r w:rsidRPr="00B43610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B43610" w:rsidRDefault="00701561" w:rsidP="00047184">
            <w:pPr>
              <w:spacing w:before="0"/>
              <w:rPr>
                <w:lang w:val="ru-RU"/>
              </w:rPr>
            </w:pPr>
            <w:r w:rsidRPr="00B43610">
              <w:rPr>
                <w:b/>
                <w:bCs/>
                <w:lang w:val="ru-RU"/>
              </w:rPr>
              <w:t xml:space="preserve">Циркуляр </w:t>
            </w:r>
            <w:r w:rsidR="00047184" w:rsidRPr="00B43610">
              <w:rPr>
                <w:b/>
                <w:bCs/>
                <w:lang w:val="ru-RU"/>
              </w:rPr>
              <w:t>23</w:t>
            </w:r>
            <w:r w:rsidRPr="00B43610">
              <w:rPr>
                <w:b/>
                <w:bCs/>
                <w:lang w:val="ru-RU"/>
              </w:rPr>
              <w:t xml:space="preserve"> БСЭ</w:t>
            </w:r>
            <w:r w:rsidR="00E6370F" w:rsidRPr="00B43610">
              <w:rPr>
                <w:b/>
                <w:bCs/>
                <w:lang w:val="ru-RU"/>
              </w:rPr>
              <w:br/>
            </w:r>
            <w:r w:rsidRPr="00B43610">
              <w:rPr>
                <w:lang w:val="ru-RU"/>
              </w:rPr>
              <w:t xml:space="preserve">COM </w:t>
            </w:r>
            <w:r w:rsidR="00047184" w:rsidRPr="00B43610">
              <w:rPr>
                <w:lang w:val="ru-RU"/>
              </w:rPr>
              <w:t>17</w:t>
            </w:r>
            <w:r w:rsidRPr="00B43610">
              <w:rPr>
                <w:lang w:val="ru-RU"/>
              </w:rPr>
              <w:t>/</w:t>
            </w:r>
            <w:r w:rsidR="00047184" w:rsidRPr="00B43610">
              <w:rPr>
                <w:lang w:val="ru-RU"/>
              </w:rPr>
              <w:t>MEU</w:t>
            </w:r>
          </w:p>
          <w:p w:rsidR="00701561" w:rsidRPr="00B43610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F26DB3" w:rsidTr="00D91C71">
        <w:trPr>
          <w:cantSplit/>
        </w:trPr>
        <w:tc>
          <w:tcPr>
            <w:tcW w:w="1232" w:type="dxa"/>
          </w:tcPr>
          <w:p w:rsidR="00701561" w:rsidRPr="00B43610" w:rsidRDefault="00701561" w:rsidP="00E6370F">
            <w:pPr>
              <w:spacing w:before="0"/>
              <w:rPr>
                <w:lang w:val="ru-RU"/>
              </w:rPr>
            </w:pPr>
            <w:r w:rsidRPr="00B43610">
              <w:rPr>
                <w:lang w:val="ru-RU"/>
              </w:rPr>
              <w:t>Тел.:</w:t>
            </w:r>
            <w:r w:rsidR="00E6370F" w:rsidRPr="00B43610">
              <w:rPr>
                <w:lang w:val="ru-RU"/>
              </w:rPr>
              <w:br/>
            </w:r>
            <w:r w:rsidRPr="00B43610">
              <w:rPr>
                <w:lang w:val="ru-RU"/>
              </w:rPr>
              <w:t>Факс:</w:t>
            </w:r>
            <w:r w:rsidRPr="00B43610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F26DB3" w:rsidRDefault="00701561" w:rsidP="00E6370F">
            <w:pPr>
              <w:spacing w:before="0"/>
            </w:pPr>
            <w:r w:rsidRPr="00B43610">
              <w:rPr>
                <w:lang w:val="ru-RU"/>
              </w:rPr>
              <w:t>+41 22 730</w:t>
            </w:r>
            <w:r w:rsidR="00047184" w:rsidRPr="00B43610">
              <w:rPr>
                <w:lang w:val="ru-RU"/>
              </w:rPr>
              <w:t xml:space="preserve"> 5866</w:t>
            </w:r>
            <w:r w:rsidRPr="00B43610">
              <w:rPr>
                <w:lang w:val="ru-RU"/>
              </w:rPr>
              <w:br/>
              <w:t>+41 22 730 5853</w:t>
            </w:r>
            <w:r w:rsidRPr="00B43610">
              <w:rPr>
                <w:lang w:val="ru-RU"/>
              </w:rPr>
              <w:br/>
            </w:r>
            <w:hyperlink r:id="rId10" w:history="1">
              <w:r w:rsidR="00F26DB3" w:rsidRPr="00F03610">
                <w:rPr>
                  <w:rStyle w:val="Hyperlink"/>
                </w:rPr>
                <w:t>tsbsg17@i</w:t>
              </w:r>
              <w:r w:rsidR="00F26DB3" w:rsidRPr="00F03610">
                <w:rPr>
                  <w:rStyle w:val="Hyperlink"/>
                </w:rPr>
                <w:t>t</w:t>
              </w:r>
              <w:r w:rsidR="00F26DB3" w:rsidRPr="00F03610">
                <w:rPr>
                  <w:rStyle w:val="Hyperlink"/>
                </w:rPr>
                <w:t>u.int</w:t>
              </w:r>
            </w:hyperlink>
          </w:p>
        </w:tc>
        <w:tc>
          <w:tcPr>
            <w:tcW w:w="4322" w:type="dxa"/>
          </w:tcPr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b/>
                <w:bCs/>
                <w:lang w:val="ru-RU"/>
              </w:rPr>
              <w:t>Копии</w:t>
            </w:r>
            <w:r w:rsidRPr="00B43610">
              <w:rPr>
                <w:lang w:val="ru-RU"/>
              </w:rPr>
              <w:t>:</w:t>
            </w:r>
          </w:p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  <w:t>Членам Сектора МСЭ-Т</w:t>
            </w:r>
          </w:p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  <w:t>Ассоциированным членам МСЭ-Т</w:t>
            </w:r>
          </w:p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</w:r>
            <w:r w:rsidR="000E449C" w:rsidRPr="00B43610">
              <w:rPr>
                <w:lang w:val="ru-RU"/>
              </w:rPr>
              <w:t>Академическим организациям − Членам МСЭ</w:t>
            </w:r>
            <w:r w:rsidR="000E449C" w:rsidRPr="00B43610">
              <w:rPr>
                <w:lang w:val="ru-RU"/>
              </w:rPr>
              <w:noBreakHyphen/>
              <w:t>Т</w:t>
            </w:r>
          </w:p>
          <w:p w:rsidR="00701561" w:rsidRPr="00B43610" w:rsidRDefault="00701561" w:rsidP="00047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  <w:t>Председателю и заместителям</w:t>
            </w:r>
            <w:r w:rsidR="00047184" w:rsidRPr="00B43610">
              <w:rPr>
                <w:lang w:val="ru-RU"/>
              </w:rPr>
              <w:t xml:space="preserve"> председателя 17</w:t>
            </w:r>
            <w:r w:rsidRPr="00B43610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B4361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3610">
              <w:rPr>
                <w:lang w:val="ru-RU"/>
              </w:rPr>
              <w:t>–</w:t>
            </w:r>
            <w:r w:rsidRPr="00B43610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047184" w:rsidRPr="00B43610" w:rsidRDefault="00047184">
      <w:pPr>
        <w:rPr>
          <w:lang w:val="ru-RU"/>
        </w:rPr>
      </w:pP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8595"/>
      </w:tblGrid>
      <w:tr w:rsidR="00047184" w:rsidRPr="00F26DB3" w:rsidTr="00047184">
        <w:trPr>
          <w:cantSplit/>
        </w:trPr>
        <w:tc>
          <w:tcPr>
            <w:tcW w:w="1232" w:type="dxa"/>
          </w:tcPr>
          <w:p w:rsidR="00047184" w:rsidRPr="00B43610" w:rsidRDefault="00047184" w:rsidP="00E6370F">
            <w:pPr>
              <w:spacing w:before="0"/>
              <w:rPr>
                <w:lang w:val="ru-RU"/>
              </w:rPr>
            </w:pPr>
            <w:r w:rsidRPr="00B43610">
              <w:rPr>
                <w:lang w:val="ru-RU"/>
              </w:rPr>
              <w:t>Предмет:</w:t>
            </w:r>
          </w:p>
        </w:tc>
        <w:tc>
          <w:tcPr>
            <w:tcW w:w="8595" w:type="dxa"/>
          </w:tcPr>
          <w:p w:rsidR="00047184" w:rsidRPr="00B43610" w:rsidRDefault="00047184" w:rsidP="00047184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B43610">
              <w:rPr>
                <w:b/>
                <w:bCs/>
                <w:lang w:val="ru-RU"/>
              </w:rPr>
              <w:t>Утверждение новых Рекомендаций МСЭ</w:t>
            </w:r>
            <w:r w:rsidRPr="00B43610">
              <w:rPr>
                <w:b/>
                <w:bCs/>
                <w:lang w:val="ru-RU"/>
              </w:rPr>
              <w:noBreakHyphen/>
              <w:t xml:space="preserve">Т </w:t>
            </w:r>
            <w:r w:rsidRPr="00B43610">
              <w:rPr>
                <w:b/>
                <w:lang w:val="ru-RU"/>
              </w:rPr>
              <w:t>X.1154, X.1526 и X.1544</w:t>
            </w:r>
          </w:p>
          <w:p w:rsidR="00047184" w:rsidRPr="00B43610" w:rsidRDefault="005D3B0B" w:rsidP="005D3B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B43610">
              <w:rPr>
                <w:b/>
                <w:lang w:val="ru-RU"/>
              </w:rPr>
              <w:t>Прекращение работы над</w:t>
            </w:r>
            <w:r w:rsidR="00047184" w:rsidRPr="00B43610">
              <w:rPr>
                <w:b/>
                <w:lang w:val="ru-RU"/>
              </w:rPr>
              <w:t xml:space="preserve"> проект</w:t>
            </w:r>
            <w:r w:rsidRPr="00B43610">
              <w:rPr>
                <w:b/>
                <w:lang w:val="ru-RU"/>
              </w:rPr>
              <w:t>ом</w:t>
            </w:r>
            <w:r w:rsidR="00047184" w:rsidRPr="00B43610">
              <w:rPr>
                <w:b/>
                <w:lang w:val="ru-RU"/>
              </w:rPr>
              <w:t xml:space="preserve"> новой Рекомендации МСЭ-T X.1126</w:t>
            </w:r>
          </w:p>
        </w:tc>
      </w:tr>
    </w:tbl>
    <w:p w:rsidR="00701561" w:rsidRPr="00B43610" w:rsidRDefault="00701561" w:rsidP="00047184">
      <w:pPr>
        <w:pStyle w:val="Normalaftertitle"/>
        <w:spacing w:before="480"/>
        <w:rPr>
          <w:lang w:val="ru-RU"/>
        </w:rPr>
      </w:pPr>
      <w:r w:rsidRPr="00B43610">
        <w:rPr>
          <w:lang w:val="ru-RU"/>
        </w:rPr>
        <w:t>Уважаемая госпожа,</w:t>
      </w:r>
      <w:r w:rsidRPr="00B43610">
        <w:rPr>
          <w:lang w:val="ru-RU"/>
        </w:rPr>
        <w:br/>
      </w:r>
      <w:r w:rsidR="00716973" w:rsidRPr="00B43610">
        <w:rPr>
          <w:lang w:val="ru-RU"/>
        </w:rPr>
        <w:t xml:space="preserve">уважаемый </w:t>
      </w:r>
      <w:r w:rsidRPr="00B43610">
        <w:rPr>
          <w:lang w:val="ru-RU"/>
        </w:rPr>
        <w:t>господин,</w:t>
      </w:r>
    </w:p>
    <w:p w:rsidR="00047184" w:rsidRPr="00B43610" w:rsidRDefault="00701561" w:rsidP="00047184">
      <w:pPr>
        <w:spacing w:before="240"/>
        <w:rPr>
          <w:lang w:val="ru-RU"/>
        </w:rPr>
      </w:pPr>
      <w:r w:rsidRPr="00B43610">
        <w:rPr>
          <w:lang w:val="ru-RU"/>
        </w:rPr>
        <w:t>1</w:t>
      </w:r>
      <w:r w:rsidRPr="00B43610">
        <w:rPr>
          <w:lang w:val="ru-RU"/>
        </w:rPr>
        <w:tab/>
        <w:t xml:space="preserve">В соответствии с Циркуляром </w:t>
      </w:r>
      <w:r w:rsidR="00047184" w:rsidRPr="00B43610">
        <w:rPr>
          <w:lang w:val="ru-RU"/>
        </w:rPr>
        <w:t xml:space="preserve">311 </w:t>
      </w:r>
      <w:r w:rsidRPr="00B43610">
        <w:rPr>
          <w:lang w:val="ru-RU"/>
        </w:rPr>
        <w:t xml:space="preserve">БСЭ от </w:t>
      </w:r>
      <w:r w:rsidR="00047184" w:rsidRPr="00B43610">
        <w:rPr>
          <w:lang w:val="ru-RU"/>
        </w:rPr>
        <w:t>27 сентября 2012 </w:t>
      </w:r>
      <w:r w:rsidR="00A82EFF" w:rsidRPr="00B43610">
        <w:rPr>
          <w:lang w:val="ru-RU"/>
        </w:rPr>
        <w:t>года</w:t>
      </w:r>
      <w:r w:rsidRPr="00B43610">
        <w:rPr>
          <w:lang w:val="ru-RU"/>
        </w:rPr>
        <w:t xml:space="preserve"> настоящим информирую </w:t>
      </w:r>
      <w:r w:rsidR="00E765EE" w:rsidRPr="00B43610">
        <w:rPr>
          <w:lang w:val="ru-RU"/>
        </w:rPr>
        <w:t xml:space="preserve">вас </w:t>
      </w:r>
      <w:r w:rsidRPr="00B43610">
        <w:rPr>
          <w:lang w:val="ru-RU"/>
        </w:rPr>
        <w:t xml:space="preserve">о том, что </w:t>
      </w:r>
      <w:r w:rsidR="00047184" w:rsidRPr="00B43610">
        <w:rPr>
          <w:lang w:val="ru-RU"/>
        </w:rPr>
        <w:t>28</w:t>
      </w:r>
      <w:r w:rsidRPr="00B43610">
        <w:rPr>
          <w:lang w:val="ru-RU"/>
        </w:rPr>
        <w:t xml:space="preserve"> Государств – Членов Союза, принимавших участие в последнем собрании </w:t>
      </w:r>
      <w:r w:rsidR="00047184" w:rsidRPr="00B43610">
        <w:rPr>
          <w:lang w:val="ru-RU"/>
        </w:rPr>
        <w:t>17</w:t>
      </w:r>
      <w:r w:rsidRPr="00B43610">
        <w:rPr>
          <w:lang w:val="ru-RU"/>
        </w:rPr>
        <w:noBreakHyphen/>
        <w:t xml:space="preserve">й Исследовательской комиссии, </w:t>
      </w:r>
      <w:r w:rsidR="00047184" w:rsidRPr="00B43610">
        <w:rPr>
          <w:lang w:val="ru-RU"/>
        </w:rPr>
        <w:t>на пленарном заседании, состоявшемся 26 апреля 2013 года:</w:t>
      </w:r>
    </w:p>
    <w:p w:rsidR="00701561" w:rsidRPr="00B43610" w:rsidRDefault="00047184" w:rsidP="00047184">
      <w:pPr>
        <w:rPr>
          <w:lang w:val="ru-RU"/>
        </w:rPr>
      </w:pPr>
      <w:r w:rsidRPr="00B43610">
        <w:rPr>
          <w:lang w:val="ru-RU"/>
        </w:rPr>
        <w:t>1.1</w:t>
      </w:r>
      <w:r w:rsidRPr="00B43610">
        <w:rPr>
          <w:lang w:val="ru-RU"/>
        </w:rPr>
        <w:tab/>
      </w:r>
      <w:r w:rsidR="00701561" w:rsidRPr="00B43610">
        <w:rPr>
          <w:b/>
          <w:bCs/>
          <w:lang w:val="ru-RU"/>
        </w:rPr>
        <w:t>утвердили</w:t>
      </w:r>
      <w:r w:rsidR="00701561" w:rsidRPr="00B43610">
        <w:rPr>
          <w:lang w:val="ru-RU"/>
        </w:rPr>
        <w:t xml:space="preserve"> тексты </w:t>
      </w:r>
      <w:r w:rsidRPr="00B43610">
        <w:rPr>
          <w:lang w:val="ru-RU"/>
        </w:rPr>
        <w:t xml:space="preserve">трех проектов новых </w:t>
      </w:r>
      <w:r w:rsidR="00E6370F" w:rsidRPr="00B43610">
        <w:rPr>
          <w:lang w:val="ru-RU"/>
        </w:rPr>
        <w:t xml:space="preserve">Рекомендаций </w:t>
      </w:r>
      <w:r w:rsidRPr="00B43610">
        <w:rPr>
          <w:lang w:val="ru-RU"/>
        </w:rPr>
        <w:t>МСЭ</w:t>
      </w:r>
      <w:r w:rsidRPr="00B43610">
        <w:rPr>
          <w:lang w:val="ru-RU"/>
        </w:rPr>
        <w:noBreakHyphen/>
        <w:t>Т.</w:t>
      </w:r>
    </w:p>
    <w:p w:rsidR="00805B73" w:rsidRPr="00B43610" w:rsidRDefault="00805B73" w:rsidP="00047184">
      <w:pPr>
        <w:rPr>
          <w:lang w:val="ru-RU"/>
        </w:rPr>
      </w:pPr>
      <w:r w:rsidRPr="00B43610">
        <w:rPr>
          <w:lang w:val="ru-RU"/>
        </w:rPr>
        <w:t xml:space="preserve">Названия </w:t>
      </w:r>
      <w:r w:rsidR="00047184" w:rsidRPr="00B43610">
        <w:rPr>
          <w:lang w:val="ru-RU"/>
        </w:rPr>
        <w:t xml:space="preserve">новых </w:t>
      </w:r>
      <w:r w:rsidRPr="00B43610">
        <w:rPr>
          <w:lang w:val="ru-RU"/>
        </w:rPr>
        <w:t xml:space="preserve">Рекомендаций МСЭ-Т, которые были утверждены, приводятся ниже: </w:t>
      </w:r>
    </w:p>
    <w:p w:rsidR="00047184" w:rsidRPr="00B43610" w:rsidRDefault="00047184" w:rsidP="00B43610">
      <w:pPr>
        <w:tabs>
          <w:tab w:val="clear" w:pos="794"/>
          <w:tab w:val="clear" w:pos="1191"/>
          <w:tab w:val="clear" w:pos="1588"/>
        </w:tabs>
        <w:ind w:left="1985" w:hanging="1191"/>
        <w:rPr>
          <w:b/>
          <w:bCs/>
          <w:lang w:val="ru-RU"/>
        </w:rPr>
      </w:pPr>
      <w:r w:rsidRPr="00B43610">
        <w:rPr>
          <w:b/>
          <w:bCs/>
          <w:lang w:val="ru-RU"/>
        </w:rPr>
        <w:t>X.1154</w:t>
      </w:r>
      <w:r w:rsidRPr="00B43610">
        <w:rPr>
          <w:b/>
          <w:bCs/>
          <w:lang w:val="ru-RU"/>
        </w:rPr>
        <w:tab/>
        <w:t>Общая структура комбинированной аутентификации в средах со многими поставщиками</w:t>
      </w:r>
      <w:r w:rsidR="00E765EE">
        <w:rPr>
          <w:b/>
          <w:bCs/>
          <w:lang w:val="ru-RU"/>
        </w:rPr>
        <w:t xml:space="preserve"> услуг определения идентичности</w:t>
      </w:r>
      <w:r w:rsidR="00E765EE" w:rsidRPr="00E765EE">
        <w:rPr>
          <w:lang w:val="ru-RU"/>
        </w:rPr>
        <w:t>;</w:t>
      </w:r>
    </w:p>
    <w:p w:rsidR="00047184" w:rsidRPr="00B43610" w:rsidRDefault="00047184" w:rsidP="00B43610">
      <w:pPr>
        <w:tabs>
          <w:tab w:val="clear" w:pos="794"/>
          <w:tab w:val="clear" w:pos="1191"/>
          <w:tab w:val="clear" w:pos="1588"/>
        </w:tabs>
        <w:ind w:left="1985" w:hanging="1191"/>
        <w:rPr>
          <w:b/>
          <w:bCs/>
          <w:lang w:val="ru-RU"/>
        </w:rPr>
      </w:pPr>
      <w:r w:rsidRPr="00B43610">
        <w:rPr>
          <w:b/>
          <w:bCs/>
          <w:lang w:val="ru-RU"/>
        </w:rPr>
        <w:t>X.1526</w:t>
      </w:r>
      <w:r w:rsidRPr="00B43610">
        <w:rPr>
          <w:b/>
          <w:bCs/>
          <w:lang w:val="ru-RU"/>
        </w:rPr>
        <w:tab/>
        <w:t>Открытый язык описания уязвимостей и оценки</w:t>
      </w:r>
      <w:r w:rsidR="00E765EE" w:rsidRPr="00E765EE">
        <w:rPr>
          <w:lang w:val="ru-RU"/>
        </w:rPr>
        <w:t>;</w:t>
      </w:r>
    </w:p>
    <w:p w:rsidR="00047184" w:rsidRPr="00B43610" w:rsidRDefault="00047184" w:rsidP="00B43610">
      <w:pPr>
        <w:tabs>
          <w:tab w:val="clear" w:pos="794"/>
          <w:tab w:val="clear" w:pos="1191"/>
          <w:tab w:val="clear" w:pos="1588"/>
        </w:tabs>
        <w:ind w:left="1985" w:hanging="1191"/>
        <w:rPr>
          <w:b/>
          <w:bCs/>
          <w:lang w:val="ru-RU"/>
        </w:rPr>
      </w:pPr>
      <w:r w:rsidRPr="00B43610">
        <w:rPr>
          <w:b/>
          <w:bCs/>
          <w:lang w:val="ru-RU"/>
        </w:rPr>
        <w:t>X.1544</w:t>
      </w:r>
      <w:r w:rsidRPr="00B43610">
        <w:rPr>
          <w:b/>
          <w:bCs/>
          <w:lang w:val="ru-RU"/>
        </w:rPr>
        <w:tab/>
        <w:t>Перечень и классификация общеизвестных схем атак</w:t>
      </w:r>
      <w:r w:rsidRPr="00E765EE">
        <w:rPr>
          <w:lang w:val="ru-RU"/>
        </w:rPr>
        <w:t>.</w:t>
      </w:r>
    </w:p>
    <w:p w:rsidR="00047184" w:rsidRPr="00B43610" w:rsidRDefault="00047184" w:rsidP="005D3B0B">
      <w:pPr>
        <w:spacing w:before="240"/>
        <w:rPr>
          <w:lang w:val="ru-RU"/>
        </w:rPr>
      </w:pPr>
      <w:r w:rsidRPr="00B43610">
        <w:rPr>
          <w:lang w:val="ru-RU"/>
        </w:rPr>
        <w:t>1.2</w:t>
      </w:r>
      <w:r w:rsidRPr="00B43610">
        <w:rPr>
          <w:lang w:val="ru-RU"/>
        </w:rPr>
        <w:tab/>
      </w:r>
      <w:r w:rsidR="005D3B0B" w:rsidRPr="00B43610">
        <w:rPr>
          <w:b/>
          <w:bCs/>
          <w:lang w:val="ru-RU"/>
        </w:rPr>
        <w:t>решили прекратить работу</w:t>
      </w:r>
      <w:r w:rsidR="005D3B0B" w:rsidRPr="00B43610">
        <w:rPr>
          <w:lang w:val="ru-RU"/>
        </w:rPr>
        <w:t xml:space="preserve"> над текстом одного </w:t>
      </w:r>
      <w:r w:rsidRPr="00B43610">
        <w:rPr>
          <w:lang w:val="ru-RU"/>
        </w:rPr>
        <w:t>проекта новой Рекомендации МСЭ-T.</w:t>
      </w:r>
    </w:p>
    <w:p w:rsidR="00047184" w:rsidRPr="00B43610" w:rsidRDefault="00047184" w:rsidP="005D3B0B">
      <w:pPr>
        <w:rPr>
          <w:lang w:val="ru-RU"/>
        </w:rPr>
      </w:pPr>
      <w:r w:rsidRPr="00B43610">
        <w:rPr>
          <w:lang w:val="ru-RU"/>
        </w:rPr>
        <w:t>Название проекта новой Рекомендации МСЭ-T</w:t>
      </w:r>
      <w:r w:rsidR="005D3B0B" w:rsidRPr="00B43610">
        <w:rPr>
          <w:lang w:val="ru-RU"/>
        </w:rPr>
        <w:t>, работа над которым была прекращена, приводится ниже</w:t>
      </w:r>
      <w:r w:rsidRPr="00B43610">
        <w:rPr>
          <w:lang w:val="ru-RU"/>
        </w:rPr>
        <w:t>:</w:t>
      </w:r>
    </w:p>
    <w:p w:rsidR="00047184" w:rsidRPr="00B43610" w:rsidRDefault="00047184" w:rsidP="00B43610">
      <w:pPr>
        <w:tabs>
          <w:tab w:val="clear" w:pos="794"/>
          <w:tab w:val="clear" w:pos="1191"/>
          <w:tab w:val="clear" w:pos="1588"/>
        </w:tabs>
        <w:ind w:left="1985" w:hanging="1191"/>
        <w:rPr>
          <w:b/>
          <w:bCs/>
          <w:lang w:val="ru-RU"/>
        </w:rPr>
      </w:pPr>
      <w:r w:rsidRPr="00B43610">
        <w:rPr>
          <w:b/>
          <w:bCs/>
          <w:lang w:val="ru-RU"/>
        </w:rPr>
        <w:t>X.1126</w:t>
      </w:r>
      <w:r w:rsidRPr="00B43610">
        <w:rPr>
          <w:b/>
          <w:bCs/>
          <w:lang w:val="ru-RU"/>
        </w:rPr>
        <w:tab/>
        <w:t>Аспекты безопасности смартфонов</w:t>
      </w:r>
      <w:r w:rsidR="00E765EE">
        <w:rPr>
          <w:lang w:val="ru-RU"/>
        </w:rPr>
        <w:t>.</w:t>
      </w:r>
    </w:p>
    <w:p w:rsidR="00047184" w:rsidRPr="00B43610" w:rsidRDefault="00E765EE" w:rsidP="00E765EE">
      <w:pPr>
        <w:spacing w:before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ПРИМЕЧАНИЕ. − </w:t>
      </w:r>
      <w:r w:rsidR="005D3B0B" w:rsidRPr="00B43610">
        <w:rPr>
          <w:sz w:val="20"/>
          <w:szCs w:val="20"/>
          <w:lang w:val="ru-RU"/>
        </w:rPr>
        <w:t>Было принято решение прекратить работу над проектом</w:t>
      </w:r>
      <w:r w:rsidR="00047184" w:rsidRPr="00B43610">
        <w:rPr>
          <w:sz w:val="20"/>
          <w:szCs w:val="20"/>
          <w:lang w:val="ru-RU"/>
        </w:rPr>
        <w:t xml:space="preserve"> X.1126;</w:t>
      </w:r>
      <w:r>
        <w:rPr>
          <w:sz w:val="20"/>
          <w:szCs w:val="20"/>
          <w:lang w:val="ru-RU"/>
        </w:rPr>
        <w:t xml:space="preserve"> текст был преобразован в </w:t>
      </w:r>
      <w:r w:rsidR="005D3B0B" w:rsidRPr="00B43610">
        <w:rPr>
          <w:sz w:val="20"/>
          <w:szCs w:val="20"/>
          <w:lang w:val="ru-RU"/>
        </w:rPr>
        <w:t>Добавление</w:t>
      </w:r>
      <w:r w:rsidR="00B43610">
        <w:rPr>
          <w:sz w:val="20"/>
          <w:szCs w:val="20"/>
          <w:lang w:val="ru-RU"/>
        </w:rPr>
        <w:t> </w:t>
      </w:r>
      <w:r w:rsidR="00047184" w:rsidRPr="00B43610">
        <w:rPr>
          <w:sz w:val="20"/>
          <w:szCs w:val="20"/>
          <w:lang w:val="ru-RU"/>
        </w:rPr>
        <w:t>(X.</w:t>
      </w:r>
      <w:r w:rsidR="00D54E5F" w:rsidRPr="00B43610">
        <w:rPr>
          <w:sz w:val="20"/>
          <w:szCs w:val="20"/>
          <w:lang w:val="ru-RU" w:bidi="ar-EG"/>
        </w:rPr>
        <w:t>Suppl.</w:t>
      </w:r>
      <w:r w:rsidR="005D3B0B" w:rsidRPr="00B43610">
        <w:rPr>
          <w:sz w:val="20"/>
          <w:szCs w:val="20"/>
          <w:lang w:val="ru-RU"/>
        </w:rPr>
        <w:t xml:space="preserve"> </w:t>
      </w:r>
      <w:r w:rsidR="00047184" w:rsidRPr="00B43610">
        <w:rPr>
          <w:sz w:val="20"/>
          <w:szCs w:val="20"/>
          <w:lang w:val="ru-RU"/>
        </w:rPr>
        <w:t xml:space="preserve">19, </w:t>
      </w:r>
      <w:r w:rsidR="005D3B0B" w:rsidRPr="00B43610">
        <w:rPr>
          <w:sz w:val="20"/>
          <w:szCs w:val="20"/>
          <w:lang w:val="ru-RU"/>
        </w:rPr>
        <w:t>Добавление к серии МСЭ-Т</w:t>
      </w:r>
      <w:r w:rsidR="00047184" w:rsidRPr="00B43610">
        <w:rPr>
          <w:sz w:val="20"/>
          <w:szCs w:val="20"/>
          <w:lang w:val="ru-RU"/>
        </w:rPr>
        <w:t xml:space="preserve"> X.1120 – </w:t>
      </w:r>
      <w:r w:rsidR="005D3B0B" w:rsidRPr="00B43610">
        <w:rPr>
          <w:sz w:val="20"/>
          <w:szCs w:val="20"/>
          <w:lang w:val="ru-RU"/>
        </w:rPr>
        <w:t>Добавление по аспектам безопасности смартфонов</w:t>
      </w:r>
      <w:r w:rsidR="00047184" w:rsidRPr="00B43610">
        <w:rPr>
          <w:sz w:val="20"/>
          <w:szCs w:val="20"/>
          <w:lang w:val="ru-RU"/>
        </w:rPr>
        <w:t>)</w:t>
      </w:r>
      <w:r w:rsidR="005D3B0B" w:rsidRPr="00B43610">
        <w:rPr>
          <w:sz w:val="20"/>
          <w:szCs w:val="20"/>
          <w:lang w:val="ru-RU"/>
        </w:rPr>
        <w:t>, по которому было достигнуто согласие</w:t>
      </w:r>
      <w:r w:rsidR="00047184" w:rsidRPr="00B43610">
        <w:rPr>
          <w:sz w:val="20"/>
          <w:szCs w:val="20"/>
          <w:lang w:val="ru-RU"/>
        </w:rPr>
        <w:t>.</w:t>
      </w:r>
    </w:p>
    <w:p w:rsidR="00047184" w:rsidRPr="00B43610" w:rsidRDefault="0004718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43610">
        <w:rPr>
          <w:lang w:val="ru-RU"/>
        </w:rPr>
        <w:br w:type="page"/>
      </w:r>
    </w:p>
    <w:p w:rsidR="00701561" w:rsidRPr="00B43610" w:rsidRDefault="00701561" w:rsidP="00047184">
      <w:pPr>
        <w:rPr>
          <w:lang w:val="ru-RU"/>
        </w:rPr>
      </w:pPr>
      <w:r w:rsidRPr="00B43610">
        <w:rPr>
          <w:lang w:val="ru-RU"/>
        </w:rPr>
        <w:lastRenderedPageBreak/>
        <w:t>3</w:t>
      </w:r>
      <w:r w:rsidRPr="00B43610">
        <w:rPr>
          <w:lang w:val="ru-RU"/>
        </w:rPr>
        <w:tab/>
        <w:t xml:space="preserve">Тексты </w:t>
      </w:r>
      <w:r w:rsidR="00C91EFA" w:rsidRPr="00B43610">
        <w:rPr>
          <w:lang w:val="ru-RU"/>
        </w:rPr>
        <w:t xml:space="preserve">предварительно опубликованных </w:t>
      </w:r>
      <w:r w:rsidR="00E6370F" w:rsidRPr="00B43610">
        <w:rPr>
          <w:lang w:val="ru-RU"/>
        </w:rPr>
        <w:t xml:space="preserve">Рекомендаций </w:t>
      </w:r>
      <w:r w:rsidRPr="00B43610">
        <w:rPr>
          <w:lang w:val="ru-RU"/>
        </w:rPr>
        <w:t xml:space="preserve">будут в ближайшее время размещены на </w:t>
      </w:r>
      <w:r w:rsidR="00805B73" w:rsidRPr="00B43610">
        <w:rPr>
          <w:lang w:val="ru-RU"/>
        </w:rPr>
        <w:t>веб</w:t>
      </w:r>
      <w:r w:rsidRPr="00B43610">
        <w:rPr>
          <w:lang w:val="ru-RU"/>
        </w:rPr>
        <w:noBreakHyphen/>
        <w:t>сайте МСЭ</w:t>
      </w:r>
      <w:r w:rsidRPr="00B43610">
        <w:rPr>
          <w:lang w:val="ru-RU"/>
        </w:rPr>
        <w:noBreakHyphen/>
        <w:t>Т.</w:t>
      </w:r>
    </w:p>
    <w:p w:rsidR="00701561" w:rsidRPr="00B43610" w:rsidRDefault="00047184" w:rsidP="00047184">
      <w:pPr>
        <w:rPr>
          <w:lang w:val="ru-RU"/>
        </w:rPr>
      </w:pPr>
      <w:r w:rsidRPr="00B43610">
        <w:rPr>
          <w:lang w:val="ru-RU"/>
        </w:rPr>
        <w:t>4</w:t>
      </w:r>
      <w:r w:rsidR="00701561" w:rsidRPr="00B43610">
        <w:rPr>
          <w:lang w:val="ru-RU"/>
        </w:rPr>
        <w:tab/>
        <w:t xml:space="preserve">Тексты данных </w:t>
      </w:r>
      <w:r w:rsidR="002D3234" w:rsidRPr="00B43610">
        <w:rPr>
          <w:lang w:val="ru-RU"/>
        </w:rPr>
        <w:t xml:space="preserve">Рекомендаций </w:t>
      </w:r>
      <w:r w:rsidR="00701561" w:rsidRPr="00B43610">
        <w:rPr>
          <w:lang w:val="ru-RU"/>
        </w:rPr>
        <w:t>будут опубликованы МСЭ в самое ближайшее время.</w:t>
      </w:r>
    </w:p>
    <w:p w:rsidR="00701561" w:rsidRPr="00B43610" w:rsidRDefault="00701561" w:rsidP="00E6370F">
      <w:pPr>
        <w:pStyle w:val="Normalaftertitle"/>
        <w:rPr>
          <w:lang w:val="ru-RU"/>
        </w:rPr>
      </w:pPr>
      <w:r w:rsidRPr="00B43610">
        <w:rPr>
          <w:lang w:val="ru-RU"/>
        </w:rPr>
        <w:t>С уважением,</w:t>
      </w:r>
    </w:p>
    <w:p w:rsidR="00805B73" w:rsidRPr="00B43610" w:rsidRDefault="00701561" w:rsidP="00F26DB3">
      <w:pPr>
        <w:spacing w:before="1680"/>
        <w:rPr>
          <w:lang w:val="ru-RU"/>
        </w:rPr>
      </w:pPr>
      <w:r w:rsidRPr="00B43610">
        <w:rPr>
          <w:lang w:val="ru-RU"/>
        </w:rPr>
        <w:t>Малколм Джонс</w:t>
      </w:r>
      <w:bookmarkStart w:id="0" w:name="_GoBack"/>
      <w:bookmarkEnd w:id="0"/>
      <w:r w:rsidRPr="00B43610">
        <w:rPr>
          <w:lang w:val="ru-RU"/>
        </w:rPr>
        <w:t>он</w:t>
      </w:r>
      <w:r w:rsidRPr="00B43610">
        <w:rPr>
          <w:lang w:val="ru-RU"/>
        </w:rPr>
        <w:br/>
        <w:t>Директор Бюро</w:t>
      </w:r>
      <w:r w:rsidRPr="00B43610">
        <w:rPr>
          <w:lang w:val="ru-RU"/>
        </w:rPr>
        <w:br/>
        <w:t>стандартизации электросвязи</w:t>
      </w:r>
    </w:p>
    <w:sectPr w:rsidR="00805B73" w:rsidRPr="00B43610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Pr="00F26DB3" w:rsidRDefault="00F26DB3" w:rsidP="00F26D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F26DB3">
      <w:rPr>
        <w:caps/>
        <w:sz w:val="16"/>
        <w:szCs w:val="20"/>
        <w:lang w:val="fr-CH"/>
      </w:rPr>
      <w:t>ITU-T\BUREAU\CIRC\23</w:t>
    </w:r>
    <w:r>
      <w:rPr>
        <w:caps/>
        <w:sz w:val="16"/>
        <w:szCs w:val="20"/>
        <w:lang w:val="fr-CH"/>
      </w:rPr>
      <w:t>R</w:t>
    </w:r>
    <w:r w:rsidRPr="00F26DB3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718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47184" w:rsidRPr="00E6370F" w:rsidRDefault="0004718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B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34F94"/>
    <w:rsid w:val="00B43610"/>
    <w:rsid w:val="00BC33B4"/>
    <w:rsid w:val="00C22D6C"/>
    <w:rsid w:val="00C60E38"/>
    <w:rsid w:val="00C623F1"/>
    <w:rsid w:val="00C90838"/>
    <w:rsid w:val="00C91EFA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F273F"/>
    <w:rsid w:val="00F15118"/>
    <w:rsid w:val="00F205F5"/>
    <w:rsid w:val="00F26DB3"/>
    <w:rsid w:val="00F830DA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6BB1-9EF7-40ED-B155-2A140630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2023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5</cp:revision>
  <cp:lastPrinted>2013-05-02T13:50:00Z</cp:lastPrinted>
  <dcterms:created xsi:type="dcterms:W3CDTF">2013-05-01T13:59:00Z</dcterms:created>
  <dcterms:modified xsi:type="dcterms:W3CDTF">2013-05-08T08:52:00Z</dcterms:modified>
</cp:coreProperties>
</file>