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686272" w:rsidRPr="00617BE4" w:rsidTr="00686272">
        <w:trPr>
          <w:cantSplit/>
        </w:trPr>
        <w:tc>
          <w:tcPr>
            <w:tcW w:w="6323" w:type="dxa"/>
            <w:vAlign w:val="center"/>
          </w:tcPr>
          <w:p w:rsidR="00686272" w:rsidRPr="00C56944" w:rsidRDefault="00686272" w:rsidP="00686272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686272" w:rsidRPr="00C56944" w:rsidRDefault="00C869F7" w:rsidP="00686272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44" w:rsidRDefault="00C56944" w:rsidP="007E50DA">
      <w:pPr>
        <w:spacing w:before="0"/>
        <w:rPr>
          <w:rtl/>
          <w:lang w:bidi="ar-EG"/>
        </w:rPr>
      </w:pPr>
    </w:p>
    <w:p w:rsidR="007E50DA" w:rsidRDefault="007E50DA" w:rsidP="007E50DA">
      <w:pPr>
        <w:spacing w:before="0"/>
        <w:rPr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F4B09" w:rsidRPr="004C55A5">
        <w:trPr>
          <w:cantSplit/>
          <w:trHeight w:val="340"/>
        </w:trPr>
        <w:tc>
          <w:tcPr>
            <w:tcW w:w="1533" w:type="dxa"/>
          </w:tcPr>
          <w:p w:rsidR="009F4B09" w:rsidRPr="004C55A5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template"/>
            <w:bookmarkEnd w:id="0"/>
          </w:p>
        </w:tc>
        <w:tc>
          <w:tcPr>
            <w:tcW w:w="3340" w:type="dxa"/>
          </w:tcPr>
          <w:p w:rsidR="009F4B09" w:rsidRPr="004C55A5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F4B09" w:rsidRPr="004C55A5" w:rsidRDefault="00064EC5" w:rsidP="00171DD2">
            <w:pPr>
              <w:tabs>
                <w:tab w:val="left" w:pos="4111"/>
              </w:tabs>
              <w:spacing w:after="60" w:line="300" w:lineRule="exact"/>
              <w:ind w:left="57"/>
              <w:rPr>
                <w:lang w:bidi="ar-EG"/>
              </w:rPr>
            </w:pPr>
            <w:r w:rsidRPr="004C55A5">
              <w:rPr>
                <w:rFonts w:hint="cs"/>
                <w:rtl/>
              </w:rPr>
              <w:t>جنيف،</w:t>
            </w:r>
            <w:r w:rsidR="00686272" w:rsidRPr="004C55A5">
              <w:rPr>
                <w:rFonts w:hint="cs"/>
                <w:rtl/>
              </w:rPr>
              <w:t xml:space="preserve"> </w:t>
            </w:r>
            <w:r w:rsidR="00171DD2">
              <w:t>5</w:t>
            </w:r>
            <w:r w:rsidR="00686272" w:rsidRPr="004C55A5">
              <w:rPr>
                <w:rFonts w:hint="cs"/>
                <w:rtl/>
                <w:lang w:bidi="ar-EG"/>
              </w:rPr>
              <w:t xml:space="preserve"> </w:t>
            </w:r>
            <w:r w:rsidR="00171DD2">
              <w:rPr>
                <w:rFonts w:hint="cs"/>
                <w:rtl/>
                <w:lang w:bidi="ar-EG"/>
              </w:rPr>
              <w:t>مارس</w:t>
            </w:r>
            <w:r w:rsidR="00686272" w:rsidRPr="004C55A5">
              <w:rPr>
                <w:rFonts w:hint="cs"/>
                <w:rtl/>
                <w:lang w:bidi="ar-EG"/>
              </w:rPr>
              <w:t xml:space="preserve"> </w:t>
            </w:r>
            <w:r w:rsidR="00171DD2">
              <w:rPr>
                <w:lang w:bidi="ar-EG"/>
              </w:rPr>
              <w:t>2014</w:t>
            </w:r>
          </w:p>
          <w:p w:rsidR="009F4B09" w:rsidRPr="004C55A5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9F4B09" w:rsidRPr="004C55A5">
        <w:trPr>
          <w:cantSplit/>
          <w:trHeight w:val="340"/>
        </w:trPr>
        <w:tc>
          <w:tcPr>
            <w:tcW w:w="1533" w:type="dxa"/>
          </w:tcPr>
          <w:p w:rsidR="009F4B09" w:rsidRPr="004C55A5" w:rsidRDefault="009F4B09" w:rsidP="003C45D9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4C55A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9F4B09" w:rsidRPr="004C55A5" w:rsidRDefault="009F4B09" w:rsidP="003C45D9">
            <w:pPr>
              <w:tabs>
                <w:tab w:val="left" w:pos="4111"/>
              </w:tabs>
              <w:spacing w:before="60" w:line="300" w:lineRule="exact"/>
              <w:ind w:left="57"/>
              <w:rPr>
                <w:bCs/>
                <w:rtl/>
                <w:lang w:bidi="ar-EG"/>
              </w:rPr>
            </w:pPr>
            <w:r w:rsidRPr="004C55A5">
              <w:rPr>
                <w:b/>
              </w:rPr>
              <w:t>TSB</w:t>
            </w:r>
            <w:r w:rsidR="003C45D9">
              <w:rPr>
                <w:b/>
              </w:rPr>
              <w:t> </w:t>
            </w:r>
            <w:r w:rsidRPr="004C55A5">
              <w:rPr>
                <w:b/>
              </w:rPr>
              <w:t>Circular</w:t>
            </w:r>
            <w:r w:rsidR="00DF5247">
              <w:rPr>
                <w:b/>
              </w:rPr>
              <w:t> </w:t>
            </w:r>
            <w:r w:rsidR="00171DD2">
              <w:rPr>
                <w:b/>
              </w:rPr>
              <w:t>85</w:t>
            </w:r>
            <w:r w:rsidR="003C45D9">
              <w:rPr>
                <w:b/>
                <w:rtl/>
                <w:lang w:bidi="ar-EG"/>
              </w:rPr>
              <w:br/>
            </w:r>
            <w:r w:rsidR="008533EB" w:rsidRPr="004C55A5">
              <w:rPr>
                <w:bCs/>
              </w:rPr>
              <w:t>TSAG/RS</w:t>
            </w:r>
          </w:p>
        </w:tc>
        <w:tc>
          <w:tcPr>
            <w:tcW w:w="4760" w:type="dxa"/>
          </w:tcPr>
          <w:p w:rsidR="009F4B09" w:rsidRPr="004C55A5" w:rsidRDefault="009F4B09" w:rsidP="003C45D9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rtl/>
              </w:rPr>
            </w:pPr>
            <w:r w:rsidRPr="004C55A5">
              <w:rPr>
                <w:rFonts w:hint="cs"/>
                <w:rtl/>
              </w:rPr>
              <w:t>-</w:t>
            </w:r>
            <w:r w:rsidRPr="004C55A5">
              <w:rPr>
                <w:rtl/>
              </w:rPr>
              <w:tab/>
            </w:r>
            <w:r w:rsidRPr="004C55A5">
              <w:rPr>
                <w:rFonts w:hint="cs"/>
                <w:rtl/>
              </w:rPr>
              <w:t>إلى إدارات الدول الأعضاء في الات</w:t>
            </w:r>
            <w:r w:rsidR="00DF5247">
              <w:rPr>
                <w:rFonts w:hint="cs"/>
                <w:rtl/>
              </w:rPr>
              <w:t>‍</w:t>
            </w:r>
            <w:r w:rsidRPr="004C55A5">
              <w:rPr>
                <w:rFonts w:hint="cs"/>
                <w:rtl/>
              </w:rPr>
              <w:t>حاد</w:t>
            </w:r>
          </w:p>
          <w:p w:rsidR="009F4B09" w:rsidRPr="004C55A5" w:rsidRDefault="009F4B09" w:rsidP="003C45D9">
            <w:pPr>
              <w:tabs>
                <w:tab w:val="left" w:pos="284"/>
                <w:tab w:val="left" w:pos="4111"/>
              </w:tabs>
              <w:spacing w:before="60" w:after="120" w:line="300" w:lineRule="exact"/>
              <w:ind w:left="284" w:hanging="227"/>
            </w:pPr>
          </w:p>
        </w:tc>
      </w:tr>
      <w:tr w:rsidR="009F4B09" w:rsidRPr="004C55A5">
        <w:trPr>
          <w:cantSplit/>
        </w:trPr>
        <w:tc>
          <w:tcPr>
            <w:tcW w:w="1533" w:type="dxa"/>
          </w:tcPr>
          <w:p w:rsidR="009F4B09" w:rsidRPr="004C55A5" w:rsidRDefault="009F4B09" w:rsidP="00DF5247">
            <w:pPr>
              <w:spacing w:before="20" w:after="60" w:line="300" w:lineRule="exact"/>
              <w:ind w:left="57"/>
            </w:pPr>
            <w:r w:rsidRPr="004C55A5">
              <w:rPr>
                <w:rFonts w:hint="cs"/>
                <w:rtl/>
                <w:lang w:bidi="ar-SY"/>
              </w:rPr>
              <w:t>الهاتف</w:t>
            </w:r>
            <w:r w:rsidRPr="004C55A5">
              <w:rPr>
                <w:rFonts w:hint="cs"/>
                <w:rtl/>
              </w:rPr>
              <w:t>:</w:t>
            </w:r>
            <w:r w:rsidR="00DF5247">
              <w:rPr>
                <w:rtl/>
                <w:lang w:bidi="ar-EG"/>
              </w:rPr>
              <w:br/>
            </w:r>
            <w:r w:rsidRPr="004C55A5">
              <w:rPr>
                <w:rFonts w:hint="cs"/>
                <w:rtl/>
              </w:rPr>
              <w:t>الفاكس:</w:t>
            </w:r>
          </w:p>
          <w:p w:rsidR="009F4B09" w:rsidRPr="004C55A5" w:rsidRDefault="009F4B09">
            <w:pPr>
              <w:spacing w:before="20" w:after="60" w:line="300" w:lineRule="exact"/>
              <w:ind w:left="57"/>
              <w:jc w:val="left"/>
            </w:pPr>
            <w:r w:rsidRPr="004C55A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9F4B09" w:rsidRPr="004C55A5" w:rsidRDefault="00064EC5" w:rsidP="00DF5247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4C55A5">
              <w:rPr>
                <w:rtl/>
                <w:lang w:bidi="ar-EG"/>
              </w:rPr>
              <w:tab/>
            </w:r>
            <w:r w:rsidR="009F4B09" w:rsidRPr="004C55A5">
              <w:t>+41</w:t>
            </w:r>
            <w:r w:rsidR="00DF5247">
              <w:t> </w:t>
            </w:r>
            <w:r w:rsidR="009F4B09" w:rsidRPr="004C55A5">
              <w:t>22</w:t>
            </w:r>
            <w:r w:rsidR="00DF5247">
              <w:t> </w:t>
            </w:r>
            <w:r w:rsidR="009F4B09" w:rsidRPr="004C55A5">
              <w:t>730</w:t>
            </w:r>
            <w:r w:rsidR="00DF5247">
              <w:t> </w:t>
            </w:r>
            <w:r w:rsidR="008533EB" w:rsidRPr="004C55A5">
              <w:t>5860</w:t>
            </w:r>
            <w:r w:rsidR="00DF5247">
              <w:rPr>
                <w:rtl/>
                <w:lang w:bidi="ar-EG"/>
              </w:rPr>
              <w:br/>
            </w:r>
            <w:r w:rsidR="009F4B09" w:rsidRPr="004C55A5">
              <w:t>+41</w:t>
            </w:r>
            <w:r w:rsidR="00DF5247">
              <w:t> </w:t>
            </w:r>
            <w:r w:rsidR="009F4B09" w:rsidRPr="004C55A5">
              <w:t>22</w:t>
            </w:r>
            <w:r w:rsidR="00DF5247">
              <w:t> </w:t>
            </w:r>
            <w:r w:rsidR="009F4B09" w:rsidRPr="004C55A5">
              <w:t>730</w:t>
            </w:r>
            <w:r w:rsidR="00DF5247">
              <w:t> </w:t>
            </w:r>
            <w:r w:rsidR="009F4B09" w:rsidRPr="004C55A5">
              <w:t>5853</w:t>
            </w:r>
          </w:p>
          <w:p w:rsidR="009F4B09" w:rsidRPr="004C55A5" w:rsidRDefault="000319E0" w:rsidP="00DF5247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</w:pPr>
            <w:hyperlink r:id="rId8" w:history="1">
              <w:r w:rsidR="008533EB" w:rsidRPr="004C55A5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4760" w:type="dxa"/>
          </w:tcPr>
          <w:p w:rsidR="004067A6" w:rsidRPr="004C55A5" w:rsidRDefault="00C72BCD" w:rsidP="00114905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tl/>
              </w:rPr>
              <w:br/>
            </w:r>
          </w:p>
          <w:p w:rsidR="009F4B09" w:rsidRPr="004C55A5" w:rsidRDefault="009F4B09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rtl/>
              </w:rPr>
            </w:pPr>
            <w:r w:rsidRPr="004C55A5">
              <w:rPr>
                <w:rFonts w:hint="cs"/>
                <w:b/>
                <w:bCs/>
                <w:rtl/>
              </w:rPr>
              <w:t>نسخة إلى:</w:t>
            </w:r>
          </w:p>
          <w:p w:rsidR="009F4B09" w:rsidRPr="004C55A5" w:rsidRDefault="009F4B09" w:rsidP="00886F0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4C55A5">
              <w:rPr>
                <w:rFonts w:hint="cs"/>
                <w:rtl/>
              </w:rPr>
              <w:t>-</w:t>
            </w:r>
            <w:r w:rsidRPr="004C55A5">
              <w:rPr>
                <w:rtl/>
              </w:rPr>
              <w:tab/>
            </w:r>
            <w:r w:rsidRPr="004C55A5">
              <w:rPr>
                <w:rFonts w:hint="cs"/>
                <w:rtl/>
              </w:rPr>
              <w:t>أعضاء قطاع تقييس الاتصالات؛</w:t>
            </w:r>
          </w:p>
          <w:p w:rsidR="009F4B09" w:rsidRPr="004C55A5" w:rsidRDefault="009F4B09" w:rsidP="00CC30F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4C55A5">
              <w:rPr>
                <w:rFonts w:hint="cs"/>
                <w:rtl/>
              </w:rPr>
              <w:t>-</w:t>
            </w:r>
            <w:r w:rsidRPr="004C55A5">
              <w:rPr>
                <w:rtl/>
              </w:rPr>
              <w:tab/>
              <w:t>ال</w:t>
            </w:r>
            <w:r w:rsidR="00886F0A">
              <w:rPr>
                <w:rFonts w:hint="cs"/>
                <w:rtl/>
                <w:lang w:bidi="ar-EG"/>
              </w:rPr>
              <w:t>‍</w:t>
            </w:r>
            <w:r w:rsidRPr="004C55A5">
              <w:rPr>
                <w:rtl/>
              </w:rPr>
              <w:t xml:space="preserve">منتسبين </w:t>
            </w:r>
            <w:r w:rsidR="00CC30F9" w:rsidRPr="004C55A5">
              <w:rPr>
                <w:rFonts w:hint="cs"/>
                <w:rtl/>
              </w:rPr>
              <w:t>إلى</w:t>
            </w:r>
            <w:r w:rsidRPr="004C55A5">
              <w:rPr>
                <w:rtl/>
              </w:rPr>
              <w:t xml:space="preserve"> قطاع تقييس الاتصالات</w:t>
            </w:r>
            <w:r w:rsidRPr="004C55A5">
              <w:rPr>
                <w:rFonts w:hint="cs"/>
                <w:rtl/>
              </w:rPr>
              <w:t>؛</w:t>
            </w:r>
          </w:p>
          <w:p w:rsidR="009F4B09" w:rsidRPr="004C55A5" w:rsidRDefault="00F45B5C" w:rsidP="00F45B5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4C55A5">
              <w:rPr>
                <w:rFonts w:hint="cs"/>
                <w:rtl/>
              </w:rPr>
              <w:t>-</w:t>
            </w:r>
            <w:r w:rsidRPr="004C55A5">
              <w:rPr>
                <w:rtl/>
              </w:rPr>
              <w:tab/>
            </w:r>
            <w:r w:rsidRPr="004C55A5">
              <w:rPr>
                <w:rFonts w:hint="cs"/>
                <w:rtl/>
              </w:rPr>
              <w:t>رئيس الفريق الاستشاري لتقييس الاتصالات ونوابه؛</w:t>
            </w:r>
          </w:p>
          <w:p w:rsidR="009F4B09" w:rsidRPr="004C55A5" w:rsidRDefault="009F4B09" w:rsidP="007E50D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C55A5">
              <w:rPr>
                <w:rFonts w:hint="cs"/>
                <w:rtl/>
              </w:rPr>
              <w:t>-</w:t>
            </w:r>
            <w:r w:rsidRPr="004C55A5">
              <w:rPr>
                <w:rtl/>
              </w:rPr>
              <w:tab/>
              <w:t xml:space="preserve">مدير مكتب </w:t>
            </w:r>
            <w:r w:rsidR="007E50DA">
              <w:rPr>
                <w:rFonts w:hint="cs"/>
                <w:rtl/>
              </w:rPr>
              <w:t>الاتصالات الراديوية</w:t>
            </w:r>
            <w:r w:rsidRPr="004C55A5">
              <w:rPr>
                <w:rFonts w:hint="cs"/>
                <w:rtl/>
              </w:rPr>
              <w:t>؛</w:t>
            </w:r>
          </w:p>
          <w:p w:rsidR="009F4B09" w:rsidRPr="004C55A5" w:rsidRDefault="009F4B09" w:rsidP="007E50DA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C55A5">
              <w:rPr>
                <w:rFonts w:hint="cs"/>
                <w:rtl/>
              </w:rPr>
              <w:t>-</w:t>
            </w:r>
            <w:r w:rsidRPr="004C55A5">
              <w:rPr>
                <w:rtl/>
              </w:rPr>
              <w:tab/>
              <w:t xml:space="preserve">مدير مكتب </w:t>
            </w:r>
            <w:r w:rsidR="007E50DA">
              <w:rPr>
                <w:rFonts w:hint="cs"/>
                <w:rtl/>
              </w:rPr>
              <w:t>تنمية الاتصالات</w:t>
            </w:r>
          </w:p>
        </w:tc>
      </w:tr>
      <w:tr w:rsidR="007E50DA" w:rsidRPr="004C55A5">
        <w:trPr>
          <w:cantSplit/>
        </w:trPr>
        <w:tc>
          <w:tcPr>
            <w:tcW w:w="1533" w:type="dxa"/>
          </w:tcPr>
          <w:p w:rsidR="007E50DA" w:rsidRPr="004C55A5" w:rsidRDefault="007E50DA">
            <w:pPr>
              <w:spacing w:before="2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E50DA" w:rsidRPr="004C55A5" w:rsidRDefault="007E50DA" w:rsidP="008533EB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E50DA" w:rsidRPr="004C55A5" w:rsidRDefault="007E50DA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rtl/>
              </w:rPr>
            </w:pPr>
          </w:p>
        </w:tc>
      </w:tr>
      <w:tr w:rsidR="007E50DA" w:rsidRPr="004C55A5" w:rsidTr="006C0DDB">
        <w:trPr>
          <w:cantSplit/>
        </w:trPr>
        <w:tc>
          <w:tcPr>
            <w:tcW w:w="1533" w:type="dxa"/>
          </w:tcPr>
          <w:p w:rsidR="007E50DA" w:rsidRPr="004C55A5" w:rsidRDefault="007E50DA" w:rsidP="00886F0A">
            <w:pPr>
              <w:spacing w:before="60" w:after="6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E50DA" w:rsidRPr="004C55A5" w:rsidRDefault="007E50DA" w:rsidP="00886F0A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اجتماع الفريق الاستشاري لتقييس الاتصالات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</w:t>
            </w:r>
            <w:r w:rsidR="00326D2F">
              <w:rPr>
                <w:rFonts w:hint="cs"/>
                <w:b/>
                <w:bCs/>
                <w:rtl/>
                <w:lang w:bidi="ar-EG"/>
              </w:rPr>
              <w:t>‍</w:t>
            </w:r>
            <w:r>
              <w:rPr>
                <w:rFonts w:hint="cs"/>
                <w:b/>
                <w:bCs/>
                <w:rtl/>
                <w:lang w:bidi="ar-EG"/>
              </w:rPr>
              <w:t>هدف ال</w:t>
            </w:r>
            <w:r w:rsidR="00B06357">
              <w:rPr>
                <w:rFonts w:hint="cs"/>
                <w:b/>
                <w:bCs/>
                <w:rtl/>
                <w:lang w:bidi="ar-EG"/>
              </w:rPr>
              <w:t>‍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موافقة على </w:t>
            </w:r>
            <w:r w:rsidRPr="006D49AD">
              <w:rPr>
                <w:rFonts w:hint="cs"/>
                <w:b/>
                <w:bCs/>
                <w:rtl/>
                <w:lang w:bidi="ar-EG"/>
              </w:rPr>
              <w:t xml:space="preserve">مشروع </w:t>
            </w:r>
            <w:r>
              <w:rPr>
                <w:rFonts w:hint="cs"/>
                <w:b/>
                <w:bCs/>
                <w:rtl/>
                <w:lang w:bidi="ar-EG"/>
              </w:rPr>
              <w:t>مراجعة</w:t>
            </w:r>
            <w:r w:rsidRPr="006D49A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</w:t>
            </w:r>
            <w:r w:rsidR="00B06357">
              <w:rPr>
                <w:rFonts w:hint="cs"/>
                <w:b/>
                <w:bCs/>
                <w:rtl/>
                <w:lang w:bidi="ar-EG"/>
              </w:rPr>
              <w:t>‍</w:t>
            </w:r>
            <w:r>
              <w:rPr>
                <w:rFonts w:hint="cs"/>
                <w:b/>
                <w:bCs/>
                <w:rtl/>
                <w:lang w:bidi="ar-EG"/>
              </w:rPr>
              <w:t>ملحق ألف بالتوصية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ITU-T A.23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، عملاً بأحكام القسم </w:t>
            </w:r>
            <w:r>
              <w:rPr>
                <w:b/>
                <w:bCs/>
                <w:lang w:bidi="ar-EG"/>
              </w:rPr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الصادر عن ال</w:t>
            </w:r>
            <w:r w:rsidR="00B06357">
              <w:rPr>
                <w:rFonts w:hint="cs"/>
                <w:b/>
                <w:bCs/>
                <w:rtl/>
                <w:lang w:bidi="ar-EG"/>
              </w:rPr>
              <w:t>‍</w:t>
            </w:r>
            <w:r>
              <w:rPr>
                <w:rFonts w:hint="cs"/>
                <w:b/>
                <w:bCs/>
                <w:rtl/>
                <w:lang w:bidi="ar-EG"/>
              </w:rPr>
              <w:t>جمعية العال</w:t>
            </w:r>
            <w:r w:rsidR="00B06357">
              <w:rPr>
                <w:rFonts w:hint="cs"/>
                <w:b/>
                <w:bCs/>
                <w:rtl/>
                <w:lang w:bidi="ar-EG"/>
              </w:rPr>
              <w:t>‍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مية لتقييس الاتصالات (دبي، </w:t>
            </w:r>
            <w:r>
              <w:rPr>
                <w:b/>
                <w:bCs/>
                <w:lang w:bidi="ar-EG"/>
              </w:rPr>
              <w:t>2012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rtl/>
                <w:lang w:bidi="ar-EG"/>
              </w:rPr>
              <w:tab/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جنيف، </w:t>
            </w:r>
            <w:r>
              <w:rPr>
                <w:b/>
                <w:bCs/>
                <w:lang w:bidi="ar-EG"/>
              </w:rPr>
              <w:t>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>
              <w:rPr>
                <w:b/>
                <w:bCs/>
                <w:lang w:bidi="ar-EG"/>
              </w:rPr>
              <w:t>2014</w:t>
            </w:r>
          </w:p>
        </w:tc>
      </w:tr>
    </w:tbl>
    <w:p w:rsidR="009F4B09" w:rsidRPr="005F33FD" w:rsidRDefault="009F4B09" w:rsidP="00BD0B25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 w:rsidR="005D488B">
        <w:rPr>
          <w:rFonts w:hint="cs"/>
          <w:rtl/>
        </w:rPr>
        <w:t>السادة</w:t>
      </w:r>
      <w:r w:rsidR="0010144A" w:rsidRPr="0010144A">
        <w:rPr>
          <w:rFonts w:hint="cs"/>
          <w:rtl/>
        </w:rPr>
        <w:t xml:space="preserve"> </w:t>
      </w:r>
      <w:r w:rsidR="005D488B"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9F4B09" w:rsidRPr="005F33FD" w:rsidRDefault="004067A6" w:rsidP="006162FD">
      <w:pPr>
        <w:rPr>
          <w:rtl/>
        </w:rPr>
      </w:pPr>
      <w:r>
        <w:rPr>
          <w:rFonts w:hint="cs"/>
          <w:rtl/>
        </w:rPr>
        <w:t>ت</w:t>
      </w:r>
      <w:r w:rsidR="00C72BCD">
        <w:rPr>
          <w:rFonts w:hint="cs"/>
          <w:rtl/>
        </w:rPr>
        <w:t>‍</w:t>
      </w:r>
      <w:r>
        <w:rPr>
          <w:rFonts w:hint="cs"/>
          <w:rtl/>
        </w:rPr>
        <w:t>حية طيبة وبعد ...</w:t>
      </w:r>
    </w:p>
    <w:p w:rsidR="009F4B09" w:rsidRDefault="009F4B09" w:rsidP="00D96669">
      <w:pPr>
        <w:rPr>
          <w:lang w:bidi="ar-EG"/>
        </w:rPr>
      </w:pPr>
      <w:r w:rsidRPr="005F33FD">
        <w:t>1</w:t>
      </w:r>
      <w:r w:rsidR="00A26EA0" w:rsidRPr="005F33FD">
        <w:tab/>
      </w:r>
      <w:r w:rsidR="00A26EA0">
        <w:rPr>
          <w:rFonts w:hint="cs"/>
          <w:rtl/>
        </w:rPr>
        <w:t xml:space="preserve">بناءً على طلب </w:t>
      </w:r>
      <w:r w:rsidR="00DB66D7">
        <w:rPr>
          <w:rFonts w:hint="cs"/>
          <w:rtl/>
        </w:rPr>
        <w:t>رئيس الفريق الاستشاري لتقييس الاتصالات،</w:t>
      </w:r>
      <w:r w:rsidR="00A26EA0">
        <w:rPr>
          <w:rFonts w:hint="cs"/>
          <w:rtl/>
          <w:lang w:bidi="ar-EG"/>
        </w:rPr>
        <w:t xml:space="preserve"> أتشرف بأن أعلمكم أن </w:t>
      </w:r>
      <w:r w:rsidR="00DB66D7">
        <w:rPr>
          <w:rFonts w:hint="cs"/>
          <w:rtl/>
          <w:lang w:bidi="ar-EG"/>
        </w:rPr>
        <w:t>هذا الفريق</w:t>
      </w:r>
      <w:r w:rsidR="00A26EA0">
        <w:rPr>
          <w:rFonts w:hint="cs"/>
          <w:rtl/>
          <w:lang w:bidi="ar-EG"/>
        </w:rPr>
        <w:t xml:space="preserve">، </w:t>
      </w:r>
      <w:r w:rsidR="00DB66D7">
        <w:rPr>
          <w:rFonts w:hint="cs"/>
          <w:rtl/>
          <w:lang w:bidi="ar-EG"/>
        </w:rPr>
        <w:t xml:space="preserve">الذي </w:t>
      </w:r>
      <w:r w:rsidR="00A26EA0">
        <w:rPr>
          <w:rFonts w:hint="cs"/>
          <w:rtl/>
          <w:lang w:bidi="ar-EG"/>
        </w:rPr>
        <w:t>س</w:t>
      </w:r>
      <w:r w:rsidR="00DB66D7">
        <w:rPr>
          <w:rFonts w:hint="cs"/>
          <w:rtl/>
          <w:lang w:bidi="ar-EG"/>
        </w:rPr>
        <w:t>ي</w:t>
      </w:r>
      <w:r w:rsidR="00A26EA0">
        <w:rPr>
          <w:rFonts w:hint="cs"/>
          <w:rtl/>
          <w:lang w:bidi="ar-EG"/>
        </w:rPr>
        <w:t xml:space="preserve">جتمع من </w:t>
      </w:r>
      <w:r w:rsidR="00D76F65">
        <w:rPr>
          <w:lang w:bidi="ar-EG"/>
        </w:rPr>
        <w:t>17</w:t>
      </w:r>
      <w:r w:rsidR="00A26EA0">
        <w:rPr>
          <w:rFonts w:hint="cs"/>
          <w:rtl/>
          <w:lang w:bidi="ar-EG"/>
        </w:rPr>
        <w:t xml:space="preserve"> إلى</w:t>
      </w:r>
      <w:r w:rsidR="00DB66D7">
        <w:rPr>
          <w:rFonts w:hint="cs"/>
          <w:rtl/>
          <w:lang w:bidi="ar-EG"/>
        </w:rPr>
        <w:t xml:space="preserve"> </w:t>
      </w:r>
      <w:r w:rsidR="00D76F65">
        <w:rPr>
          <w:lang w:bidi="ar-EG"/>
        </w:rPr>
        <w:t>20</w:t>
      </w:r>
      <w:r w:rsidR="00DB66D7">
        <w:rPr>
          <w:rFonts w:hint="cs"/>
          <w:rtl/>
          <w:lang w:bidi="ar-EG"/>
        </w:rPr>
        <w:t xml:space="preserve"> </w:t>
      </w:r>
      <w:r w:rsidR="00D76F65">
        <w:rPr>
          <w:rFonts w:hint="cs"/>
          <w:rtl/>
          <w:lang w:bidi="ar-EG"/>
        </w:rPr>
        <w:t>يونيو</w:t>
      </w:r>
      <w:r w:rsidR="00DB66D7">
        <w:rPr>
          <w:rFonts w:hint="cs"/>
          <w:rtl/>
          <w:lang w:bidi="ar-EG"/>
        </w:rPr>
        <w:t xml:space="preserve"> </w:t>
      </w:r>
      <w:r w:rsidR="00D76F65">
        <w:rPr>
          <w:lang w:bidi="ar-EG"/>
        </w:rPr>
        <w:t>2014</w:t>
      </w:r>
      <w:r w:rsidR="00A26EA0">
        <w:rPr>
          <w:rFonts w:hint="cs"/>
          <w:rtl/>
          <w:lang w:bidi="ar-EG"/>
        </w:rPr>
        <w:t xml:space="preserve">، </w:t>
      </w:r>
      <w:r w:rsidR="00DB66D7">
        <w:rPr>
          <w:rFonts w:hint="cs"/>
          <w:rtl/>
          <w:lang w:bidi="ar-EG"/>
        </w:rPr>
        <w:t>ي</w:t>
      </w:r>
      <w:r w:rsidR="008563B7">
        <w:rPr>
          <w:rFonts w:hint="cs"/>
          <w:rtl/>
          <w:lang w:bidi="ar-EG"/>
        </w:rPr>
        <w:t>نوي تطبيق الإجراء ال</w:t>
      </w:r>
      <w:r w:rsidR="008401AF">
        <w:rPr>
          <w:rFonts w:hint="cs"/>
          <w:rtl/>
          <w:lang w:bidi="ar-EG"/>
        </w:rPr>
        <w:t>‍</w:t>
      </w:r>
      <w:r w:rsidR="008563B7">
        <w:rPr>
          <w:rFonts w:hint="cs"/>
          <w:rtl/>
          <w:lang w:bidi="ar-EG"/>
        </w:rPr>
        <w:t>موصوف</w:t>
      </w:r>
      <w:r w:rsidR="00A26EA0">
        <w:rPr>
          <w:rFonts w:hint="cs"/>
          <w:rtl/>
          <w:lang w:bidi="ar-EG"/>
        </w:rPr>
        <w:t xml:space="preserve"> في القسم </w:t>
      </w:r>
      <w:r w:rsidR="00A26EA0">
        <w:rPr>
          <w:lang w:bidi="ar-EG"/>
        </w:rPr>
        <w:t>9</w:t>
      </w:r>
      <w:r w:rsidR="00A26EA0">
        <w:rPr>
          <w:rFonts w:hint="cs"/>
          <w:rtl/>
          <w:lang w:bidi="ar-EG"/>
        </w:rPr>
        <w:t xml:space="preserve"> من القرار</w:t>
      </w:r>
      <w:r w:rsidR="00D96669">
        <w:rPr>
          <w:rFonts w:hint="eastAsia"/>
          <w:rtl/>
          <w:lang w:bidi="ar-EG"/>
        </w:rPr>
        <w:t> </w:t>
      </w:r>
      <w:r w:rsidR="00A26EA0">
        <w:rPr>
          <w:lang w:bidi="ar-EG"/>
        </w:rPr>
        <w:t>1</w:t>
      </w:r>
      <w:r w:rsidR="00A26EA0">
        <w:rPr>
          <w:rFonts w:hint="cs"/>
          <w:rtl/>
          <w:lang w:bidi="ar-EG"/>
        </w:rPr>
        <w:t xml:space="preserve"> الصادر عن الجمعية العالمية لتقييس الاتصالات</w:t>
      </w:r>
      <w:r w:rsidR="00B915E3">
        <w:rPr>
          <w:rFonts w:hint="eastAsia"/>
          <w:rtl/>
          <w:lang w:bidi="ar-EG"/>
        </w:rPr>
        <w:t> </w:t>
      </w:r>
      <w:r w:rsidR="00A26EA0">
        <w:rPr>
          <w:rFonts w:hint="cs"/>
          <w:rtl/>
          <w:lang w:bidi="ar-EG"/>
        </w:rPr>
        <w:t>(</w:t>
      </w:r>
      <w:r w:rsidR="003919CE">
        <w:rPr>
          <w:rFonts w:hint="cs"/>
          <w:rtl/>
          <w:lang w:bidi="ar-EG"/>
        </w:rPr>
        <w:t>دبي</w:t>
      </w:r>
      <w:r w:rsidR="00A26EA0">
        <w:rPr>
          <w:rFonts w:hint="cs"/>
          <w:rtl/>
          <w:lang w:bidi="ar-EG"/>
        </w:rPr>
        <w:t xml:space="preserve">، </w:t>
      </w:r>
      <w:r w:rsidR="003919CE">
        <w:rPr>
          <w:lang w:bidi="ar-EG"/>
        </w:rPr>
        <w:t>2012</w:t>
      </w:r>
      <w:r w:rsidR="00A26EA0">
        <w:rPr>
          <w:rFonts w:hint="cs"/>
          <w:rtl/>
          <w:lang w:bidi="ar-EG"/>
        </w:rPr>
        <w:t xml:space="preserve">) وذلك من أجل الموافقة على مشروع مراجعة </w:t>
      </w:r>
      <w:r w:rsidR="00DB66D7">
        <w:rPr>
          <w:rFonts w:hint="cs"/>
          <w:rtl/>
          <w:lang w:bidi="ar-EG"/>
        </w:rPr>
        <w:t>ال</w:t>
      </w:r>
      <w:r w:rsidR="003207AC">
        <w:rPr>
          <w:rFonts w:hint="cs"/>
          <w:rtl/>
          <w:lang w:bidi="ar-EG"/>
        </w:rPr>
        <w:t>‍</w:t>
      </w:r>
      <w:r w:rsidR="00DB66D7">
        <w:rPr>
          <w:rFonts w:hint="cs"/>
          <w:rtl/>
          <w:lang w:bidi="ar-EG"/>
        </w:rPr>
        <w:t xml:space="preserve">ملحق </w:t>
      </w:r>
      <w:r w:rsidR="000641BB">
        <w:rPr>
          <w:rFonts w:hint="cs"/>
          <w:rtl/>
          <w:lang w:bidi="ar-EG"/>
        </w:rPr>
        <w:t>ألف</w:t>
      </w:r>
      <w:r w:rsidR="00DB66D7">
        <w:rPr>
          <w:rFonts w:hint="cs"/>
          <w:rtl/>
          <w:lang w:bidi="ar-EG"/>
        </w:rPr>
        <w:t xml:space="preserve"> </w:t>
      </w:r>
      <w:r w:rsidR="00166126">
        <w:rPr>
          <w:rFonts w:hint="cs"/>
          <w:rtl/>
          <w:lang w:bidi="ar-EG"/>
        </w:rPr>
        <w:t>با</w:t>
      </w:r>
      <w:r w:rsidR="00DB66D7">
        <w:rPr>
          <w:rFonts w:hint="cs"/>
          <w:rtl/>
          <w:lang w:bidi="ar-EG"/>
        </w:rPr>
        <w:t>لتوصية</w:t>
      </w:r>
      <w:r w:rsidR="0064236A">
        <w:rPr>
          <w:rFonts w:hint="eastAsia"/>
          <w:rtl/>
          <w:lang w:bidi="ar-EG"/>
        </w:rPr>
        <w:t> </w:t>
      </w:r>
      <w:r w:rsidR="003919CE">
        <w:rPr>
          <w:lang w:bidi="ar-EG"/>
        </w:rPr>
        <w:t>ITU</w:t>
      </w:r>
      <w:r w:rsidR="003919CE">
        <w:rPr>
          <w:lang w:bidi="ar-EG"/>
        </w:rPr>
        <w:noBreakHyphen/>
        <w:t>T A.23</w:t>
      </w:r>
      <w:r w:rsidR="00A26EA0">
        <w:rPr>
          <w:rFonts w:hint="cs"/>
          <w:rtl/>
          <w:lang w:bidi="ar-EG"/>
        </w:rPr>
        <w:t xml:space="preserve"> ال</w:t>
      </w:r>
      <w:r w:rsidR="0020181A">
        <w:rPr>
          <w:rFonts w:hint="cs"/>
          <w:rtl/>
          <w:lang w:bidi="ar-EG"/>
        </w:rPr>
        <w:t>‍</w:t>
      </w:r>
      <w:r w:rsidR="00A26EA0">
        <w:rPr>
          <w:rFonts w:hint="cs"/>
          <w:rtl/>
          <w:lang w:bidi="ar-EG"/>
        </w:rPr>
        <w:t>مذكور أعلاه</w:t>
      </w:r>
      <w:r w:rsidR="003919CE">
        <w:rPr>
          <w:rFonts w:hint="cs"/>
          <w:rtl/>
          <w:lang w:bidi="ar-EG"/>
        </w:rPr>
        <w:t xml:space="preserve"> </w:t>
      </w:r>
      <w:r w:rsidR="00112507">
        <w:rPr>
          <w:rFonts w:hint="cs"/>
          <w:rtl/>
          <w:lang w:bidi="ar-EG"/>
        </w:rPr>
        <w:t>(الدليل الخاص بالتعاون بين قطاع تقييس الاتصالات واللجنة التقنية ال</w:t>
      </w:r>
      <w:r w:rsidR="00135CFE">
        <w:rPr>
          <w:rFonts w:hint="cs"/>
          <w:rtl/>
          <w:lang w:bidi="ar-EG"/>
        </w:rPr>
        <w:t>‍</w:t>
      </w:r>
      <w:r w:rsidR="00112507">
        <w:rPr>
          <w:rFonts w:hint="cs"/>
          <w:rtl/>
          <w:lang w:bidi="ar-EG"/>
        </w:rPr>
        <w:t>مشتركة الأولى التابعة للمنظمة الدولية للتوحيد القياسي واللجنة الكهرتقنية الدولية</w:t>
      </w:r>
      <w:r w:rsidR="003063D5">
        <w:rPr>
          <w:rFonts w:hint="cs"/>
          <w:rtl/>
          <w:lang w:bidi="ar-EG"/>
        </w:rPr>
        <w:t xml:space="preserve"> </w:t>
      </w:r>
      <w:r w:rsidR="003063D5">
        <w:t>(</w:t>
      </w:r>
      <w:r w:rsidR="0070310A" w:rsidRPr="00D02783">
        <w:t>ISO/IEC</w:t>
      </w:r>
      <w:r w:rsidR="003063D5">
        <w:t> </w:t>
      </w:r>
      <w:r w:rsidR="0070310A" w:rsidRPr="00D02783">
        <w:t>JTC</w:t>
      </w:r>
      <w:r w:rsidR="003063D5">
        <w:t> </w:t>
      </w:r>
      <w:r w:rsidR="0070310A" w:rsidRPr="00D02783">
        <w:t>1</w:t>
      </w:r>
      <w:r w:rsidR="003063D5">
        <w:t>)</w:t>
      </w:r>
      <w:r w:rsidR="00471791">
        <w:rPr>
          <w:rFonts w:hint="cs"/>
          <w:rtl/>
          <w:lang w:bidi="ar-EG"/>
        </w:rPr>
        <w:t>).</w:t>
      </w:r>
    </w:p>
    <w:p w:rsidR="004067A6" w:rsidRDefault="004067A6" w:rsidP="00EF6F21">
      <w:pPr>
        <w:rPr>
          <w:rtl/>
          <w:lang w:bidi="ar-EG"/>
        </w:rPr>
      </w:pPr>
      <w:proofErr w:type="gramStart"/>
      <w:r>
        <w:rPr>
          <w:lang w:bidi="ar-EG"/>
        </w:rPr>
        <w:t>2</w:t>
      </w:r>
      <w:r w:rsidR="00A26EA0">
        <w:rPr>
          <w:rFonts w:hint="cs"/>
          <w:rtl/>
          <w:lang w:bidi="ar-EG"/>
        </w:rPr>
        <w:tab/>
        <w:t xml:space="preserve">ويشتمل </w:t>
      </w:r>
      <w:r w:rsidR="00A26EA0">
        <w:rPr>
          <w:rFonts w:hint="cs"/>
          <w:b/>
          <w:bCs/>
          <w:rtl/>
          <w:lang w:bidi="ar-EG"/>
        </w:rPr>
        <w:t>ال</w:t>
      </w:r>
      <w:r w:rsidR="00EE12B5">
        <w:rPr>
          <w:rFonts w:hint="cs"/>
          <w:b/>
          <w:bCs/>
          <w:rtl/>
          <w:lang w:bidi="ar-EG"/>
        </w:rPr>
        <w:t>‍</w:t>
      </w:r>
      <w:r w:rsidR="00A26EA0">
        <w:rPr>
          <w:rFonts w:hint="cs"/>
          <w:b/>
          <w:bCs/>
          <w:rtl/>
          <w:lang w:bidi="ar-EG"/>
        </w:rPr>
        <w:t xml:space="preserve">ملحق </w:t>
      </w:r>
      <w:r w:rsidR="00A26EA0">
        <w:rPr>
          <w:b/>
          <w:bCs/>
          <w:lang w:bidi="ar-EG"/>
        </w:rPr>
        <w:t>1</w:t>
      </w:r>
      <w:r w:rsidR="00A26EA0">
        <w:rPr>
          <w:rFonts w:hint="cs"/>
          <w:rtl/>
          <w:lang w:bidi="ar-EG"/>
        </w:rPr>
        <w:t xml:space="preserve"> بهذه الرسالة على ملخص مشروع مراجعة </w:t>
      </w:r>
      <w:r w:rsidR="00F83939">
        <w:rPr>
          <w:rFonts w:hint="cs"/>
          <w:rtl/>
          <w:lang w:bidi="ar-EG"/>
        </w:rPr>
        <w:t>ال</w:t>
      </w:r>
      <w:r w:rsidR="003063D5">
        <w:rPr>
          <w:rFonts w:hint="cs"/>
          <w:rtl/>
          <w:lang w:bidi="ar-EG"/>
        </w:rPr>
        <w:t>‍</w:t>
      </w:r>
      <w:r w:rsidR="00F83939">
        <w:rPr>
          <w:rFonts w:hint="cs"/>
          <w:rtl/>
          <w:lang w:bidi="ar-EG"/>
        </w:rPr>
        <w:t>ملحق أل</w:t>
      </w:r>
      <w:r w:rsidR="007B11E7">
        <w:rPr>
          <w:rFonts w:hint="cs"/>
          <w:rtl/>
          <w:lang w:bidi="ar-EG"/>
        </w:rPr>
        <w:t>ف</w:t>
      </w:r>
      <w:r w:rsidR="00F83939">
        <w:rPr>
          <w:rFonts w:hint="cs"/>
          <w:rtl/>
          <w:lang w:bidi="ar-EG"/>
        </w:rPr>
        <w:t xml:space="preserve"> بالتوصية</w:t>
      </w:r>
      <w:r w:rsidR="00EF6F21">
        <w:rPr>
          <w:rFonts w:hint="eastAsia"/>
          <w:rtl/>
          <w:lang w:bidi="ar-EG"/>
        </w:rPr>
        <w:t> </w:t>
      </w:r>
      <w:r w:rsidR="0064236A">
        <w:rPr>
          <w:lang w:bidi="ar-EG"/>
        </w:rPr>
        <w:t>ITU</w:t>
      </w:r>
      <w:r w:rsidR="0064236A">
        <w:rPr>
          <w:lang w:bidi="ar-EG"/>
        </w:rPr>
        <w:noBreakHyphen/>
        <w:t>T A.23</w:t>
      </w:r>
      <w:r w:rsidR="0064236A">
        <w:rPr>
          <w:rFonts w:hint="cs"/>
          <w:rtl/>
          <w:lang w:bidi="ar-EG"/>
        </w:rPr>
        <w:t xml:space="preserve"> </w:t>
      </w:r>
      <w:r w:rsidR="00B226AF">
        <w:rPr>
          <w:rFonts w:hint="cs"/>
          <w:rtl/>
          <w:lang w:bidi="ar-EG"/>
        </w:rPr>
        <w:t>ال</w:t>
      </w:r>
      <w:r w:rsidR="00E436B0">
        <w:rPr>
          <w:rFonts w:hint="cs"/>
          <w:rtl/>
          <w:lang w:bidi="ar-EG"/>
        </w:rPr>
        <w:t>‍</w:t>
      </w:r>
      <w:r w:rsidR="00B226AF">
        <w:rPr>
          <w:rFonts w:hint="cs"/>
          <w:rtl/>
          <w:lang w:bidi="ar-EG"/>
        </w:rPr>
        <w:t>مقترح ال</w:t>
      </w:r>
      <w:r w:rsidR="00E436B0">
        <w:rPr>
          <w:rFonts w:hint="cs"/>
          <w:rtl/>
          <w:lang w:bidi="ar-EG"/>
        </w:rPr>
        <w:t>‍</w:t>
      </w:r>
      <w:r w:rsidR="00B226AF">
        <w:rPr>
          <w:rFonts w:hint="cs"/>
          <w:rtl/>
          <w:lang w:bidi="ar-EG"/>
        </w:rPr>
        <w:t xml:space="preserve">موافقة عليه، وعلى عنوانه والوثيقة التي </w:t>
      </w:r>
      <w:r w:rsidR="004024C6">
        <w:rPr>
          <w:rFonts w:hint="cs"/>
          <w:rtl/>
          <w:lang w:bidi="ar-EG"/>
        </w:rPr>
        <w:t>ي</w:t>
      </w:r>
      <w:r w:rsidR="00B226AF">
        <w:rPr>
          <w:rFonts w:hint="cs"/>
          <w:rtl/>
          <w:lang w:bidi="ar-EG"/>
        </w:rPr>
        <w:t>رد فيها.</w:t>
      </w:r>
      <w:proofErr w:type="gramEnd"/>
    </w:p>
    <w:p w:rsidR="0064236A" w:rsidRPr="00D82B32" w:rsidRDefault="0064236A" w:rsidP="0076516C">
      <w:pPr>
        <w:rPr>
          <w:rtl/>
          <w:lang w:bidi="ar-EG"/>
        </w:rPr>
      </w:pPr>
      <w:proofErr w:type="gramStart"/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="00CA410A">
        <w:rPr>
          <w:rFonts w:hint="cs"/>
          <w:rtl/>
          <w:lang w:bidi="ar-EG"/>
        </w:rPr>
        <w:t xml:space="preserve">تتضمن </w:t>
      </w:r>
      <w:r w:rsidR="0070310A">
        <w:rPr>
          <w:rFonts w:hint="cs"/>
          <w:rtl/>
          <w:lang w:bidi="ar-EG"/>
        </w:rPr>
        <w:t xml:space="preserve">التوصية </w:t>
      </w:r>
      <w:r w:rsidR="0070310A">
        <w:rPr>
          <w:lang w:bidi="ar-EG"/>
        </w:rPr>
        <w:t>ITU</w:t>
      </w:r>
      <w:r w:rsidR="0070310A">
        <w:rPr>
          <w:lang w:bidi="ar-EG"/>
        </w:rPr>
        <w:noBreakHyphen/>
        <w:t>T A.23</w:t>
      </w:r>
      <w:r w:rsidR="0070310A">
        <w:rPr>
          <w:rFonts w:hint="cs"/>
          <w:rtl/>
        </w:rPr>
        <w:t xml:space="preserve"> </w:t>
      </w:r>
      <w:r w:rsidR="00CA410A">
        <w:rPr>
          <w:rFonts w:hint="cs"/>
          <w:rtl/>
        </w:rPr>
        <w:t>نصاً</w:t>
      </w:r>
      <w:r w:rsidR="0070310A">
        <w:rPr>
          <w:rFonts w:hint="cs"/>
          <w:rtl/>
        </w:rPr>
        <w:t xml:space="preserve"> مشترك</w:t>
      </w:r>
      <w:r w:rsidR="00CA410A">
        <w:rPr>
          <w:rFonts w:hint="cs"/>
          <w:rtl/>
        </w:rPr>
        <w:t>اً</w:t>
      </w:r>
      <w:r w:rsidR="0070310A">
        <w:rPr>
          <w:rFonts w:hint="cs"/>
          <w:rtl/>
        </w:rPr>
        <w:t xml:space="preserve"> بين قطاع تقييس الاتصالات واللجنة </w:t>
      </w:r>
      <w:r w:rsidR="0070310A" w:rsidRPr="00D02783">
        <w:t>ISO/IEC</w:t>
      </w:r>
      <w:r w:rsidR="006E5490">
        <w:t> </w:t>
      </w:r>
      <w:r w:rsidR="0070310A" w:rsidRPr="00D02783">
        <w:t>JTC</w:t>
      </w:r>
      <w:r w:rsidR="006E5490">
        <w:t> </w:t>
      </w:r>
      <w:r w:rsidR="0070310A" w:rsidRPr="00D02783">
        <w:t>1</w:t>
      </w:r>
      <w:r w:rsidR="0070310A">
        <w:rPr>
          <w:rFonts w:hint="cs"/>
          <w:rtl/>
        </w:rPr>
        <w:t xml:space="preserve"> ولذلك </w:t>
      </w:r>
      <w:r w:rsidR="00EF6F21">
        <w:rPr>
          <w:rFonts w:hint="cs"/>
          <w:rtl/>
        </w:rPr>
        <w:t>يلزم</w:t>
      </w:r>
      <w:r w:rsidR="0070310A">
        <w:rPr>
          <w:rFonts w:hint="cs"/>
          <w:rtl/>
        </w:rPr>
        <w:t xml:space="preserve"> </w:t>
      </w:r>
      <w:r w:rsidR="003571C7">
        <w:rPr>
          <w:rFonts w:hint="cs"/>
          <w:rtl/>
        </w:rPr>
        <w:t>أن يوافق عليه</w:t>
      </w:r>
      <w:r w:rsidR="0070310A">
        <w:rPr>
          <w:rFonts w:hint="cs"/>
          <w:rtl/>
        </w:rPr>
        <w:t xml:space="preserve"> كل من قطاع تقييس الاتصالات واللجنة </w:t>
      </w:r>
      <w:r w:rsidR="003571C7" w:rsidRPr="00D02783">
        <w:t>ISO/IEC</w:t>
      </w:r>
      <w:r w:rsidR="006E5490">
        <w:t> </w:t>
      </w:r>
      <w:r w:rsidR="003571C7" w:rsidRPr="00D02783">
        <w:t>JTC</w:t>
      </w:r>
      <w:r w:rsidR="006E5490">
        <w:t> </w:t>
      </w:r>
      <w:r w:rsidR="003571C7" w:rsidRPr="00D02783">
        <w:t>1</w:t>
      </w:r>
      <w:r w:rsidR="00EC16F2">
        <w:rPr>
          <w:rFonts w:hint="cs"/>
          <w:rtl/>
          <w:lang w:bidi="ar-EG"/>
        </w:rPr>
        <w:t>.</w:t>
      </w:r>
      <w:proofErr w:type="gramEnd"/>
      <w:r w:rsidR="00EC16F2">
        <w:rPr>
          <w:rFonts w:hint="cs"/>
          <w:rtl/>
          <w:lang w:bidi="ar-EG"/>
        </w:rPr>
        <w:t xml:space="preserve"> </w:t>
      </w:r>
      <w:r w:rsidR="00984FFF">
        <w:rPr>
          <w:rFonts w:hint="cs"/>
          <w:rtl/>
          <w:lang w:bidi="ar-EG"/>
        </w:rPr>
        <w:t xml:space="preserve">وقد تم </w:t>
      </w:r>
      <w:r w:rsidR="003E6DB0">
        <w:rPr>
          <w:rFonts w:hint="cs"/>
          <w:rtl/>
          <w:lang w:bidi="ar-EG"/>
        </w:rPr>
        <w:t>إقرار</w:t>
      </w:r>
      <w:r w:rsidR="00984FFF">
        <w:rPr>
          <w:rFonts w:hint="cs"/>
          <w:rtl/>
          <w:lang w:bidi="ar-EG"/>
        </w:rPr>
        <w:t xml:space="preserve"> مشروع النص ال</w:t>
      </w:r>
      <w:r w:rsidR="006E5490">
        <w:rPr>
          <w:rFonts w:hint="cs"/>
          <w:rtl/>
          <w:lang w:bidi="ar-EG"/>
        </w:rPr>
        <w:t>‍</w:t>
      </w:r>
      <w:r w:rsidR="00984FFF">
        <w:rPr>
          <w:rFonts w:hint="cs"/>
          <w:rtl/>
          <w:lang w:bidi="ar-EG"/>
        </w:rPr>
        <w:t>مراجع في</w:t>
      </w:r>
      <w:r w:rsidR="003E6DB0">
        <w:rPr>
          <w:rFonts w:hint="eastAsia"/>
          <w:rtl/>
          <w:lang w:bidi="ar-EG"/>
        </w:rPr>
        <w:t> </w:t>
      </w:r>
      <w:r w:rsidR="00984FFF">
        <w:rPr>
          <w:rFonts w:hint="cs"/>
          <w:rtl/>
          <w:lang w:bidi="ar-EG"/>
        </w:rPr>
        <w:t xml:space="preserve">اجتماع الفريق الاستشاري لتقييس الاتصالات في يونيو </w:t>
      </w:r>
      <w:r w:rsidR="00984FFF">
        <w:rPr>
          <w:lang w:bidi="ar-EG"/>
        </w:rPr>
        <w:t>2013</w:t>
      </w:r>
      <w:r w:rsidR="00984FFF">
        <w:rPr>
          <w:rFonts w:hint="cs"/>
          <w:rtl/>
          <w:lang w:bidi="ar-EG"/>
        </w:rPr>
        <w:t xml:space="preserve">. ووافقت اللجنة </w:t>
      </w:r>
      <w:r w:rsidR="00984FFF" w:rsidRPr="00D02783">
        <w:t>ISO/IEC</w:t>
      </w:r>
      <w:r w:rsidR="00A7568B">
        <w:t> </w:t>
      </w:r>
      <w:r w:rsidR="00984FFF" w:rsidRPr="00D02783">
        <w:t>JTC</w:t>
      </w:r>
      <w:r w:rsidR="00A7568B">
        <w:t> </w:t>
      </w:r>
      <w:r w:rsidR="00984FFF" w:rsidRPr="00D02783">
        <w:t>1</w:t>
      </w:r>
      <w:r w:rsidR="00984FFF">
        <w:rPr>
          <w:rFonts w:hint="cs"/>
          <w:rtl/>
        </w:rPr>
        <w:t xml:space="preserve"> </w:t>
      </w:r>
      <w:r w:rsidR="007B11E7">
        <w:rPr>
          <w:rFonts w:hint="cs"/>
          <w:rtl/>
        </w:rPr>
        <w:t>في نوفمبر</w:t>
      </w:r>
      <w:r w:rsidR="003E6DB0">
        <w:rPr>
          <w:rFonts w:hint="eastAsia"/>
          <w:rtl/>
        </w:rPr>
        <w:t> </w:t>
      </w:r>
      <w:r w:rsidR="007B11E7">
        <w:t>2013</w:t>
      </w:r>
      <w:r w:rsidR="007B11E7">
        <w:rPr>
          <w:rFonts w:hint="cs"/>
          <w:rtl/>
        </w:rPr>
        <w:t xml:space="preserve"> </w:t>
      </w:r>
      <w:r w:rsidR="00984FFF">
        <w:rPr>
          <w:rFonts w:hint="cs"/>
          <w:rtl/>
        </w:rPr>
        <w:t xml:space="preserve">على مشروع </w:t>
      </w:r>
      <w:r w:rsidR="008719C0">
        <w:rPr>
          <w:rFonts w:hint="cs"/>
          <w:rtl/>
        </w:rPr>
        <w:t>مراجعة النص</w:t>
      </w:r>
      <w:r w:rsidR="00984FFF">
        <w:rPr>
          <w:rFonts w:hint="cs"/>
          <w:rtl/>
        </w:rPr>
        <w:t xml:space="preserve"> </w:t>
      </w:r>
      <w:r w:rsidR="00984FFF">
        <w:rPr>
          <w:rFonts w:hint="cs"/>
          <w:rtl/>
          <w:lang w:bidi="ar-EG"/>
        </w:rPr>
        <w:t>مع تغييرات طفيفة لإبراز التعديلات التي أدخلت مؤخراً على توجيهات اللجنة</w:t>
      </w:r>
      <w:r w:rsidR="00A7568B">
        <w:rPr>
          <w:rFonts w:hint="eastAsia"/>
          <w:rtl/>
          <w:lang w:bidi="ar-EG"/>
        </w:rPr>
        <w:t> </w:t>
      </w:r>
      <w:r w:rsidR="00984FFF" w:rsidRPr="00D02783">
        <w:t>JTC</w:t>
      </w:r>
      <w:r w:rsidR="00A7568B">
        <w:t> </w:t>
      </w:r>
      <w:r w:rsidR="00984FFF" w:rsidRPr="00D02783">
        <w:t>1</w:t>
      </w:r>
      <w:r w:rsidR="00D82B32">
        <w:rPr>
          <w:rFonts w:hint="cs"/>
          <w:rtl/>
          <w:lang w:bidi="ar-EG"/>
        </w:rPr>
        <w:t>. وقد أدرجت هذه التعديلات في النسخة التي سيوافق عليها الفريق الاستشاري في اجتماعه</w:t>
      </w:r>
      <w:r w:rsidR="007B11E7">
        <w:rPr>
          <w:rFonts w:hint="cs"/>
          <w:rtl/>
          <w:lang w:bidi="ar-EG"/>
        </w:rPr>
        <w:t xml:space="preserve"> ال</w:t>
      </w:r>
      <w:r w:rsidR="00B67E3D">
        <w:rPr>
          <w:rFonts w:hint="cs"/>
          <w:rtl/>
          <w:lang w:bidi="ar-EG"/>
        </w:rPr>
        <w:t>‍</w:t>
      </w:r>
      <w:r w:rsidR="007B11E7">
        <w:rPr>
          <w:rFonts w:hint="cs"/>
          <w:rtl/>
          <w:lang w:bidi="ar-EG"/>
        </w:rPr>
        <w:t>مزمع عقده</w:t>
      </w:r>
      <w:r w:rsidR="00D82B32">
        <w:rPr>
          <w:rFonts w:hint="cs"/>
          <w:rtl/>
          <w:lang w:bidi="ar-EG"/>
        </w:rPr>
        <w:t xml:space="preserve"> في يونيو</w:t>
      </w:r>
      <w:r w:rsidR="0076516C">
        <w:rPr>
          <w:rFonts w:hint="eastAsia"/>
          <w:rtl/>
          <w:lang w:bidi="ar-EG"/>
        </w:rPr>
        <w:t> </w:t>
      </w:r>
      <w:r w:rsidR="00D82B32">
        <w:rPr>
          <w:lang w:bidi="ar-EG"/>
        </w:rPr>
        <w:t>2014</w:t>
      </w:r>
      <w:r w:rsidR="00D82B32">
        <w:rPr>
          <w:rFonts w:hint="cs"/>
          <w:rtl/>
          <w:lang w:bidi="ar-EG"/>
        </w:rPr>
        <w:t>.</w:t>
      </w:r>
    </w:p>
    <w:p w:rsidR="00CC30F9" w:rsidRDefault="00197378" w:rsidP="005A21FF">
      <w:pPr>
        <w:rPr>
          <w:rtl/>
          <w:lang w:bidi="ar-EG"/>
        </w:rPr>
      </w:pPr>
      <w:r>
        <w:rPr>
          <w:lang w:bidi="ar-EG"/>
        </w:rPr>
        <w:lastRenderedPageBreak/>
        <w:t>4</w:t>
      </w:r>
      <w:r w:rsidR="00A26EA0">
        <w:rPr>
          <w:rFonts w:hint="cs"/>
          <w:rtl/>
          <w:lang w:bidi="ar-EG"/>
        </w:rPr>
        <w:tab/>
      </w:r>
      <w:r w:rsidR="00A26EA0" w:rsidRPr="00CC30F9">
        <w:rPr>
          <w:rFonts w:hint="cs"/>
          <w:spacing w:val="-2"/>
          <w:rtl/>
          <w:lang w:bidi="ar-EG"/>
        </w:rPr>
        <w:t>يرجى من أي دولة عضو في الات</w:t>
      </w:r>
      <w:r w:rsidR="006F51DE">
        <w:rPr>
          <w:rFonts w:hint="cs"/>
          <w:spacing w:val="-2"/>
          <w:rtl/>
          <w:lang w:bidi="ar-EG"/>
        </w:rPr>
        <w:t>‍</w:t>
      </w:r>
      <w:r w:rsidR="00A26EA0" w:rsidRPr="00CC30F9">
        <w:rPr>
          <w:rFonts w:hint="cs"/>
          <w:spacing w:val="-2"/>
          <w:rtl/>
          <w:lang w:bidi="ar-EG"/>
        </w:rPr>
        <w:t>حاد أو عضو في القطاع أو منتسب إليه يعلم بوجود براءة اختراع في حيازته أو في</w:t>
      </w:r>
      <w:r w:rsidR="005A21FF">
        <w:rPr>
          <w:rFonts w:hint="eastAsia"/>
          <w:spacing w:val="-2"/>
          <w:rtl/>
          <w:lang w:bidi="ar-EG"/>
        </w:rPr>
        <w:t> </w:t>
      </w:r>
      <w:r w:rsidR="00A26EA0" w:rsidRPr="00CC30F9">
        <w:rPr>
          <w:rFonts w:hint="cs"/>
          <w:spacing w:val="-2"/>
          <w:rtl/>
          <w:lang w:bidi="ar-EG"/>
        </w:rPr>
        <w:t xml:space="preserve">حيازة الغير من شأنها أن تشمل كلياً أو جزئياً عناصر من </w:t>
      </w:r>
      <w:r w:rsidR="00A26EA0" w:rsidRPr="008719C0">
        <w:rPr>
          <w:rFonts w:hint="cs"/>
          <w:spacing w:val="-2"/>
          <w:rtl/>
          <w:lang w:bidi="ar-EG"/>
        </w:rPr>
        <w:t xml:space="preserve">مشروع </w:t>
      </w:r>
      <w:r w:rsidR="008719C0" w:rsidRPr="008719C0">
        <w:rPr>
          <w:rFonts w:hint="cs"/>
          <w:spacing w:val="-2"/>
          <w:rtl/>
          <w:lang w:bidi="ar-EG"/>
        </w:rPr>
        <w:t xml:space="preserve">مراجعة النص </w:t>
      </w:r>
      <w:r w:rsidR="00A26EA0" w:rsidRPr="008719C0">
        <w:rPr>
          <w:rFonts w:hint="cs"/>
          <w:spacing w:val="-2"/>
          <w:rtl/>
          <w:lang w:bidi="ar-EG"/>
        </w:rPr>
        <w:t>ال</w:t>
      </w:r>
      <w:r w:rsidR="00A464F7">
        <w:rPr>
          <w:rFonts w:hint="cs"/>
          <w:spacing w:val="-2"/>
          <w:rtl/>
          <w:lang w:bidi="ar-EG"/>
        </w:rPr>
        <w:t>‍</w:t>
      </w:r>
      <w:r w:rsidR="00A26EA0" w:rsidRPr="008719C0">
        <w:rPr>
          <w:rFonts w:hint="cs"/>
          <w:spacing w:val="-2"/>
          <w:rtl/>
          <w:lang w:bidi="ar-EG"/>
        </w:rPr>
        <w:t>مقترح ال</w:t>
      </w:r>
      <w:r w:rsidR="00A464F7">
        <w:rPr>
          <w:rFonts w:hint="cs"/>
          <w:spacing w:val="-2"/>
          <w:rtl/>
          <w:lang w:bidi="ar-EG"/>
        </w:rPr>
        <w:t>‍</w:t>
      </w:r>
      <w:r w:rsidR="00A26EA0" w:rsidRPr="008719C0">
        <w:rPr>
          <w:rFonts w:hint="cs"/>
          <w:spacing w:val="-2"/>
          <w:rtl/>
          <w:lang w:bidi="ar-EG"/>
        </w:rPr>
        <w:t>موافقة عليه</w:t>
      </w:r>
      <w:r w:rsidR="00A26EA0" w:rsidRPr="00CC30F9">
        <w:rPr>
          <w:rFonts w:hint="cs"/>
          <w:spacing w:val="-2"/>
          <w:rtl/>
          <w:lang w:bidi="ar-EG"/>
        </w:rPr>
        <w:t xml:space="preserve"> أن يكشف عن مثل هذه ال</w:t>
      </w:r>
      <w:r w:rsidR="009A482A">
        <w:rPr>
          <w:rFonts w:hint="cs"/>
          <w:spacing w:val="-2"/>
          <w:rtl/>
          <w:lang w:bidi="ar-EG"/>
        </w:rPr>
        <w:t>‍</w:t>
      </w:r>
      <w:r w:rsidR="00A26EA0" w:rsidRPr="00CC30F9">
        <w:rPr>
          <w:rFonts w:hint="cs"/>
          <w:spacing w:val="-2"/>
          <w:rtl/>
          <w:lang w:bidi="ar-EG"/>
        </w:rPr>
        <w:t>معلومات ل</w:t>
      </w:r>
      <w:r w:rsidR="009A482A">
        <w:rPr>
          <w:rFonts w:hint="cs"/>
          <w:spacing w:val="-2"/>
          <w:rtl/>
          <w:lang w:bidi="ar-EG"/>
        </w:rPr>
        <w:t>‍</w:t>
      </w:r>
      <w:r w:rsidR="00A26EA0" w:rsidRPr="00CC30F9">
        <w:rPr>
          <w:rFonts w:hint="cs"/>
          <w:spacing w:val="-2"/>
          <w:rtl/>
          <w:lang w:bidi="ar-EG"/>
        </w:rPr>
        <w:t>مكتب تقييس الاتصالات، عملاً بالسياسة ال</w:t>
      </w:r>
      <w:r w:rsidR="0053575E">
        <w:rPr>
          <w:rFonts w:hint="cs"/>
          <w:spacing w:val="-2"/>
          <w:rtl/>
          <w:lang w:bidi="ar-EG"/>
        </w:rPr>
        <w:t>‍</w:t>
      </w:r>
      <w:r w:rsidR="00A26EA0" w:rsidRPr="00CC30F9">
        <w:rPr>
          <w:rFonts w:hint="cs"/>
          <w:spacing w:val="-2"/>
          <w:rtl/>
          <w:lang w:bidi="ar-EG"/>
        </w:rPr>
        <w:t>مشتركة للبراءات ال</w:t>
      </w:r>
      <w:r w:rsidR="00585EE5">
        <w:rPr>
          <w:rFonts w:hint="cs"/>
          <w:spacing w:val="-2"/>
          <w:rtl/>
          <w:lang w:bidi="ar-EG"/>
        </w:rPr>
        <w:t>‍</w:t>
      </w:r>
      <w:r w:rsidR="00A26EA0" w:rsidRPr="00CC30F9">
        <w:rPr>
          <w:rFonts w:hint="cs"/>
          <w:spacing w:val="-2"/>
          <w:rtl/>
          <w:lang w:bidi="ar-EG"/>
        </w:rPr>
        <w:t>معتمدة لدى قطاع تقييس الاتصالات/قطاع الاتصالات الراديوية/ال</w:t>
      </w:r>
      <w:r w:rsidR="00585EE5">
        <w:rPr>
          <w:rFonts w:hint="cs"/>
          <w:spacing w:val="-2"/>
          <w:rtl/>
          <w:lang w:bidi="ar-EG"/>
        </w:rPr>
        <w:t>‍</w:t>
      </w:r>
      <w:r w:rsidR="00A26EA0" w:rsidRPr="00CC30F9">
        <w:rPr>
          <w:rFonts w:hint="cs"/>
          <w:spacing w:val="-2"/>
          <w:rtl/>
          <w:lang w:bidi="ar-EG"/>
        </w:rPr>
        <w:t xml:space="preserve">منظمة الدولية للتوحيد القياسي/اللجنة الكهرتقنية الدولية </w:t>
      </w:r>
      <w:r w:rsidR="00A26EA0" w:rsidRPr="00CC30F9">
        <w:rPr>
          <w:spacing w:val="-2"/>
          <w:lang w:bidi="ar-EG"/>
        </w:rPr>
        <w:t>(ITU-T/ITU-R/ISO/IEC)</w:t>
      </w:r>
      <w:r w:rsidR="001D39B3">
        <w:rPr>
          <w:rFonts w:hint="cs"/>
          <w:rtl/>
          <w:lang w:bidi="ar-EG"/>
        </w:rPr>
        <w:t>.</w:t>
      </w:r>
    </w:p>
    <w:p w:rsidR="00685209" w:rsidRPr="006B0159" w:rsidRDefault="00685209" w:rsidP="006B3D5B">
      <w:pPr>
        <w:keepLines/>
        <w:rPr>
          <w:spacing w:val="-2"/>
          <w:rtl/>
          <w:lang w:bidi="ar-EG"/>
        </w:rPr>
      </w:pPr>
      <w:r w:rsidRPr="006B0159">
        <w:rPr>
          <w:rFonts w:hint="cs"/>
          <w:spacing w:val="-2"/>
          <w:rtl/>
          <w:lang w:bidi="ar-EG"/>
        </w:rPr>
        <w:t>وي</w:t>
      </w:r>
      <w:r w:rsidR="006B3D5B" w:rsidRPr="006B0159">
        <w:rPr>
          <w:rFonts w:hint="cs"/>
          <w:spacing w:val="-2"/>
          <w:rtl/>
          <w:lang w:bidi="ar-EG"/>
        </w:rPr>
        <w:t>‍</w:t>
      </w:r>
      <w:r w:rsidRPr="006B0159">
        <w:rPr>
          <w:rFonts w:hint="cs"/>
          <w:spacing w:val="-2"/>
          <w:rtl/>
          <w:lang w:bidi="ar-EG"/>
        </w:rPr>
        <w:t>مكن الاطلاع على معلومات براءات الاختراع ال</w:t>
      </w:r>
      <w:r w:rsidR="006B0159" w:rsidRPr="006B0159">
        <w:rPr>
          <w:rFonts w:hint="cs"/>
          <w:spacing w:val="-2"/>
          <w:rtl/>
          <w:lang w:bidi="ar-EG"/>
        </w:rPr>
        <w:t>‍</w:t>
      </w:r>
      <w:r w:rsidRPr="006B0159">
        <w:rPr>
          <w:rFonts w:hint="cs"/>
          <w:spacing w:val="-2"/>
          <w:rtl/>
          <w:lang w:bidi="ar-EG"/>
        </w:rPr>
        <w:t>متاحة مباشرة في ال</w:t>
      </w:r>
      <w:r w:rsidR="006B3D5B" w:rsidRPr="006B0159">
        <w:rPr>
          <w:rFonts w:hint="cs"/>
          <w:spacing w:val="-2"/>
          <w:rtl/>
          <w:lang w:bidi="ar-EG"/>
        </w:rPr>
        <w:t>‍</w:t>
      </w:r>
      <w:r w:rsidRPr="006B0159">
        <w:rPr>
          <w:rFonts w:hint="cs"/>
          <w:spacing w:val="-2"/>
          <w:rtl/>
          <w:lang w:bidi="ar-EG"/>
        </w:rPr>
        <w:t xml:space="preserve">موقع الإلكتروني للقطاع </w:t>
      </w:r>
      <w:hyperlink r:id="rId9" w:history="1">
        <w:r w:rsidR="00D91804" w:rsidRPr="006B0159">
          <w:rPr>
            <w:rStyle w:val="Hyperlink"/>
            <w:spacing w:val="-2"/>
            <w:lang w:bidi="ar-EG"/>
          </w:rPr>
          <w:t>www.itu</w:t>
        </w:r>
        <w:r w:rsidR="00D91804" w:rsidRPr="006B0159">
          <w:rPr>
            <w:rStyle w:val="Hyperlink"/>
            <w:spacing w:val="-2"/>
            <w:lang w:bidi="ar-EG"/>
          </w:rPr>
          <w:t>.</w:t>
        </w:r>
        <w:r w:rsidR="00D91804" w:rsidRPr="006B0159">
          <w:rPr>
            <w:rStyle w:val="Hyperlink"/>
            <w:spacing w:val="-2"/>
            <w:lang w:bidi="ar-EG"/>
          </w:rPr>
          <w:t>int/ITU-T/ipr/)</w:t>
        </w:r>
      </w:hyperlink>
      <w:r w:rsidRPr="006B0159">
        <w:rPr>
          <w:spacing w:val="-2"/>
          <w:lang w:bidi="ar-EG"/>
        </w:rPr>
        <w:t>(</w:t>
      </w:r>
      <w:r w:rsidRPr="006B0159">
        <w:rPr>
          <w:rFonts w:hint="cs"/>
          <w:spacing w:val="-2"/>
          <w:rtl/>
          <w:lang w:bidi="ar-EG"/>
        </w:rPr>
        <w:t>.</w:t>
      </w:r>
    </w:p>
    <w:p w:rsidR="004067A6" w:rsidRDefault="00D91804" w:rsidP="00E61AB4">
      <w:pPr>
        <w:rPr>
          <w:rtl/>
          <w:lang w:bidi="ar-EG"/>
        </w:rPr>
      </w:pPr>
      <w:r>
        <w:rPr>
          <w:lang w:bidi="ar-EG"/>
        </w:rPr>
        <w:t>5</w:t>
      </w:r>
      <w:r w:rsidR="00A26EA0">
        <w:rPr>
          <w:rFonts w:hint="cs"/>
          <w:rtl/>
          <w:lang w:bidi="ar-EG"/>
        </w:rPr>
        <w:tab/>
        <w:t xml:space="preserve">وتبعاً لأحكام القسم </w:t>
      </w:r>
      <w:r w:rsidR="00A26EA0">
        <w:rPr>
          <w:lang w:bidi="ar-EG"/>
        </w:rPr>
        <w:t>9</w:t>
      </w:r>
      <w:r w:rsidR="00A26EA0">
        <w:rPr>
          <w:rFonts w:hint="cs"/>
          <w:rtl/>
          <w:lang w:bidi="ar-EG"/>
        </w:rPr>
        <w:t xml:space="preserve"> من القرار </w:t>
      </w:r>
      <w:r w:rsidR="00A26EA0">
        <w:rPr>
          <w:lang w:bidi="ar-EG"/>
        </w:rPr>
        <w:t>1</w:t>
      </w:r>
      <w:r w:rsidR="00A26EA0">
        <w:rPr>
          <w:rFonts w:hint="cs"/>
          <w:rtl/>
          <w:lang w:bidi="ar-EG"/>
        </w:rPr>
        <w:t xml:space="preserve"> سأكون م</w:t>
      </w:r>
      <w:r w:rsidR="00E61AB4">
        <w:rPr>
          <w:rFonts w:hint="cs"/>
          <w:rtl/>
          <w:lang w:bidi="ar-EG"/>
        </w:rPr>
        <w:t>‍</w:t>
      </w:r>
      <w:r w:rsidR="00A26EA0">
        <w:rPr>
          <w:rFonts w:hint="cs"/>
          <w:rtl/>
          <w:lang w:bidi="ar-EG"/>
        </w:rPr>
        <w:t>متناً لو تفضلتم بإعلامي في موعد أقصاه منتصف الليل بالتوقيت العال</w:t>
      </w:r>
      <w:r w:rsidR="00E61AB4">
        <w:rPr>
          <w:rFonts w:hint="cs"/>
          <w:rtl/>
          <w:lang w:bidi="ar-EG"/>
        </w:rPr>
        <w:t>‍</w:t>
      </w:r>
      <w:r w:rsidR="00A26EA0">
        <w:rPr>
          <w:rFonts w:hint="cs"/>
          <w:rtl/>
          <w:lang w:bidi="ar-EG"/>
        </w:rPr>
        <w:t>مي ال</w:t>
      </w:r>
      <w:r w:rsidR="00E61AB4">
        <w:rPr>
          <w:rFonts w:hint="cs"/>
          <w:rtl/>
          <w:lang w:bidi="ar-EG"/>
        </w:rPr>
        <w:t>‍</w:t>
      </w:r>
      <w:r w:rsidR="00A26EA0">
        <w:rPr>
          <w:rFonts w:hint="cs"/>
          <w:rtl/>
          <w:lang w:bidi="ar-EG"/>
        </w:rPr>
        <w:t xml:space="preserve">منسَّق </w:t>
      </w:r>
      <w:r w:rsidR="00A26EA0">
        <w:rPr>
          <w:rFonts w:hint="cs"/>
          <w:b/>
          <w:bCs/>
          <w:rtl/>
          <w:lang w:bidi="ar-EG"/>
        </w:rPr>
        <w:t xml:space="preserve">في </w:t>
      </w:r>
      <w:r>
        <w:rPr>
          <w:b/>
          <w:bCs/>
        </w:rPr>
        <w:t>5</w:t>
      </w:r>
      <w:r w:rsidR="004D28E1" w:rsidRPr="00F00A13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يونيو</w:t>
      </w:r>
      <w:r w:rsidR="004D28E1" w:rsidRPr="00F00A13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2014</w:t>
      </w:r>
      <w:r w:rsidR="004D28E1">
        <w:rPr>
          <w:rFonts w:hint="cs"/>
          <w:rtl/>
          <w:lang w:bidi="ar-EG"/>
        </w:rPr>
        <w:t xml:space="preserve"> </w:t>
      </w:r>
      <w:r w:rsidR="00A26EA0">
        <w:rPr>
          <w:rFonts w:hint="cs"/>
          <w:rtl/>
          <w:lang w:bidi="ar-EG"/>
        </w:rPr>
        <w:t xml:space="preserve">ما إذا كانت إدارتكم تفوِّض السلطة إلى </w:t>
      </w:r>
      <w:r w:rsidR="004D28E1">
        <w:rPr>
          <w:rFonts w:hint="cs"/>
          <w:rtl/>
          <w:lang w:bidi="ar-EG"/>
        </w:rPr>
        <w:t xml:space="preserve">الفريق الاستشاري لتقييس الاتصالات </w:t>
      </w:r>
      <w:r w:rsidR="00A26EA0">
        <w:rPr>
          <w:rFonts w:hint="cs"/>
          <w:rtl/>
          <w:lang w:bidi="ar-EG"/>
        </w:rPr>
        <w:t>للنظر في</w:t>
      </w:r>
      <w:r w:rsidR="00E61AB4">
        <w:rPr>
          <w:rFonts w:hint="eastAsia"/>
          <w:rtl/>
          <w:lang w:bidi="ar-EG"/>
        </w:rPr>
        <w:t> </w:t>
      </w:r>
      <w:r w:rsidR="004D28E1">
        <w:rPr>
          <w:rFonts w:hint="cs"/>
          <w:rtl/>
          <w:lang w:bidi="ar-EG"/>
        </w:rPr>
        <w:t xml:space="preserve">مشروع </w:t>
      </w:r>
      <w:r w:rsidR="008719C0">
        <w:rPr>
          <w:rFonts w:hint="cs"/>
          <w:rtl/>
          <w:lang w:bidi="ar-EG"/>
        </w:rPr>
        <w:t>مراجعة ال</w:t>
      </w:r>
      <w:r w:rsidR="00E61AB4">
        <w:rPr>
          <w:rFonts w:hint="cs"/>
          <w:rtl/>
          <w:lang w:bidi="ar-EG"/>
        </w:rPr>
        <w:t>‍</w:t>
      </w:r>
      <w:r w:rsidR="008719C0">
        <w:rPr>
          <w:rFonts w:hint="cs"/>
          <w:rtl/>
          <w:lang w:bidi="ar-EG"/>
        </w:rPr>
        <w:t>ملحق ألف ب</w:t>
      </w:r>
      <w:r w:rsidR="004D28E1">
        <w:rPr>
          <w:rFonts w:hint="cs"/>
          <w:rtl/>
          <w:lang w:bidi="ar-EG"/>
        </w:rPr>
        <w:t>التوصية</w:t>
      </w:r>
      <w:r w:rsidR="00767FCE">
        <w:rPr>
          <w:rFonts w:hint="cs"/>
          <w:rtl/>
        </w:rPr>
        <w:t xml:space="preserve"> </w:t>
      </w:r>
      <w:r w:rsidR="00767FCE">
        <w:rPr>
          <w:lang w:bidi="ar-EG"/>
        </w:rPr>
        <w:t>ITU</w:t>
      </w:r>
      <w:r w:rsidR="00767FCE">
        <w:rPr>
          <w:lang w:bidi="ar-EG"/>
        </w:rPr>
        <w:noBreakHyphen/>
        <w:t>T A.23</w:t>
      </w:r>
      <w:r w:rsidR="00767FCE">
        <w:rPr>
          <w:rFonts w:hint="cs"/>
          <w:rtl/>
          <w:lang w:bidi="ar-EG"/>
        </w:rPr>
        <w:t xml:space="preserve"> </w:t>
      </w:r>
      <w:r w:rsidR="00A26EA0">
        <w:rPr>
          <w:rFonts w:hint="cs"/>
          <w:rtl/>
          <w:lang w:bidi="ar-EG"/>
        </w:rPr>
        <w:t>بغرض ال</w:t>
      </w:r>
      <w:r w:rsidR="00E61AB4">
        <w:rPr>
          <w:rFonts w:hint="cs"/>
          <w:rtl/>
          <w:lang w:bidi="ar-EG"/>
        </w:rPr>
        <w:t>‍</w:t>
      </w:r>
      <w:r w:rsidR="00A26EA0">
        <w:rPr>
          <w:rFonts w:hint="cs"/>
          <w:rtl/>
          <w:lang w:bidi="ar-EG"/>
        </w:rPr>
        <w:t xml:space="preserve">موافقة عليه في اجتماع </w:t>
      </w:r>
      <w:r w:rsidR="004D28E1">
        <w:rPr>
          <w:rFonts w:hint="cs"/>
          <w:rtl/>
          <w:lang w:bidi="ar-EG"/>
        </w:rPr>
        <w:t>الفريق الاستشاري لتقييس</w:t>
      </w:r>
      <w:r w:rsidR="00E61AB4">
        <w:rPr>
          <w:rFonts w:hint="eastAsia"/>
          <w:rtl/>
          <w:lang w:bidi="ar-EG"/>
        </w:rPr>
        <w:t> </w:t>
      </w:r>
      <w:r w:rsidR="004D28E1">
        <w:rPr>
          <w:rFonts w:hint="cs"/>
          <w:rtl/>
          <w:lang w:bidi="ar-EG"/>
        </w:rPr>
        <w:t>الاتصالات</w:t>
      </w:r>
      <w:r w:rsidR="00A26EA0">
        <w:rPr>
          <w:rFonts w:hint="cs"/>
          <w:rtl/>
          <w:lang w:bidi="ar-EG"/>
        </w:rPr>
        <w:t>.</w:t>
      </w:r>
    </w:p>
    <w:p w:rsidR="004067A6" w:rsidRDefault="00A26EA0" w:rsidP="006162FD">
      <w:pPr>
        <w:rPr>
          <w:rtl/>
          <w:lang w:bidi="ar-EG"/>
        </w:rPr>
      </w:pPr>
      <w:r>
        <w:rPr>
          <w:rFonts w:hint="cs"/>
          <w:rtl/>
          <w:lang w:bidi="ar-EG"/>
        </w:rPr>
        <w:tab/>
        <w:t>وإذا رأت أي دولة عضو أن عملية النظر بغرض ال</w:t>
      </w:r>
      <w:r w:rsidR="0018443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 ينبغي ألاّ تستمر فعليها أن تبيّن أسباب ذلك الاعتراض وأن تشير إلى التغييرات ال</w:t>
      </w:r>
      <w:r w:rsidR="00771F5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ممكنة التي من شأنها تيسير مواصلة النظر في مشروع مراجعة التوصية وال</w:t>
      </w:r>
      <w:r w:rsidR="00771F5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 عليها.</w:t>
      </w:r>
    </w:p>
    <w:p w:rsidR="004067A6" w:rsidRDefault="00DD3FEB" w:rsidP="003D0E4A">
      <w:pPr>
        <w:rPr>
          <w:rtl/>
          <w:lang w:bidi="ar-EG"/>
        </w:rPr>
      </w:pPr>
      <w:proofErr w:type="gramStart"/>
      <w:r>
        <w:rPr>
          <w:lang w:bidi="ar-EG"/>
        </w:rPr>
        <w:t>6</w:t>
      </w:r>
      <w:r w:rsidR="007A66C2">
        <w:rPr>
          <w:rFonts w:hint="cs"/>
          <w:rtl/>
          <w:lang w:bidi="ar-EG"/>
        </w:rPr>
        <w:tab/>
        <w:t xml:space="preserve">فإذا كان </w:t>
      </w:r>
      <w:r w:rsidR="007A66C2">
        <w:rPr>
          <w:lang w:bidi="ar-EG"/>
        </w:rPr>
        <w:t>70</w:t>
      </w:r>
      <w:r w:rsidR="007A66C2">
        <w:rPr>
          <w:rFonts w:hint="cs"/>
          <w:rtl/>
          <w:lang w:bidi="ar-EG"/>
        </w:rPr>
        <w:t xml:space="preserve"> في ال</w:t>
      </w:r>
      <w:r w:rsidR="00BB4D6F">
        <w:rPr>
          <w:rFonts w:hint="cs"/>
          <w:rtl/>
          <w:lang w:bidi="ar-EG"/>
        </w:rPr>
        <w:t>‍</w:t>
      </w:r>
      <w:r w:rsidR="007A66C2">
        <w:rPr>
          <w:rFonts w:hint="cs"/>
          <w:rtl/>
          <w:lang w:bidi="ar-EG"/>
        </w:rPr>
        <w:t xml:space="preserve">مائة أو أكثر من الردود الواردة من الدول الأعضاء تؤيد النظر في </w:t>
      </w:r>
      <w:r w:rsidR="006C000E" w:rsidRPr="00D73818">
        <w:rPr>
          <w:rFonts w:hint="cs"/>
          <w:rtl/>
          <w:lang w:bidi="ar-EG"/>
        </w:rPr>
        <w:t xml:space="preserve">مشروع </w:t>
      </w:r>
      <w:r w:rsidR="007A66C2" w:rsidRPr="00D73818">
        <w:rPr>
          <w:rFonts w:hint="cs"/>
          <w:rtl/>
          <w:lang w:bidi="ar-EG"/>
        </w:rPr>
        <w:t xml:space="preserve">مراجعة </w:t>
      </w:r>
      <w:r w:rsidR="00D73818" w:rsidRPr="00D73818">
        <w:rPr>
          <w:rFonts w:hint="cs"/>
          <w:rtl/>
          <w:lang w:bidi="ar-EG"/>
        </w:rPr>
        <w:t>ال</w:t>
      </w:r>
      <w:r w:rsidR="003D0E4A">
        <w:rPr>
          <w:rFonts w:hint="cs"/>
          <w:rtl/>
          <w:lang w:bidi="ar-EG"/>
        </w:rPr>
        <w:t>‍</w:t>
      </w:r>
      <w:r w:rsidR="00D73818" w:rsidRPr="00D73818">
        <w:rPr>
          <w:rFonts w:hint="cs"/>
          <w:rtl/>
          <w:lang w:bidi="ar-EG"/>
        </w:rPr>
        <w:t>ملحق ألف</w:t>
      </w:r>
      <w:r w:rsidRPr="00D73818">
        <w:rPr>
          <w:rFonts w:hint="cs"/>
          <w:rtl/>
          <w:lang w:bidi="ar-EG"/>
        </w:rPr>
        <w:t xml:space="preserve"> </w:t>
      </w:r>
      <w:r w:rsidR="00D73818" w:rsidRPr="00D73818">
        <w:rPr>
          <w:rFonts w:hint="cs"/>
          <w:rtl/>
          <w:lang w:bidi="ar-EG"/>
        </w:rPr>
        <w:t>با</w:t>
      </w:r>
      <w:r w:rsidR="006C000E" w:rsidRPr="00D73818">
        <w:rPr>
          <w:rFonts w:hint="cs"/>
          <w:rtl/>
          <w:lang w:bidi="ar-EG"/>
        </w:rPr>
        <w:t xml:space="preserve">لتوصية </w:t>
      </w:r>
      <w:r w:rsidRPr="00D73818">
        <w:rPr>
          <w:rFonts w:hint="cs"/>
          <w:rtl/>
          <w:lang w:bidi="ar-EG"/>
        </w:rPr>
        <w:t>هذه بغرض ال</w:t>
      </w:r>
      <w:r w:rsidR="00761FBB">
        <w:rPr>
          <w:rFonts w:hint="cs"/>
          <w:rtl/>
          <w:lang w:bidi="ar-EG"/>
        </w:rPr>
        <w:t>‍</w:t>
      </w:r>
      <w:r w:rsidRPr="00D73818">
        <w:rPr>
          <w:rFonts w:hint="cs"/>
          <w:rtl/>
          <w:lang w:bidi="ar-EG"/>
        </w:rPr>
        <w:t>موافقة عليه</w:t>
      </w:r>
      <w:r w:rsidR="007A66C2">
        <w:rPr>
          <w:rFonts w:hint="cs"/>
          <w:rtl/>
          <w:lang w:bidi="ar-EG"/>
        </w:rPr>
        <w:t xml:space="preserve"> في اجتماع </w:t>
      </w:r>
      <w:r w:rsidR="006C000E">
        <w:rPr>
          <w:rFonts w:hint="cs"/>
          <w:rtl/>
          <w:lang w:bidi="ar-EG"/>
        </w:rPr>
        <w:t xml:space="preserve">الفريق الاستشاري لتقييس الاتصالات </w:t>
      </w:r>
      <w:r w:rsidR="007A66C2">
        <w:rPr>
          <w:rFonts w:hint="cs"/>
          <w:rtl/>
          <w:lang w:bidi="ar-EG"/>
        </w:rPr>
        <w:t xml:space="preserve">عندئذ سوف تكرَّس جلسة عامة </w:t>
      </w:r>
      <w:r w:rsidR="007A66C2">
        <w:rPr>
          <w:rFonts w:hint="cs"/>
          <w:b/>
          <w:bCs/>
          <w:rtl/>
          <w:lang w:bidi="ar-EG"/>
        </w:rPr>
        <w:t>في</w:t>
      </w:r>
      <w:r w:rsidR="003D0E4A">
        <w:rPr>
          <w:rFonts w:hint="eastAsia"/>
          <w:b/>
          <w:bCs/>
          <w:rtl/>
          <w:lang w:bidi="ar-EG"/>
        </w:rPr>
        <w:t> </w:t>
      </w:r>
      <w:r w:rsidR="00D87731">
        <w:rPr>
          <w:b/>
          <w:bCs/>
          <w:lang w:bidi="ar-EG"/>
        </w:rPr>
        <w:t>20</w:t>
      </w:r>
      <w:r w:rsidR="003D0E4A">
        <w:rPr>
          <w:rFonts w:hint="eastAsia"/>
          <w:b/>
          <w:bCs/>
          <w:rtl/>
          <w:lang w:bidi="ar-EG"/>
        </w:rPr>
        <w:t> </w:t>
      </w:r>
      <w:r w:rsidR="00D87731">
        <w:rPr>
          <w:rFonts w:hint="cs"/>
          <w:b/>
          <w:bCs/>
          <w:rtl/>
          <w:lang w:bidi="ar-EG"/>
        </w:rPr>
        <w:t>يونيو</w:t>
      </w:r>
      <w:r w:rsidR="006C000E">
        <w:rPr>
          <w:rFonts w:hint="cs"/>
          <w:b/>
          <w:bCs/>
          <w:rtl/>
          <w:lang w:bidi="ar-EG"/>
        </w:rPr>
        <w:t xml:space="preserve"> </w:t>
      </w:r>
      <w:r w:rsidR="00D87731">
        <w:rPr>
          <w:b/>
          <w:bCs/>
          <w:lang w:bidi="ar-EG"/>
        </w:rPr>
        <w:t>2014</w:t>
      </w:r>
      <w:r w:rsidR="006C000E">
        <w:rPr>
          <w:rFonts w:hint="cs"/>
          <w:b/>
          <w:bCs/>
          <w:rtl/>
          <w:lang w:bidi="ar-EG"/>
        </w:rPr>
        <w:t xml:space="preserve"> </w:t>
      </w:r>
      <w:r w:rsidR="00D87731">
        <w:rPr>
          <w:rFonts w:hint="cs"/>
          <w:rtl/>
          <w:lang w:bidi="ar-EG"/>
        </w:rPr>
        <w:t>لتطبيق إجراء</w:t>
      </w:r>
      <w:r w:rsidR="007A66C2" w:rsidRPr="00F0698D">
        <w:rPr>
          <w:rFonts w:hint="cs"/>
          <w:rtl/>
          <w:lang w:bidi="ar-EG"/>
        </w:rPr>
        <w:t xml:space="preserve"> ال</w:t>
      </w:r>
      <w:r w:rsidR="00BB4D6F">
        <w:rPr>
          <w:rFonts w:hint="cs"/>
          <w:rtl/>
          <w:lang w:bidi="ar-EG"/>
        </w:rPr>
        <w:t>‍</w:t>
      </w:r>
      <w:r w:rsidR="007A66C2" w:rsidRPr="00F0698D">
        <w:rPr>
          <w:rFonts w:hint="cs"/>
          <w:rtl/>
          <w:lang w:bidi="ar-EG"/>
        </w:rPr>
        <w:t>موافقة.</w:t>
      </w:r>
      <w:proofErr w:type="gramEnd"/>
    </w:p>
    <w:p w:rsidR="00B85152" w:rsidRPr="00F76BA2" w:rsidRDefault="007A66C2" w:rsidP="00CF4C1A">
      <w:pPr>
        <w:rPr>
          <w:spacing w:val="-4"/>
          <w:rtl/>
          <w:lang w:bidi="ar-EG"/>
        </w:rPr>
      </w:pPr>
      <w:r w:rsidRPr="00F76BA2">
        <w:rPr>
          <w:rFonts w:hint="cs"/>
          <w:spacing w:val="-4"/>
          <w:rtl/>
          <w:lang w:bidi="ar-EG"/>
        </w:rPr>
        <w:t>ولذلك فإنني أدعو إدارتكم إلى إرسال م</w:t>
      </w:r>
      <w:r w:rsidR="003E7E0F">
        <w:rPr>
          <w:rFonts w:hint="cs"/>
          <w:spacing w:val="-4"/>
          <w:rtl/>
          <w:lang w:bidi="ar-EG"/>
        </w:rPr>
        <w:t>‍</w:t>
      </w:r>
      <w:r w:rsidRPr="00F76BA2">
        <w:rPr>
          <w:rFonts w:hint="cs"/>
          <w:spacing w:val="-4"/>
          <w:rtl/>
          <w:lang w:bidi="ar-EG"/>
        </w:rPr>
        <w:t xml:space="preserve">مثل إلى الاجتماع. </w:t>
      </w:r>
      <w:r w:rsidRPr="00F76BA2">
        <w:rPr>
          <w:rFonts w:hint="cs"/>
          <w:b/>
          <w:bCs/>
          <w:spacing w:val="-4"/>
          <w:rtl/>
          <w:lang w:bidi="ar-EG"/>
        </w:rPr>
        <w:t>ويرجى من إدارات الدول الأعضاء في الات</w:t>
      </w:r>
      <w:r w:rsidR="003E7E0F">
        <w:rPr>
          <w:rFonts w:hint="cs"/>
          <w:b/>
          <w:bCs/>
          <w:spacing w:val="-4"/>
          <w:rtl/>
          <w:lang w:bidi="ar-EG"/>
        </w:rPr>
        <w:t>‍</w:t>
      </w:r>
      <w:r w:rsidRPr="00F76BA2">
        <w:rPr>
          <w:rFonts w:hint="cs"/>
          <w:b/>
          <w:bCs/>
          <w:spacing w:val="-4"/>
          <w:rtl/>
          <w:lang w:bidi="ar-EG"/>
        </w:rPr>
        <w:t>حاد</w:t>
      </w:r>
      <w:r w:rsidRPr="00F76BA2">
        <w:rPr>
          <w:rFonts w:hint="cs"/>
          <w:spacing w:val="-4"/>
          <w:rtl/>
          <w:lang w:bidi="ar-EG"/>
        </w:rPr>
        <w:t xml:space="preserve"> بيان اسم رئيس وفدها. وإذا كانت إدارتكم ترغب في أن ي</w:t>
      </w:r>
      <w:r w:rsidR="003E7E0F">
        <w:rPr>
          <w:rFonts w:hint="cs"/>
          <w:spacing w:val="-4"/>
          <w:rtl/>
          <w:lang w:bidi="ar-EG"/>
        </w:rPr>
        <w:t>‍</w:t>
      </w:r>
      <w:r w:rsidRPr="00F76BA2">
        <w:rPr>
          <w:rFonts w:hint="cs"/>
          <w:spacing w:val="-4"/>
          <w:rtl/>
          <w:lang w:bidi="ar-EG"/>
        </w:rPr>
        <w:t>مثلها في الاجتماع وكالة تشغيل معتمدة أو منظمة علمية أو صناعية أو أي كيان آخر يتعامل في</w:t>
      </w:r>
      <w:r w:rsidR="00F76BA2">
        <w:rPr>
          <w:rFonts w:hint="eastAsia"/>
          <w:spacing w:val="-4"/>
          <w:rtl/>
          <w:lang w:bidi="ar-EG"/>
        </w:rPr>
        <w:t> </w:t>
      </w:r>
      <w:r w:rsidRPr="00F76BA2">
        <w:rPr>
          <w:rFonts w:hint="cs"/>
          <w:spacing w:val="-4"/>
          <w:rtl/>
          <w:lang w:bidi="ar-EG"/>
        </w:rPr>
        <w:t>مسائل الاتصالات عندئذ يتعين إبلاغ مدير القطاع بذلك طبقاً لأحكام الرقم</w:t>
      </w:r>
      <w:r w:rsidR="000D3252">
        <w:rPr>
          <w:rFonts w:hint="eastAsia"/>
          <w:spacing w:val="-4"/>
          <w:rtl/>
          <w:lang w:bidi="ar-EG"/>
        </w:rPr>
        <w:t> </w:t>
      </w:r>
      <w:r w:rsidRPr="00F76BA2">
        <w:rPr>
          <w:spacing w:val="-4"/>
          <w:lang w:bidi="ar-EG"/>
        </w:rPr>
        <w:t>239</w:t>
      </w:r>
      <w:r w:rsidRPr="00F76BA2">
        <w:rPr>
          <w:rFonts w:hint="cs"/>
          <w:spacing w:val="-4"/>
          <w:rtl/>
          <w:lang w:bidi="ar-EG"/>
        </w:rPr>
        <w:t xml:space="preserve"> من ال</w:t>
      </w:r>
      <w:r w:rsidR="00CF4C1A">
        <w:rPr>
          <w:rFonts w:hint="cs"/>
          <w:spacing w:val="-4"/>
          <w:rtl/>
          <w:lang w:bidi="ar-EG"/>
        </w:rPr>
        <w:t>‍</w:t>
      </w:r>
      <w:r w:rsidRPr="00F76BA2">
        <w:rPr>
          <w:rFonts w:hint="cs"/>
          <w:spacing w:val="-4"/>
          <w:rtl/>
          <w:lang w:bidi="ar-EG"/>
        </w:rPr>
        <w:t>مادة</w:t>
      </w:r>
      <w:r w:rsidR="00CF4C1A">
        <w:rPr>
          <w:rFonts w:hint="eastAsia"/>
          <w:spacing w:val="-4"/>
          <w:rtl/>
          <w:lang w:bidi="ar-EG"/>
        </w:rPr>
        <w:t> </w:t>
      </w:r>
      <w:r w:rsidRPr="00F76BA2">
        <w:rPr>
          <w:spacing w:val="-4"/>
          <w:lang w:bidi="ar-EG"/>
        </w:rPr>
        <w:t>19</w:t>
      </w:r>
      <w:r w:rsidRPr="00F76BA2">
        <w:rPr>
          <w:rFonts w:hint="cs"/>
          <w:spacing w:val="-4"/>
          <w:rtl/>
          <w:lang w:bidi="ar-EG"/>
        </w:rPr>
        <w:t xml:space="preserve"> من اتفاقية الات</w:t>
      </w:r>
      <w:r w:rsidR="003E7E0F">
        <w:rPr>
          <w:rFonts w:hint="cs"/>
          <w:spacing w:val="-4"/>
          <w:rtl/>
          <w:lang w:bidi="ar-EG"/>
        </w:rPr>
        <w:t>‍</w:t>
      </w:r>
      <w:r w:rsidRPr="00F76BA2">
        <w:rPr>
          <w:rFonts w:hint="cs"/>
          <w:spacing w:val="-4"/>
          <w:rtl/>
          <w:lang w:bidi="ar-EG"/>
        </w:rPr>
        <w:t>حاد.</w:t>
      </w:r>
    </w:p>
    <w:p w:rsidR="00B85152" w:rsidRDefault="00D87731" w:rsidP="006162FD">
      <w:pPr>
        <w:rPr>
          <w:rtl/>
          <w:lang w:bidi="ar-EG"/>
        </w:rPr>
      </w:pPr>
      <w:proofErr w:type="gramStart"/>
      <w:r>
        <w:rPr>
          <w:lang w:bidi="ar-EG"/>
        </w:rPr>
        <w:t>7</w:t>
      </w:r>
      <w:r w:rsidR="007A66C2">
        <w:rPr>
          <w:rFonts w:hint="cs"/>
          <w:rtl/>
          <w:lang w:bidi="ar-EG"/>
        </w:rPr>
        <w:tab/>
        <w:t>وي</w:t>
      </w:r>
      <w:r w:rsidR="00713C10">
        <w:rPr>
          <w:rFonts w:hint="cs"/>
          <w:rtl/>
          <w:lang w:bidi="ar-EG"/>
        </w:rPr>
        <w:t>‍</w:t>
      </w:r>
      <w:r w:rsidR="007A66C2">
        <w:rPr>
          <w:rFonts w:hint="cs"/>
          <w:rtl/>
          <w:lang w:bidi="ar-EG"/>
        </w:rPr>
        <w:t>مكن الاطلاع على جدول الأعمال وج</w:t>
      </w:r>
      <w:r w:rsidR="003E7E0F">
        <w:rPr>
          <w:rFonts w:hint="cs"/>
          <w:rtl/>
          <w:lang w:bidi="ar-EG"/>
        </w:rPr>
        <w:t>‍</w:t>
      </w:r>
      <w:r w:rsidR="007A66C2">
        <w:rPr>
          <w:rFonts w:hint="cs"/>
          <w:rtl/>
          <w:lang w:bidi="ar-EG"/>
        </w:rPr>
        <w:t>ميع ال</w:t>
      </w:r>
      <w:r w:rsidR="003E7E0F">
        <w:rPr>
          <w:rFonts w:hint="cs"/>
          <w:rtl/>
          <w:lang w:bidi="ar-EG"/>
        </w:rPr>
        <w:t>‍</w:t>
      </w:r>
      <w:r w:rsidR="007A66C2">
        <w:rPr>
          <w:rFonts w:hint="cs"/>
          <w:rtl/>
          <w:lang w:bidi="ar-EG"/>
        </w:rPr>
        <w:t xml:space="preserve">معلومات ذات الصلة فيما يتعلق باجتماع </w:t>
      </w:r>
      <w:r w:rsidR="0023139E">
        <w:rPr>
          <w:rFonts w:hint="cs"/>
          <w:rtl/>
          <w:lang w:bidi="ar-EG"/>
        </w:rPr>
        <w:t>الفريق الاستشاري لتقييس الاتصالات</w:t>
      </w:r>
      <w:r w:rsidR="007A66C2">
        <w:rPr>
          <w:rFonts w:hint="cs"/>
          <w:rtl/>
          <w:lang w:bidi="ar-EG"/>
        </w:rPr>
        <w:t xml:space="preserve"> في الرسالة ال</w:t>
      </w:r>
      <w:r w:rsidR="003E7E0F">
        <w:rPr>
          <w:rFonts w:hint="cs"/>
          <w:rtl/>
          <w:lang w:bidi="ar-EG"/>
        </w:rPr>
        <w:t>‍</w:t>
      </w:r>
      <w:r w:rsidR="007A66C2">
        <w:rPr>
          <w:rFonts w:hint="cs"/>
          <w:rtl/>
          <w:lang w:bidi="ar-EG"/>
        </w:rPr>
        <w:t xml:space="preserve">جماعية </w:t>
      </w:r>
      <w:r w:rsidR="0023139E">
        <w:rPr>
          <w:lang w:bidi="ar-EG"/>
        </w:rPr>
        <w:t>2/TSAG</w:t>
      </w:r>
      <w:r w:rsidR="0023139E">
        <w:rPr>
          <w:rFonts w:hint="cs"/>
          <w:rtl/>
          <w:lang w:bidi="ar-EG"/>
        </w:rPr>
        <w:t>.</w:t>
      </w:r>
      <w:proofErr w:type="gramEnd"/>
    </w:p>
    <w:p w:rsidR="004579B5" w:rsidRPr="004579B5" w:rsidRDefault="00156A9D" w:rsidP="006162FD">
      <w:pPr>
        <w:rPr>
          <w:rtl/>
          <w:lang w:bidi="ar-EG"/>
        </w:rPr>
      </w:pPr>
      <w:proofErr w:type="gramStart"/>
      <w:r>
        <w:rPr>
          <w:lang w:bidi="ar-EG"/>
        </w:rPr>
        <w:t>8</w:t>
      </w:r>
      <w:r w:rsidR="007A66C2">
        <w:rPr>
          <w:rFonts w:hint="cs"/>
          <w:rtl/>
          <w:lang w:bidi="ar-EG"/>
        </w:rPr>
        <w:tab/>
        <w:t>وفي أعقاب الاجتماع سوف يعلن مدير مكتب تقييس الاتصالات، في نشرة معممة، عن القرار ال</w:t>
      </w:r>
      <w:r w:rsidR="003E7E0F">
        <w:rPr>
          <w:rFonts w:hint="cs"/>
          <w:rtl/>
          <w:lang w:bidi="ar-EG"/>
        </w:rPr>
        <w:t>‍</w:t>
      </w:r>
      <w:r w:rsidR="007A66C2">
        <w:rPr>
          <w:rFonts w:hint="cs"/>
          <w:rtl/>
          <w:lang w:bidi="ar-EG"/>
        </w:rPr>
        <w:t>متخذ بشأن هذه التوصية</w:t>
      </w:r>
      <w:r w:rsidR="0023139E">
        <w:rPr>
          <w:rFonts w:hint="cs"/>
          <w:rtl/>
          <w:lang w:bidi="ar-EG"/>
        </w:rPr>
        <w:t>.</w:t>
      </w:r>
      <w:proofErr w:type="gramEnd"/>
      <w:r w:rsidR="007A66C2">
        <w:rPr>
          <w:rFonts w:hint="cs"/>
          <w:rtl/>
          <w:lang w:bidi="ar-EG"/>
        </w:rPr>
        <w:t xml:space="preserve"> ولسوف تُنشر هذه ال</w:t>
      </w:r>
      <w:r w:rsidR="005775DF">
        <w:rPr>
          <w:rFonts w:hint="cs"/>
          <w:rtl/>
          <w:lang w:bidi="ar-EG"/>
        </w:rPr>
        <w:t>‍</w:t>
      </w:r>
      <w:r w:rsidR="007A66C2">
        <w:rPr>
          <w:rFonts w:hint="cs"/>
          <w:rtl/>
          <w:lang w:bidi="ar-EG"/>
        </w:rPr>
        <w:t>معلومات أيضاً في النشرة التشغيلية للات</w:t>
      </w:r>
      <w:r w:rsidR="003E7E0F">
        <w:rPr>
          <w:rFonts w:hint="cs"/>
          <w:rtl/>
          <w:lang w:bidi="ar-EG"/>
        </w:rPr>
        <w:t>‍</w:t>
      </w:r>
      <w:r w:rsidR="007A66C2">
        <w:rPr>
          <w:rFonts w:hint="cs"/>
          <w:rtl/>
          <w:lang w:bidi="ar-EG"/>
        </w:rPr>
        <w:t>حاد.</w:t>
      </w:r>
    </w:p>
    <w:p w:rsidR="009F4B09" w:rsidRPr="005F33FD" w:rsidRDefault="007A66C2" w:rsidP="000F54A4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8165EA" w:rsidRDefault="007A66C2" w:rsidP="00ED5429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 w:rsidR="006162FD">
        <w:rPr>
          <w:rFonts w:hint="cs"/>
          <w:rtl/>
        </w:rPr>
        <w:t>‍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4579B5" w:rsidRPr="004579B5" w:rsidRDefault="007A66C2" w:rsidP="00A976B3">
      <w:pPr>
        <w:spacing w:before="1200"/>
        <w:jc w:val="lef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</w:t>
      </w:r>
      <w:r w:rsidR="00A3509E">
        <w:rPr>
          <w:rFonts w:hint="cs"/>
          <w:b/>
          <w:bCs/>
          <w:rtl/>
          <w:lang w:bidi="ar-EG"/>
        </w:rPr>
        <w:t>‍</w:t>
      </w:r>
      <w:r>
        <w:rPr>
          <w:rFonts w:hint="cs"/>
          <w:b/>
          <w:bCs/>
          <w:rtl/>
          <w:lang w:bidi="ar-EG"/>
        </w:rPr>
        <w:t>ملحقات:</w:t>
      </w:r>
      <w:r w:rsidR="0023139E">
        <w:rPr>
          <w:rFonts w:hint="cs"/>
          <w:b/>
          <w:bCs/>
          <w:rtl/>
          <w:lang w:bidi="ar-EG"/>
        </w:rPr>
        <w:t xml:space="preserve"> </w:t>
      </w:r>
      <w:r w:rsidR="0023139E">
        <w:rPr>
          <w:b/>
          <w:bCs/>
          <w:lang w:bidi="ar-EG"/>
        </w:rPr>
        <w:t>1</w:t>
      </w:r>
    </w:p>
    <w:p w:rsidR="00637FB5" w:rsidRPr="00F36AB2" w:rsidRDefault="0023139E" w:rsidP="00A976B3">
      <w:pPr>
        <w:pStyle w:val="AnnexNo"/>
        <w:pageBreakBefore w:val="0"/>
        <w:spacing w:before="0" w:after="80"/>
        <w:rPr>
          <w:sz w:val="22"/>
          <w:szCs w:val="30"/>
          <w:rtl/>
          <w:lang w:bidi="ar-EG"/>
        </w:rPr>
      </w:pPr>
      <w:r>
        <w:rPr>
          <w:rtl/>
          <w:lang w:bidi="ar-EG"/>
        </w:rPr>
        <w:br w:type="page"/>
      </w:r>
      <w:r w:rsidR="00876AC1" w:rsidRPr="00FD7FFC">
        <w:rPr>
          <w:rFonts w:hint="cs"/>
          <w:sz w:val="28"/>
          <w:szCs w:val="40"/>
          <w:rtl/>
          <w:lang w:bidi="ar-EG"/>
        </w:rPr>
        <w:lastRenderedPageBreak/>
        <w:t>ال</w:t>
      </w:r>
      <w:r w:rsidR="005A21FF">
        <w:rPr>
          <w:rFonts w:hint="cs"/>
          <w:sz w:val="28"/>
          <w:szCs w:val="40"/>
          <w:rtl/>
          <w:lang w:bidi="ar-EG"/>
        </w:rPr>
        <w:t>‍</w:t>
      </w:r>
      <w:r w:rsidR="00876AC1" w:rsidRPr="00FD7FFC">
        <w:rPr>
          <w:rFonts w:hint="cs"/>
          <w:sz w:val="28"/>
          <w:szCs w:val="40"/>
          <w:rtl/>
          <w:lang w:bidi="ar-EG"/>
        </w:rPr>
        <w:t>ملح</w:t>
      </w:r>
      <w:r w:rsidR="00FD7FFC" w:rsidRPr="00FD7FFC">
        <w:rPr>
          <w:rFonts w:hint="cs"/>
          <w:sz w:val="28"/>
          <w:szCs w:val="40"/>
          <w:rtl/>
          <w:lang w:bidi="ar-EG"/>
        </w:rPr>
        <w:t>ـ</w:t>
      </w:r>
      <w:r w:rsidR="00876AC1" w:rsidRPr="00FD7FFC">
        <w:rPr>
          <w:rFonts w:hint="cs"/>
          <w:sz w:val="28"/>
          <w:szCs w:val="40"/>
          <w:rtl/>
          <w:lang w:bidi="ar-EG"/>
        </w:rPr>
        <w:t xml:space="preserve">ق </w:t>
      </w:r>
      <w:r w:rsidR="00876AC1" w:rsidRPr="00FD7FFC">
        <w:rPr>
          <w:sz w:val="28"/>
          <w:szCs w:val="40"/>
          <w:lang w:bidi="ar-EG"/>
        </w:rPr>
        <w:t>1</w:t>
      </w:r>
      <w:r w:rsidR="00876AC1" w:rsidRPr="00876AC1">
        <w:rPr>
          <w:b/>
          <w:bCs/>
          <w:sz w:val="28"/>
          <w:rtl/>
          <w:lang w:bidi="ar-EG"/>
        </w:rPr>
        <w:br/>
      </w:r>
      <w:r w:rsidR="00876AC1" w:rsidRPr="00F36AB2">
        <w:rPr>
          <w:rFonts w:hint="cs"/>
          <w:sz w:val="22"/>
          <w:szCs w:val="30"/>
          <w:rtl/>
          <w:lang w:bidi="ar-EG"/>
        </w:rPr>
        <w:t>(</w:t>
      </w:r>
      <w:r w:rsidR="00D939AD" w:rsidRPr="00F36AB2">
        <w:rPr>
          <w:rFonts w:hint="cs"/>
          <w:sz w:val="22"/>
          <w:szCs w:val="30"/>
          <w:rtl/>
          <w:lang w:bidi="ar-EG"/>
        </w:rPr>
        <w:t>بالرسالة ال</w:t>
      </w:r>
      <w:r w:rsidR="005A21FF" w:rsidRPr="00F36AB2">
        <w:rPr>
          <w:rFonts w:hint="cs"/>
          <w:sz w:val="22"/>
          <w:szCs w:val="30"/>
          <w:rtl/>
          <w:lang w:bidi="ar-EG"/>
        </w:rPr>
        <w:t>‍</w:t>
      </w:r>
      <w:r w:rsidR="00D939AD" w:rsidRPr="00F36AB2">
        <w:rPr>
          <w:rFonts w:hint="cs"/>
          <w:sz w:val="22"/>
          <w:szCs w:val="30"/>
          <w:rtl/>
          <w:lang w:bidi="ar-EG"/>
        </w:rPr>
        <w:t>معممة</w:t>
      </w:r>
      <w:r w:rsidR="00876AC1" w:rsidRPr="00F36AB2">
        <w:rPr>
          <w:rFonts w:hint="cs"/>
          <w:sz w:val="22"/>
          <w:szCs w:val="30"/>
          <w:rtl/>
          <w:lang w:bidi="ar-EG"/>
        </w:rPr>
        <w:t xml:space="preserve"> </w:t>
      </w:r>
      <w:r w:rsidR="00954CDB" w:rsidRPr="00F36AB2">
        <w:rPr>
          <w:sz w:val="22"/>
          <w:szCs w:val="30"/>
          <w:lang w:bidi="ar-EG"/>
        </w:rPr>
        <w:t>85</w:t>
      </w:r>
      <w:r w:rsidR="005A21FF" w:rsidRPr="00F36AB2">
        <w:rPr>
          <w:rFonts w:hint="cs"/>
          <w:sz w:val="22"/>
          <w:szCs w:val="30"/>
          <w:rtl/>
          <w:lang w:bidi="ar-EG"/>
        </w:rPr>
        <w:t xml:space="preserve"> ل‍مكتب تقييس الاتصالات</w:t>
      </w:r>
      <w:r w:rsidR="00876AC1" w:rsidRPr="00F36AB2">
        <w:rPr>
          <w:rFonts w:hint="cs"/>
          <w:sz w:val="22"/>
          <w:szCs w:val="30"/>
          <w:rtl/>
          <w:lang w:bidi="ar-EG"/>
        </w:rPr>
        <w:t>)</w:t>
      </w:r>
    </w:p>
    <w:p w:rsidR="00D939AD" w:rsidRDefault="00D939AD" w:rsidP="00057D69">
      <w:pPr>
        <w:pStyle w:val="Annextitle"/>
        <w:spacing w:before="240" w:after="120"/>
        <w:rPr>
          <w:b w:val="0"/>
          <w:bCs w:val="0"/>
          <w:sz w:val="36"/>
          <w:rtl/>
        </w:rPr>
      </w:pPr>
      <w:r w:rsidRPr="00DD6F30">
        <w:rPr>
          <w:rFonts w:hint="cs"/>
          <w:sz w:val="36"/>
          <w:rtl/>
        </w:rPr>
        <w:t xml:space="preserve">ملخص النص والوثيقة </w:t>
      </w:r>
      <w:r w:rsidR="00B07452">
        <w:rPr>
          <w:rFonts w:hint="cs"/>
          <w:sz w:val="36"/>
          <w:rtl/>
        </w:rPr>
        <w:t>التي يرد</w:t>
      </w:r>
      <w:r w:rsidRPr="00DD6F30">
        <w:rPr>
          <w:rFonts w:hint="cs"/>
          <w:sz w:val="36"/>
          <w:rtl/>
        </w:rPr>
        <w:t xml:space="preserve"> فيها</w:t>
      </w:r>
    </w:p>
    <w:p w:rsidR="00876AC1" w:rsidRPr="002D1673" w:rsidRDefault="00876AC1" w:rsidP="001D5B71">
      <w:pPr>
        <w:spacing w:before="480"/>
        <w:jc w:val="left"/>
        <w:rPr>
          <w:b/>
          <w:bCs/>
          <w:rtl/>
          <w:lang w:val="de-CH"/>
        </w:rPr>
      </w:pPr>
      <w:r w:rsidRPr="00876AC1">
        <w:rPr>
          <w:rFonts w:hint="cs"/>
          <w:b/>
          <w:bCs/>
          <w:rtl/>
          <w:lang w:bidi="ar-EG"/>
        </w:rPr>
        <w:t xml:space="preserve">مشروع </w:t>
      </w:r>
      <w:r w:rsidR="00CA4315">
        <w:rPr>
          <w:rFonts w:hint="cs"/>
          <w:b/>
          <w:bCs/>
          <w:rtl/>
          <w:lang w:bidi="ar-EG"/>
        </w:rPr>
        <w:t>مراجعة ال</w:t>
      </w:r>
      <w:r w:rsidR="0073768B">
        <w:rPr>
          <w:rFonts w:hint="cs"/>
          <w:b/>
          <w:bCs/>
          <w:rtl/>
          <w:lang w:bidi="ar-EG"/>
        </w:rPr>
        <w:t>‍</w:t>
      </w:r>
      <w:r w:rsidR="00CA4315">
        <w:rPr>
          <w:rFonts w:hint="cs"/>
          <w:b/>
          <w:bCs/>
          <w:rtl/>
          <w:lang w:bidi="ar-EG"/>
        </w:rPr>
        <w:t>ملحق</w:t>
      </w:r>
      <w:r w:rsidRPr="00876AC1">
        <w:rPr>
          <w:rFonts w:hint="cs"/>
          <w:b/>
          <w:bCs/>
          <w:rtl/>
          <w:lang w:bidi="ar-EG"/>
        </w:rPr>
        <w:t xml:space="preserve"> </w:t>
      </w:r>
      <w:r w:rsidR="000641BB">
        <w:rPr>
          <w:rFonts w:hint="cs"/>
          <w:b/>
          <w:bCs/>
          <w:rtl/>
          <w:lang w:bidi="ar-EG"/>
        </w:rPr>
        <w:t>ألف</w:t>
      </w:r>
      <w:r w:rsidRPr="00876AC1">
        <w:rPr>
          <w:rFonts w:hint="cs"/>
          <w:b/>
          <w:bCs/>
          <w:rtl/>
          <w:lang w:bidi="ar-EG"/>
        </w:rPr>
        <w:t xml:space="preserve"> </w:t>
      </w:r>
      <w:r w:rsidR="002D1673">
        <w:rPr>
          <w:rFonts w:hint="cs"/>
          <w:b/>
          <w:bCs/>
          <w:rtl/>
          <w:lang w:bidi="ar-EG"/>
        </w:rPr>
        <w:t>با</w:t>
      </w:r>
      <w:r w:rsidR="000D1E7F">
        <w:rPr>
          <w:rFonts w:hint="cs"/>
          <w:b/>
          <w:bCs/>
          <w:rtl/>
          <w:lang w:bidi="ar-EG"/>
        </w:rPr>
        <w:t>لتوصية</w:t>
      </w:r>
      <w:r w:rsidRPr="00876AC1">
        <w:rPr>
          <w:rFonts w:hint="cs"/>
          <w:b/>
          <w:bCs/>
          <w:rtl/>
          <w:lang w:bidi="ar-EG"/>
        </w:rPr>
        <w:t xml:space="preserve"> </w:t>
      </w:r>
      <w:r w:rsidRPr="00876AC1">
        <w:rPr>
          <w:b/>
          <w:bCs/>
          <w:lang w:bidi="ar-EG"/>
        </w:rPr>
        <w:t>ITU-T A.23</w:t>
      </w:r>
      <w:r w:rsidR="001D5B71">
        <w:rPr>
          <w:rFonts w:hint="cs"/>
          <w:b/>
          <w:bCs/>
          <w:rtl/>
          <w:lang w:bidi="ar-EG"/>
        </w:rPr>
        <w:br/>
      </w:r>
      <w:r w:rsidR="0096236E" w:rsidRPr="009F10DE">
        <w:rPr>
          <w:b/>
          <w:bCs/>
          <w:lang w:bidi="ar-EG"/>
        </w:rPr>
        <w:t>TSAG</w:t>
      </w:r>
      <w:r w:rsidR="00735A9B">
        <w:rPr>
          <w:b/>
          <w:bCs/>
          <w:lang w:bidi="ar-EG"/>
        </w:rPr>
        <w:t> </w:t>
      </w:r>
      <w:r w:rsidR="0096236E" w:rsidRPr="009F10DE">
        <w:rPr>
          <w:b/>
          <w:bCs/>
          <w:lang w:bidi="ar-EG"/>
        </w:rPr>
        <w:t>–</w:t>
      </w:r>
      <w:r w:rsidR="00735A9B">
        <w:rPr>
          <w:b/>
          <w:bCs/>
          <w:lang w:bidi="ar-EG"/>
        </w:rPr>
        <w:t> </w:t>
      </w:r>
      <w:r w:rsidR="0096236E" w:rsidRPr="009F10DE">
        <w:rPr>
          <w:b/>
          <w:bCs/>
          <w:lang w:bidi="ar-EG"/>
        </w:rPr>
        <w:t>R2</w:t>
      </w:r>
      <w:r w:rsidR="00735A9B">
        <w:rPr>
          <w:b/>
          <w:bCs/>
          <w:lang w:bidi="ar-EG"/>
        </w:rPr>
        <w:t> </w:t>
      </w:r>
      <w:r w:rsidR="0096236E" w:rsidRPr="009F10DE">
        <w:rPr>
          <w:b/>
          <w:bCs/>
          <w:lang w:bidi="ar-EG"/>
        </w:rPr>
        <w:t>–</w:t>
      </w:r>
      <w:r w:rsidR="00735A9B">
        <w:rPr>
          <w:b/>
          <w:bCs/>
          <w:lang w:bidi="ar-EG"/>
        </w:rPr>
        <w:t> </w:t>
      </w:r>
      <w:r w:rsidR="009F10DE" w:rsidRPr="009F10DE">
        <w:rPr>
          <w:b/>
          <w:bCs/>
          <w:lang w:bidi="ar-EG"/>
        </w:rPr>
        <w:t>A</w:t>
      </w:r>
      <w:r w:rsidR="002D1673">
        <w:rPr>
          <w:rFonts w:hint="cs"/>
          <w:b/>
          <w:bCs/>
          <w:rtl/>
          <w:lang w:bidi="ar-EG"/>
        </w:rPr>
        <w:t>:</w:t>
      </w:r>
      <w:r w:rsidR="00B931C4">
        <w:rPr>
          <w:rFonts w:hint="cs"/>
          <w:b/>
          <w:bCs/>
          <w:rtl/>
          <w:lang w:bidi="ar-EG"/>
        </w:rPr>
        <w:t xml:space="preserve"> </w:t>
      </w:r>
      <w:hyperlink r:id="rId10" w:history="1">
        <w:r w:rsidR="007C22B0" w:rsidRPr="00F272B7">
          <w:rPr>
            <w:rStyle w:val="Hyperlink"/>
            <w:b/>
            <w:bCs/>
            <w:szCs w:val="24"/>
            <w:lang w:val="de-CH"/>
          </w:rPr>
          <w:t>http://w</w:t>
        </w:r>
        <w:bookmarkStart w:id="1" w:name="_GoBack"/>
        <w:bookmarkEnd w:id="1"/>
        <w:r w:rsidR="007C22B0" w:rsidRPr="00F272B7">
          <w:rPr>
            <w:rStyle w:val="Hyperlink"/>
            <w:b/>
            <w:bCs/>
            <w:szCs w:val="24"/>
            <w:lang w:val="de-CH"/>
          </w:rPr>
          <w:t>w</w:t>
        </w:r>
        <w:r w:rsidR="007C22B0" w:rsidRPr="00F272B7">
          <w:rPr>
            <w:rStyle w:val="Hyperlink"/>
            <w:b/>
            <w:bCs/>
            <w:szCs w:val="24"/>
            <w:lang w:val="de-CH"/>
          </w:rPr>
          <w:t>w.itu.int/md/T13-TSAG-R-0002/</w:t>
        </w:r>
      </w:hyperlink>
    </w:p>
    <w:p w:rsidR="00876AC1" w:rsidRPr="00B72E8A" w:rsidRDefault="00876AC1" w:rsidP="00B72E8A">
      <w:pPr>
        <w:pStyle w:val="Headingb"/>
        <w:spacing w:before="360"/>
        <w:rPr>
          <w:rtl/>
          <w:lang w:bidi="ar-EG"/>
        </w:rPr>
      </w:pPr>
      <w:r w:rsidRPr="008533EB">
        <w:rPr>
          <w:rFonts w:hint="cs"/>
          <w:rtl/>
          <w:lang w:bidi="ar-EG"/>
        </w:rPr>
        <w:t>ملخص</w:t>
      </w:r>
    </w:p>
    <w:p w:rsidR="00876AC1" w:rsidRPr="00B72E8A" w:rsidRDefault="009026ED" w:rsidP="007F1E88">
      <w:pPr>
        <w:rPr>
          <w:spacing w:val="-2"/>
          <w:rtl/>
          <w:lang w:bidi="ar-EG"/>
        </w:rPr>
      </w:pPr>
      <w:r w:rsidRPr="00B72E8A">
        <w:rPr>
          <w:rFonts w:hint="cs"/>
          <w:spacing w:val="-2"/>
          <w:rtl/>
          <w:lang w:bidi="ar-EG"/>
        </w:rPr>
        <w:t>يضم ال</w:t>
      </w:r>
      <w:r w:rsidR="00157E77">
        <w:rPr>
          <w:rFonts w:hint="cs"/>
          <w:spacing w:val="-2"/>
          <w:rtl/>
          <w:lang w:bidi="ar-EG"/>
        </w:rPr>
        <w:t>‍</w:t>
      </w:r>
      <w:r w:rsidRPr="00B72E8A">
        <w:rPr>
          <w:rFonts w:hint="cs"/>
          <w:spacing w:val="-2"/>
          <w:rtl/>
          <w:lang w:bidi="ar-EG"/>
        </w:rPr>
        <w:t xml:space="preserve">ملحق </w:t>
      </w:r>
      <w:r w:rsidR="00FF1A60" w:rsidRPr="00B72E8A">
        <w:rPr>
          <w:rFonts w:hint="cs"/>
          <w:spacing w:val="-2"/>
          <w:rtl/>
          <w:lang w:bidi="ar-EG"/>
        </w:rPr>
        <w:t>ألف بالتوصية</w:t>
      </w:r>
      <w:r w:rsidRPr="00B72E8A">
        <w:rPr>
          <w:rFonts w:hint="cs"/>
          <w:spacing w:val="-2"/>
          <w:rtl/>
          <w:lang w:bidi="ar-EG"/>
        </w:rPr>
        <w:t xml:space="preserve"> </w:t>
      </w:r>
      <w:r w:rsidRPr="00B72E8A">
        <w:rPr>
          <w:spacing w:val="-2"/>
          <w:lang w:bidi="ar-EG"/>
        </w:rPr>
        <w:t>ITU-T A.23</w:t>
      </w:r>
      <w:r w:rsidRPr="00B72E8A">
        <w:rPr>
          <w:rFonts w:hint="cs"/>
          <w:spacing w:val="-2"/>
          <w:rtl/>
          <w:lang w:bidi="ar-EG"/>
        </w:rPr>
        <w:t xml:space="preserve"> م</w:t>
      </w:r>
      <w:r w:rsidR="00AA2D7A">
        <w:rPr>
          <w:rFonts w:hint="cs"/>
          <w:spacing w:val="-2"/>
          <w:rtl/>
          <w:lang w:bidi="ar-EG"/>
        </w:rPr>
        <w:t>‍</w:t>
      </w:r>
      <w:r w:rsidRPr="00B72E8A">
        <w:rPr>
          <w:rFonts w:hint="cs"/>
          <w:spacing w:val="-2"/>
          <w:rtl/>
          <w:lang w:bidi="ar-EG"/>
        </w:rPr>
        <w:t>جموعة إجراءات للتعاون بين قطاع تقييس الاتصالات في</w:t>
      </w:r>
      <w:r w:rsidR="007C22B0" w:rsidRPr="00B72E8A">
        <w:rPr>
          <w:rFonts w:hint="eastAsia"/>
          <w:spacing w:val="-2"/>
          <w:rtl/>
          <w:lang w:bidi="ar-EG"/>
        </w:rPr>
        <w:t> </w:t>
      </w:r>
      <w:r w:rsidRPr="00B72E8A">
        <w:rPr>
          <w:rFonts w:hint="cs"/>
          <w:spacing w:val="-2"/>
          <w:rtl/>
          <w:lang w:bidi="ar-EG"/>
        </w:rPr>
        <w:t>الات</w:t>
      </w:r>
      <w:r w:rsidR="0093758E">
        <w:rPr>
          <w:rFonts w:hint="cs"/>
          <w:spacing w:val="-2"/>
          <w:rtl/>
          <w:lang w:bidi="ar-EG"/>
        </w:rPr>
        <w:t>‍</w:t>
      </w:r>
      <w:r w:rsidRPr="00B72E8A">
        <w:rPr>
          <w:rFonts w:hint="cs"/>
          <w:spacing w:val="-2"/>
          <w:rtl/>
          <w:lang w:bidi="ar-EG"/>
        </w:rPr>
        <w:t>حاد الدولي للاتصالات</w:t>
      </w:r>
      <w:r w:rsidR="00B72E8A">
        <w:rPr>
          <w:rFonts w:hint="eastAsia"/>
          <w:spacing w:val="-2"/>
          <w:rtl/>
          <w:lang w:bidi="ar-EG"/>
        </w:rPr>
        <w:t> </w:t>
      </w:r>
      <w:r w:rsidRPr="00B72E8A">
        <w:rPr>
          <w:spacing w:val="-2"/>
          <w:lang w:bidi="ar-EG"/>
        </w:rPr>
        <w:t>(ITU-T)</w:t>
      </w:r>
      <w:r w:rsidRPr="00B72E8A">
        <w:rPr>
          <w:rFonts w:hint="cs"/>
          <w:spacing w:val="-2"/>
          <w:rtl/>
          <w:lang w:bidi="ar-EG"/>
        </w:rPr>
        <w:t xml:space="preserve"> واللجنة التقنية ال</w:t>
      </w:r>
      <w:r w:rsidR="00DE4142">
        <w:rPr>
          <w:rFonts w:hint="cs"/>
          <w:spacing w:val="-2"/>
          <w:rtl/>
          <w:lang w:bidi="ar-EG"/>
        </w:rPr>
        <w:t>‍</w:t>
      </w:r>
      <w:r w:rsidRPr="00B72E8A">
        <w:rPr>
          <w:rFonts w:hint="cs"/>
          <w:spacing w:val="-2"/>
          <w:rtl/>
          <w:lang w:bidi="ar-EG"/>
        </w:rPr>
        <w:t xml:space="preserve">مشتركة الأولى للمنظمة الدولية للتوحيد القياسي </w:t>
      </w:r>
      <w:r w:rsidRPr="00B72E8A">
        <w:rPr>
          <w:spacing w:val="-2"/>
          <w:lang w:bidi="ar-EG"/>
        </w:rPr>
        <w:t>(ISO)</w:t>
      </w:r>
      <w:r w:rsidRPr="00B72E8A">
        <w:rPr>
          <w:rFonts w:hint="cs"/>
          <w:spacing w:val="-2"/>
          <w:rtl/>
          <w:lang w:bidi="ar-EG"/>
        </w:rPr>
        <w:t>/اللجنة الكهرتقنية الدولية</w:t>
      </w:r>
      <w:r w:rsidR="007F1E88">
        <w:rPr>
          <w:rFonts w:hint="eastAsia"/>
          <w:spacing w:val="-2"/>
          <w:rtl/>
          <w:lang w:bidi="ar-EG"/>
        </w:rPr>
        <w:t> </w:t>
      </w:r>
      <w:r w:rsidRPr="00B72E8A">
        <w:rPr>
          <w:spacing w:val="-2"/>
          <w:lang w:bidi="ar-EG"/>
        </w:rPr>
        <w:t>(IEC)</w:t>
      </w:r>
      <w:r w:rsidRPr="00B72E8A">
        <w:rPr>
          <w:rFonts w:hint="cs"/>
          <w:spacing w:val="-2"/>
          <w:rtl/>
          <w:lang w:bidi="ar-EG"/>
        </w:rPr>
        <w:t xml:space="preserve"> </w:t>
      </w:r>
      <w:r w:rsidR="007452B5" w:rsidRPr="00B72E8A">
        <w:rPr>
          <w:spacing w:val="-2"/>
          <w:rtl/>
          <w:lang w:bidi="ar-EG"/>
        </w:rPr>
        <w:br/>
      </w:r>
      <w:r w:rsidRPr="00B72E8A">
        <w:rPr>
          <w:spacing w:val="-2"/>
          <w:lang w:bidi="ar-EG"/>
        </w:rPr>
        <w:t>(ISO/IEC</w:t>
      </w:r>
      <w:r w:rsidR="007F1E88">
        <w:rPr>
          <w:spacing w:val="-2"/>
          <w:lang w:bidi="ar-EG"/>
        </w:rPr>
        <w:t> </w:t>
      </w:r>
      <w:r w:rsidRPr="00B72E8A">
        <w:rPr>
          <w:spacing w:val="-2"/>
          <w:lang w:bidi="ar-EG"/>
        </w:rPr>
        <w:t>JTC 1)</w:t>
      </w:r>
      <w:r w:rsidRPr="00B72E8A">
        <w:rPr>
          <w:rFonts w:hint="cs"/>
          <w:spacing w:val="-2"/>
          <w:rtl/>
          <w:lang w:bidi="ar-EG"/>
        </w:rPr>
        <w:t>. وقد أعد ليكون مرجعاً تعليمياً لقادة العمل التعاوني وال</w:t>
      </w:r>
      <w:r w:rsidR="007F1E88">
        <w:rPr>
          <w:rFonts w:hint="cs"/>
          <w:spacing w:val="-2"/>
          <w:rtl/>
          <w:lang w:bidi="ar-EG"/>
        </w:rPr>
        <w:t>‍</w:t>
      </w:r>
      <w:r w:rsidRPr="00B72E8A">
        <w:rPr>
          <w:rFonts w:hint="cs"/>
          <w:spacing w:val="-2"/>
          <w:rtl/>
          <w:lang w:bidi="ar-EG"/>
        </w:rPr>
        <w:t>مشاركين فيه على السواء.</w:t>
      </w:r>
    </w:p>
    <w:p w:rsidR="009026ED" w:rsidRDefault="009026ED" w:rsidP="005A21FF">
      <w:pPr>
        <w:rPr>
          <w:rtl/>
          <w:lang w:bidi="ar-EG"/>
        </w:rPr>
      </w:pPr>
      <w:r>
        <w:rPr>
          <w:rFonts w:hint="cs"/>
          <w:rtl/>
          <w:lang w:bidi="ar-EG"/>
        </w:rPr>
        <w:t>وتأخذ هذه ال</w:t>
      </w:r>
      <w:r w:rsidR="00A773B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مراجعة في ال</w:t>
      </w:r>
      <w:r w:rsidR="00A773B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حسبان التغييرات في كلتا ال</w:t>
      </w:r>
      <w:r w:rsidR="00A773B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منظمتين منذ إقرار الإصدار </w:t>
      </w:r>
      <w:r w:rsidR="005A21FF">
        <w:rPr>
          <w:rFonts w:hint="cs"/>
          <w:rtl/>
          <w:lang w:bidi="ar-EG"/>
        </w:rPr>
        <w:t>الأخير</w:t>
      </w:r>
      <w:r>
        <w:rPr>
          <w:rFonts w:hint="cs"/>
          <w:rtl/>
          <w:lang w:bidi="ar-EG"/>
        </w:rPr>
        <w:t xml:space="preserve"> في عام </w:t>
      </w:r>
      <w:r w:rsidR="00534BB5">
        <w:rPr>
          <w:lang w:bidi="ar-EG"/>
        </w:rPr>
        <w:t>2010</w:t>
      </w:r>
      <w:r>
        <w:rPr>
          <w:rFonts w:hint="cs"/>
          <w:rtl/>
          <w:lang w:bidi="ar-EG"/>
        </w:rPr>
        <w:t>.</w:t>
      </w:r>
    </w:p>
    <w:p w:rsidR="00836AC0" w:rsidRPr="00637FB5" w:rsidRDefault="00836AC0" w:rsidP="00836AC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836AC0" w:rsidRPr="00637FB5" w:rsidSect="00DF4DCC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BC" w:rsidRDefault="00CD29BC">
      <w:r>
        <w:separator/>
      </w:r>
    </w:p>
  </w:endnote>
  <w:endnote w:type="continuationSeparator" w:id="0">
    <w:p w:rsidR="00CD29BC" w:rsidRDefault="00CD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9E" w:rsidRPr="000319E0" w:rsidRDefault="003D2051" w:rsidP="003D2051">
    <w:pPr>
      <w:pStyle w:val="Footer"/>
      <w:jc w:val="right"/>
      <w:rPr>
        <w:lang w:val="fr-CH"/>
      </w:rPr>
    </w:pPr>
    <w:r w:rsidRPr="0090137E">
      <w:rPr>
        <w:sz w:val="16"/>
        <w:lang w:val="fr-FR"/>
      </w:rPr>
      <w:t>ITU-T\BUR</w:t>
    </w:r>
    <w:r>
      <w:rPr>
        <w:sz w:val="16"/>
        <w:lang w:val="fr-FR"/>
      </w:rPr>
      <w:t>EAU\CIRC\85A</w:t>
    </w:r>
    <w:r w:rsidRPr="0090137E">
      <w:rPr>
        <w:sz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7E50DA" w:rsidTr="008B60D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50DA" w:rsidRDefault="007E50DA" w:rsidP="008B60D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E50DA" w:rsidRDefault="007E50DA" w:rsidP="008B60D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E50DA" w:rsidRDefault="007E50DA" w:rsidP="008B60D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50DA" w:rsidRDefault="007E50DA" w:rsidP="008B60DF">
          <w:pPr>
            <w:pStyle w:val="itu"/>
          </w:pPr>
          <w:r>
            <w:t>E-mail:</w:t>
          </w:r>
          <w:r>
            <w:tab/>
          </w:r>
          <w:hyperlink r:id="rId1" w:history="1">
            <w:r w:rsidR="000319E0" w:rsidRPr="00B8281E">
              <w:rPr>
                <w:rStyle w:val="Hyperlink"/>
              </w:rPr>
              <w:t>itumail@itu</w:t>
            </w:r>
            <w:r w:rsidR="000319E0" w:rsidRPr="00B8281E">
              <w:rPr>
                <w:rStyle w:val="Hyperlink"/>
              </w:rPr>
              <w:t>.</w:t>
            </w:r>
            <w:r w:rsidR="000319E0" w:rsidRPr="00B8281E">
              <w:rPr>
                <w:rStyle w:val="Hyperlink"/>
              </w:rPr>
              <w:t>int</w:t>
            </w:r>
          </w:hyperlink>
          <w:r w:rsidR="000319E0">
            <w:t xml:space="preserve"> </w:t>
          </w:r>
        </w:p>
      </w:tc>
    </w:tr>
    <w:tr w:rsidR="007E50DA" w:rsidTr="008B60DF">
      <w:trPr>
        <w:cantSplit/>
      </w:trPr>
      <w:tc>
        <w:tcPr>
          <w:tcW w:w="1062" w:type="pct"/>
        </w:tcPr>
        <w:p w:rsidR="007E50DA" w:rsidRPr="008F5E3A" w:rsidRDefault="007E50DA" w:rsidP="008B60DF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7E50DA" w:rsidRPr="008F5E3A" w:rsidRDefault="007E50DA" w:rsidP="008B60DF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7E50DA" w:rsidRPr="008F5E3A" w:rsidRDefault="007E50DA" w:rsidP="008B60DF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7E50DA" w:rsidRPr="00724ED5" w:rsidRDefault="007E50DA" w:rsidP="008B60DF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7E50DA" w:rsidTr="008B60DF">
      <w:trPr>
        <w:cantSplit/>
      </w:trPr>
      <w:tc>
        <w:tcPr>
          <w:tcW w:w="1062" w:type="pct"/>
        </w:tcPr>
        <w:p w:rsidR="007E50DA" w:rsidRDefault="007E50DA" w:rsidP="008B60DF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7E50DA" w:rsidRDefault="007E50DA" w:rsidP="008B60D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E50DA" w:rsidRDefault="007E50DA" w:rsidP="008B60DF">
          <w:pPr>
            <w:pStyle w:val="itu"/>
          </w:pPr>
        </w:p>
      </w:tc>
      <w:tc>
        <w:tcPr>
          <w:tcW w:w="1131" w:type="pct"/>
        </w:tcPr>
        <w:p w:rsidR="007E50DA" w:rsidRDefault="007E50DA" w:rsidP="008B60DF">
          <w:pPr>
            <w:pStyle w:val="itu"/>
          </w:pPr>
        </w:p>
      </w:tc>
    </w:tr>
  </w:tbl>
  <w:p w:rsidR="000D1E7F" w:rsidRPr="007E50DA" w:rsidRDefault="000D1E7F" w:rsidP="00AA75A3">
    <w:pPr>
      <w:pStyle w:val="Footer"/>
      <w:tabs>
        <w:tab w:val="clear" w:pos="4703"/>
        <w:tab w:val="clear" w:pos="9406"/>
        <w:tab w:val="right" w:pos="9617"/>
      </w:tabs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BC" w:rsidRDefault="00CD29BC">
      <w:r>
        <w:separator/>
      </w:r>
    </w:p>
  </w:footnote>
  <w:footnote w:type="continuationSeparator" w:id="0">
    <w:p w:rsidR="00CD29BC" w:rsidRDefault="00CD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7F" w:rsidRDefault="000D1E7F" w:rsidP="008165EA">
    <w:pPr>
      <w:pStyle w:val="Header"/>
      <w:bidi w:val="0"/>
      <w:spacing w:before="0"/>
      <w:jc w:val="center"/>
    </w:pPr>
    <w:r>
      <w:t>-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19E0">
      <w:rPr>
        <w:rStyle w:val="PageNumber"/>
        <w:noProof/>
      </w:rPr>
      <w:t>2</w:t>
    </w:r>
    <w:r>
      <w:rPr>
        <w:rStyle w:val="PageNumber"/>
      </w:rPr>
      <w:fldChar w:fldCharType="end"/>
    </w:r>
    <w:r>
      <w:t> 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SA" w:vendorID="4" w:dllVersion="512" w:checkStyle="1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5C"/>
    <w:rsid w:val="00005C92"/>
    <w:rsid w:val="000132B7"/>
    <w:rsid w:val="000319E0"/>
    <w:rsid w:val="00057D69"/>
    <w:rsid w:val="000641BB"/>
    <w:rsid w:val="00064EC5"/>
    <w:rsid w:val="00097C37"/>
    <w:rsid w:val="000A7621"/>
    <w:rsid w:val="000D1E7F"/>
    <w:rsid w:val="000D3252"/>
    <w:rsid w:val="000F54A4"/>
    <w:rsid w:val="000F7AD6"/>
    <w:rsid w:val="0010144A"/>
    <w:rsid w:val="001014A9"/>
    <w:rsid w:val="00112507"/>
    <w:rsid w:val="00114905"/>
    <w:rsid w:val="00127FFE"/>
    <w:rsid w:val="00135CFE"/>
    <w:rsid w:val="00156A9D"/>
    <w:rsid w:val="00157E77"/>
    <w:rsid w:val="00166126"/>
    <w:rsid w:val="00171DD2"/>
    <w:rsid w:val="00180899"/>
    <w:rsid w:val="001831A4"/>
    <w:rsid w:val="0018443A"/>
    <w:rsid w:val="00187E33"/>
    <w:rsid w:val="0019658A"/>
    <w:rsid w:val="00197378"/>
    <w:rsid w:val="001D1DF8"/>
    <w:rsid w:val="001D39B3"/>
    <w:rsid w:val="001D5B71"/>
    <w:rsid w:val="001D6103"/>
    <w:rsid w:val="001E4DDE"/>
    <w:rsid w:val="001F6CD8"/>
    <w:rsid w:val="0020181A"/>
    <w:rsid w:val="00224522"/>
    <w:rsid w:val="0023139E"/>
    <w:rsid w:val="0023206B"/>
    <w:rsid w:val="00235C8A"/>
    <w:rsid w:val="00272EA4"/>
    <w:rsid w:val="00293199"/>
    <w:rsid w:val="002947F9"/>
    <w:rsid w:val="002B45A1"/>
    <w:rsid w:val="002B58CF"/>
    <w:rsid w:val="002D0F2D"/>
    <w:rsid w:val="002D1673"/>
    <w:rsid w:val="002D337D"/>
    <w:rsid w:val="002E3F3A"/>
    <w:rsid w:val="00301350"/>
    <w:rsid w:val="003063D5"/>
    <w:rsid w:val="003207AC"/>
    <w:rsid w:val="00326D2F"/>
    <w:rsid w:val="00355679"/>
    <w:rsid w:val="003571C7"/>
    <w:rsid w:val="00363E8E"/>
    <w:rsid w:val="0036690C"/>
    <w:rsid w:val="00377B05"/>
    <w:rsid w:val="003919CE"/>
    <w:rsid w:val="00393E7C"/>
    <w:rsid w:val="003A1FD6"/>
    <w:rsid w:val="003C45D9"/>
    <w:rsid w:val="003D0E4A"/>
    <w:rsid w:val="003D2051"/>
    <w:rsid w:val="003E6DB0"/>
    <w:rsid w:val="003E7E0F"/>
    <w:rsid w:val="004024C6"/>
    <w:rsid w:val="004045C8"/>
    <w:rsid w:val="004067A6"/>
    <w:rsid w:val="00422171"/>
    <w:rsid w:val="004579B5"/>
    <w:rsid w:val="004603FF"/>
    <w:rsid w:val="00466C6F"/>
    <w:rsid w:val="00467114"/>
    <w:rsid w:val="00471791"/>
    <w:rsid w:val="0047278F"/>
    <w:rsid w:val="00496580"/>
    <w:rsid w:val="004C55A5"/>
    <w:rsid w:val="004D28E1"/>
    <w:rsid w:val="004E1059"/>
    <w:rsid w:val="004E4BB7"/>
    <w:rsid w:val="004F0C58"/>
    <w:rsid w:val="00517DA6"/>
    <w:rsid w:val="00534BB5"/>
    <w:rsid w:val="0053575E"/>
    <w:rsid w:val="005360BD"/>
    <w:rsid w:val="0054515F"/>
    <w:rsid w:val="00571A98"/>
    <w:rsid w:val="00575402"/>
    <w:rsid w:val="005775DF"/>
    <w:rsid w:val="00585EE5"/>
    <w:rsid w:val="00591E68"/>
    <w:rsid w:val="005960F3"/>
    <w:rsid w:val="005A21FF"/>
    <w:rsid w:val="005D467E"/>
    <w:rsid w:val="005D488B"/>
    <w:rsid w:val="005E007E"/>
    <w:rsid w:val="005F33FD"/>
    <w:rsid w:val="006162FD"/>
    <w:rsid w:val="00633C38"/>
    <w:rsid w:val="00637FB5"/>
    <w:rsid w:val="0064236A"/>
    <w:rsid w:val="0066609F"/>
    <w:rsid w:val="00676B15"/>
    <w:rsid w:val="00685209"/>
    <w:rsid w:val="00686272"/>
    <w:rsid w:val="006B0159"/>
    <w:rsid w:val="006B3D5B"/>
    <w:rsid w:val="006C000E"/>
    <w:rsid w:val="006D49AD"/>
    <w:rsid w:val="006E31F3"/>
    <w:rsid w:val="006E5490"/>
    <w:rsid w:val="006F51DE"/>
    <w:rsid w:val="0070310A"/>
    <w:rsid w:val="00713C10"/>
    <w:rsid w:val="007149A7"/>
    <w:rsid w:val="00735A9B"/>
    <w:rsid w:val="0073768B"/>
    <w:rsid w:val="007452B5"/>
    <w:rsid w:val="00746048"/>
    <w:rsid w:val="00761FBB"/>
    <w:rsid w:val="007634C1"/>
    <w:rsid w:val="0076516C"/>
    <w:rsid w:val="00767FCE"/>
    <w:rsid w:val="00771F57"/>
    <w:rsid w:val="00775E3D"/>
    <w:rsid w:val="007A66C2"/>
    <w:rsid w:val="007A6984"/>
    <w:rsid w:val="007B11E7"/>
    <w:rsid w:val="007C22B0"/>
    <w:rsid w:val="007E50DA"/>
    <w:rsid w:val="007F1E88"/>
    <w:rsid w:val="008140F9"/>
    <w:rsid w:val="008165EA"/>
    <w:rsid w:val="008226F2"/>
    <w:rsid w:val="0082673E"/>
    <w:rsid w:val="00836AC0"/>
    <w:rsid w:val="008401AF"/>
    <w:rsid w:val="008533EB"/>
    <w:rsid w:val="008563B7"/>
    <w:rsid w:val="00866CFB"/>
    <w:rsid w:val="008719C0"/>
    <w:rsid w:val="0087410A"/>
    <w:rsid w:val="00876AC1"/>
    <w:rsid w:val="00886F0A"/>
    <w:rsid w:val="008D4BF3"/>
    <w:rsid w:val="008D62F7"/>
    <w:rsid w:val="009015FD"/>
    <w:rsid w:val="009026ED"/>
    <w:rsid w:val="00911629"/>
    <w:rsid w:val="00930680"/>
    <w:rsid w:val="0093679C"/>
    <w:rsid w:val="0093758E"/>
    <w:rsid w:val="00953A26"/>
    <w:rsid w:val="00954CDB"/>
    <w:rsid w:val="0096236E"/>
    <w:rsid w:val="00965582"/>
    <w:rsid w:val="00973D3C"/>
    <w:rsid w:val="0097651D"/>
    <w:rsid w:val="00984FFF"/>
    <w:rsid w:val="009A482A"/>
    <w:rsid w:val="009B0414"/>
    <w:rsid w:val="009E63A1"/>
    <w:rsid w:val="009F10DE"/>
    <w:rsid w:val="009F4B09"/>
    <w:rsid w:val="00A26EA0"/>
    <w:rsid w:val="00A3509E"/>
    <w:rsid w:val="00A464F7"/>
    <w:rsid w:val="00A655AC"/>
    <w:rsid w:val="00A7568B"/>
    <w:rsid w:val="00A773B3"/>
    <w:rsid w:val="00A83A6D"/>
    <w:rsid w:val="00A976B3"/>
    <w:rsid w:val="00AA2D7A"/>
    <w:rsid w:val="00AA75A3"/>
    <w:rsid w:val="00B06357"/>
    <w:rsid w:val="00B06EFE"/>
    <w:rsid w:val="00B07452"/>
    <w:rsid w:val="00B10464"/>
    <w:rsid w:val="00B226AF"/>
    <w:rsid w:val="00B232BD"/>
    <w:rsid w:val="00B5649A"/>
    <w:rsid w:val="00B67E3D"/>
    <w:rsid w:val="00B72E8A"/>
    <w:rsid w:val="00B7558A"/>
    <w:rsid w:val="00B805FD"/>
    <w:rsid w:val="00B85152"/>
    <w:rsid w:val="00B915E3"/>
    <w:rsid w:val="00B931C4"/>
    <w:rsid w:val="00BA693F"/>
    <w:rsid w:val="00BB4D6F"/>
    <w:rsid w:val="00BC04EC"/>
    <w:rsid w:val="00BD0B25"/>
    <w:rsid w:val="00C00A11"/>
    <w:rsid w:val="00C028BC"/>
    <w:rsid w:val="00C42169"/>
    <w:rsid w:val="00C42FC9"/>
    <w:rsid w:val="00C56944"/>
    <w:rsid w:val="00C72BCD"/>
    <w:rsid w:val="00C869F7"/>
    <w:rsid w:val="00C96833"/>
    <w:rsid w:val="00CA410A"/>
    <w:rsid w:val="00CA4315"/>
    <w:rsid w:val="00CC24F9"/>
    <w:rsid w:val="00CC30F9"/>
    <w:rsid w:val="00CC6AD7"/>
    <w:rsid w:val="00CD29BC"/>
    <w:rsid w:val="00CE7C15"/>
    <w:rsid w:val="00CF1AC5"/>
    <w:rsid w:val="00CF2045"/>
    <w:rsid w:val="00CF4C1A"/>
    <w:rsid w:val="00CF5F6B"/>
    <w:rsid w:val="00D06096"/>
    <w:rsid w:val="00D07074"/>
    <w:rsid w:val="00D316BC"/>
    <w:rsid w:val="00D40D22"/>
    <w:rsid w:val="00D73818"/>
    <w:rsid w:val="00D76F65"/>
    <w:rsid w:val="00D807A7"/>
    <w:rsid w:val="00D81EEE"/>
    <w:rsid w:val="00D82615"/>
    <w:rsid w:val="00D82B32"/>
    <w:rsid w:val="00D83243"/>
    <w:rsid w:val="00D87242"/>
    <w:rsid w:val="00D87731"/>
    <w:rsid w:val="00D91804"/>
    <w:rsid w:val="00D939AD"/>
    <w:rsid w:val="00D94BBF"/>
    <w:rsid w:val="00D96669"/>
    <w:rsid w:val="00DB66D7"/>
    <w:rsid w:val="00DD3FEB"/>
    <w:rsid w:val="00DE4142"/>
    <w:rsid w:val="00DE5C6D"/>
    <w:rsid w:val="00DE76C6"/>
    <w:rsid w:val="00DF4DCC"/>
    <w:rsid w:val="00DF5247"/>
    <w:rsid w:val="00E2245A"/>
    <w:rsid w:val="00E35230"/>
    <w:rsid w:val="00E436B0"/>
    <w:rsid w:val="00E5124D"/>
    <w:rsid w:val="00E61AB4"/>
    <w:rsid w:val="00E7056F"/>
    <w:rsid w:val="00E76382"/>
    <w:rsid w:val="00E96B35"/>
    <w:rsid w:val="00EC16F2"/>
    <w:rsid w:val="00ED4328"/>
    <w:rsid w:val="00ED5429"/>
    <w:rsid w:val="00EE12B5"/>
    <w:rsid w:val="00EF6F21"/>
    <w:rsid w:val="00F00A13"/>
    <w:rsid w:val="00F0698D"/>
    <w:rsid w:val="00F11BC4"/>
    <w:rsid w:val="00F318DD"/>
    <w:rsid w:val="00F36AB2"/>
    <w:rsid w:val="00F45B5C"/>
    <w:rsid w:val="00F76BA2"/>
    <w:rsid w:val="00F83939"/>
    <w:rsid w:val="00FB6B6D"/>
    <w:rsid w:val="00FB7310"/>
    <w:rsid w:val="00FC593B"/>
    <w:rsid w:val="00FC70EF"/>
    <w:rsid w:val="00FD7FFC"/>
    <w:rsid w:val="00FE0C61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F10DE"/>
    <w:rPr>
      <w:color w:val="606420"/>
      <w:u w:val="single"/>
    </w:rPr>
  </w:style>
  <w:style w:type="paragraph" w:customStyle="1" w:styleId="itu">
    <w:name w:val="itu"/>
    <w:basedOn w:val="Normal"/>
    <w:rsid w:val="007E50DA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qFormat/>
    <w:rsid w:val="00467114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">
    <w:name w:val="Annex_title"/>
    <w:basedOn w:val="Normal"/>
    <w:qFormat/>
    <w:rsid w:val="00467114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Headingb">
    <w:name w:val="Heading_b"/>
    <w:next w:val="Normal"/>
    <w:link w:val="HeadingbChar"/>
    <w:rsid w:val="00B72E8A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B72E8A"/>
    <w:rPr>
      <w:rFonts w:ascii="Times New Roman Bold" w:eastAsia="'宋体" w:hAnsi="Times New Roman Bold" w:cs="Traditional Arabic"/>
      <w:b/>
      <w:bCs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F10DE"/>
    <w:rPr>
      <w:color w:val="606420"/>
      <w:u w:val="single"/>
    </w:rPr>
  </w:style>
  <w:style w:type="paragraph" w:customStyle="1" w:styleId="itu">
    <w:name w:val="itu"/>
    <w:basedOn w:val="Normal"/>
    <w:rsid w:val="007E50DA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qFormat/>
    <w:rsid w:val="00467114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">
    <w:name w:val="Annex_title"/>
    <w:basedOn w:val="Normal"/>
    <w:qFormat/>
    <w:rsid w:val="00467114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Headingb">
    <w:name w:val="Heading_b"/>
    <w:next w:val="Normal"/>
    <w:link w:val="HeadingbChar"/>
    <w:rsid w:val="00B72E8A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B72E8A"/>
    <w:rPr>
      <w:rFonts w:ascii="Times New Roman Bold" w:eastAsia="'宋体" w:hAnsi="Times New Roman Bold" w:cs="Traditional Arabic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ag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T13-TSAG-R-0002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)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4658</CharactersWithSpaces>
  <SharedDoc>false</SharedDoc>
  <HLinks>
    <vt:vector size="24" baseType="variant">
      <vt:variant>
        <vt:i4>3997823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http://www.itu.int/md/T13-TSAG-R-0002/)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http://www.itu.int/ITU-T/ipr/)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3</cp:revision>
  <cp:lastPrinted>2014-03-10T16:49:00Z</cp:lastPrinted>
  <dcterms:created xsi:type="dcterms:W3CDTF">2014-03-14T10:28:00Z</dcterms:created>
  <dcterms:modified xsi:type="dcterms:W3CDTF">2014-03-14T10:29:00Z</dcterms:modified>
</cp:coreProperties>
</file>