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C31DF7" w:rsidRPr="005351B6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5351B6"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6F3F69E" wp14:editId="6848E47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5351B6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Pr="005351B6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Pr="005351B6" w:rsidRDefault="00BA1C66" w:rsidP="00FD74BB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 w:rsidRPr="005351B6">
        <w:tab/>
        <w:t xml:space="preserve">Geneva, </w:t>
      </w:r>
      <w:r w:rsidR="00FD74BB">
        <w:t>16</w:t>
      </w:r>
      <w:r w:rsidR="009B09D4">
        <w:t xml:space="preserve"> April 2014</w:t>
      </w:r>
    </w:p>
    <w:p w:rsidR="00BA1C66" w:rsidRPr="005351B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 w:rsidRPr="005351B6">
        <w:trPr>
          <w:cantSplit/>
          <w:trHeight w:val="340"/>
        </w:trPr>
        <w:tc>
          <w:tcPr>
            <w:tcW w:w="822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 w:rsidRPr="005351B6">
              <w:t>Ref:</w:t>
            </w:r>
          </w:p>
        </w:tc>
        <w:tc>
          <w:tcPr>
            <w:tcW w:w="4055" w:type="dxa"/>
          </w:tcPr>
          <w:p w:rsidR="00BA1C66" w:rsidRPr="005351B6" w:rsidRDefault="006E738B" w:rsidP="0073240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351B6">
              <w:rPr>
                <w:b/>
              </w:rPr>
              <w:t xml:space="preserve">TSB Circular </w:t>
            </w:r>
            <w:r w:rsidR="00732400">
              <w:rPr>
                <w:b/>
              </w:rPr>
              <w:t>98</w:t>
            </w:r>
            <w:r w:rsidR="00BA1C66" w:rsidRPr="005351B6">
              <w:rPr>
                <w:b/>
              </w:rPr>
              <w:br/>
            </w:r>
            <w:r w:rsidR="00BA1C66" w:rsidRPr="005351B6">
              <w:rPr>
                <w:bCs/>
              </w:rPr>
              <w:t xml:space="preserve">COM </w:t>
            </w:r>
            <w:r w:rsidRPr="005351B6">
              <w:rPr>
                <w:bCs/>
              </w:rPr>
              <w:t>15/GJ</w:t>
            </w:r>
          </w:p>
          <w:p w:rsidR="00BA1C66" w:rsidRPr="005351B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732400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 w:rsidRPr="005351B6">
              <w:t>-</w:t>
            </w:r>
            <w:r w:rsidRPr="005351B6">
              <w:tab/>
              <w:t>To Administrations of Member States of the Union</w:t>
            </w:r>
            <w:r w:rsidR="00732400">
              <w:t>;</w:t>
            </w:r>
          </w:p>
          <w:p w:rsidR="00BA1C66" w:rsidRPr="005351B6" w:rsidRDefault="00732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ITU-T Sector Members</w:t>
            </w:r>
          </w:p>
        </w:tc>
      </w:tr>
      <w:tr w:rsidR="00BA1C66" w:rsidRPr="005351B6">
        <w:trPr>
          <w:cantSplit/>
        </w:trPr>
        <w:tc>
          <w:tcPr>
            <w:tcW w:w="822" w:type="dxa"/>
          </w:tcPr>
          <w:p w:rsidR="00BA1C66" w:rsidRPr="005351B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Pr="005351B6" w:rsidRDefault="00BA1C66">
            <w:pPr>
              <w:spacing w:before="10"/>
              <w:rPr>
                <w:lang w:val="fr-CH"/>
              </w:rPr>
            </w:pPr>
            <w:r w:rsidRPr="005351B6">
              <w:t>Tel:</w:t>
            </w:r>
            <w:r w:rsidRPr="005351B6">
              <w:br/>
              <w:t>Fax:</w:t>
            </w:r>
            <w:r w:rsidRPr="005351B6">
              <w:br/>
            </w:r>
            <w:r w:rsidRPr="005351B6">
              <w:rPr>
                <w:lang w:val="fr-CH"/>
              </w:rPr>
              <w:t>E-mail</w:t>
            </w:r>
            <w:r w:rsidRPr="005351B6"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5351B6" w:rsidRDefault="006E738B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5351B6">
              <w:rPr>
                <w:lang w:val="en-US"/>
              </w:rPr>
              <w:t>+41 22 730 5515</w:t>
            </w:r>
            <w:r w:rsidR="00BA1C66" w:rsidRPr="005351B6">
              <w:rPr>
                <w:lang w:val="en-US"/>
              </w:rPr>
              <w:br/>
              <w:t>+41 22 730 5853</w:t>
            </w:r>
            <w:r w:rsidR="00BA1C66" w:rsidRPr="005351B6">
              <w:rPr>
                <w:lang w:val="en-US"/>
              </w:rPr>
              <w:br/>
            </w:r>
            <w:hyperlink r:id="rId7" w:history="1">
              <w:r w:rsidRPr="005351B6">
                <w:rPr>
                  <w:rStyle w:val="Hyperlink"/>
                  <w:lang w:val="en-US"/>
                </w:rPr>
                <w:t>tsbsg15@itu.int</w:t>
              </w:r>
            </w:hyperlink>
            <w:r w:rsidR="007B2C0C" w:rsidRPr="005351B6">
              <w:rPr>
                <w:lang w:val="en-US"/>
              </w:rPr>
              <w:t xml:space="preserve"> </w:t>
            </w:r>
            <w:r w:rsidR="006576FD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Pr="005351B6" w:rsidRDefault="00BA1C66" w:rsidP="00732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5351B6">
              <w:rPr>
                <w:b/>
              </w:rPr>
              <w:t>Copy:</w:t>
            </w:r>
            <w:r w:rsidRPr="005351B6">
              <w:br/>
              <w:t>-</w:t>
            </w:r>
            <w:r w:rsidRPr="005351B6">
              <w:tab/>
              <w:t>To ITU-T Associates;</w:t>
            </w:r>
            <w:r w:rsidR="0061632D" w:rsidRPr="005351B6">
              <w:br/>
              <w:t>-</w:t>
            </w:r>
            <w:r w:rsidR="0061632D" w:rsidRPr="005351B6">
              <w:tab/>
              <w:t>To ITU-T Academia;</w:t>
            </w:r>
          </w:p>
          <w:p w:rsidR="00BA1C66" w:rsidRPr="005351B6" w:rsidRDefault="00BA1C66" w:rsidP="000D48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Chairman and Vice-Chairm</w:t>
            </w:r>
            <w:r w:rsidR="007B2C0C" w:rsidRPr="005351B6">
              <w:t>e</w:t>
            </w:r>
            <w:r w:rsidRPr="005351B6">
              <w:t xml:space="preserve">n of </w:t>
            </w:r>
            <w:r w:rsidR="00E2431F" w:rsidRPr="005351B6">
              <w:br/>
            </w:r>
            <w:r w:rsidRPr="005351B6">
              <w:t xml:space="preserve">Study Group </w:t>
            </w:r>
            <w:r w:rsidR="000D488E" w:rsidRPr="005351B6">
              <w:t>15</w:t>
            </w:r>
            <w:r w:rsidRPr="005351B6">
              <w:t>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Director of the Telecommunication Development Bureau;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Director of the Radiocommunication Bureau</w:t>
            </w:r>
          </w:p>
        </w:tc>
      </w:tr>
    </w:tbl>
    <w:p w:rsidR="00BA1C66" w:rsidRPr="005351B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549"/>
      </w:tblGrid>
      <w:tr w:rsidR="00BA1C66" w:rsidRPr="005351B6" w:rsidTr="009B09D4">
        <w:trPr>
          <w:cantSplit/>
          <w:trHeight w:val="680"/>
        </w:trPr>
        <w:tc>
          <w:tcPr>
            <w:tcW w:w="822" w:type="dxa"/>
          </w:tcPr>
          <w:p w:rsidR="00BA1C66" w:rsidRPr="005351B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51B6">
              <w:rPr>
                <w:sz w:val="22"/>
              </w:rPr>
              <w:t>Subject:</w:t>
            </w:r>
          </w:p>
        </w:tc>
        <w:tc>
          <w:tcPr>
            <w:tcW w:w="5549" w:type="dxa"/>
          </w:tcPr>
          <w:p w:rsidR="00BA1C66" w:rsidRPr="005351B6" w:rsidRDefault="00732400" w:rsidP="009B09D4">
            <w:pPr>
              <w:tabs>
                <w:tab w:val="left" w:pos="4111"/>
              </w:tabs>
              <w:spacing w:before="0"/>
              <w:ind w:left="57"/>
            </w:pPr>
            <w:r w:rsidRPr="00732400">
              <w:rPr>
                <w:b/>
              </w:rPr>
              <w:t>Proposed deletion of Recommendations ITU-T G.9955 and G.9956 agreed to by Study Group 15 at its meeting on 4 April 2014</w:t>
            </w:r>
          </w:p>
        </w:tc>
      </w:tr>
    </w:tbl>
    <w:p w:rsidR="003C25B2" w:rsidRPr="005351B6" w:rsidRDefault="003C25B2">
      <w:bookmarkStart w:id="3" w:name="StartTyping_E"/>
      <w:bookmarkStart w:id="4" w:name="text"/>
      <w:bookmarkEnd w:id="3"/>
      <w:bookmarkEnd w:id="4"/>
    </w:p>
    <w:p w:rsidR="00732400" w:rsidRDefault="00732400" w:rsidP="00732400">
      <w:r>
        <w:t>Dear Sir/Madam,</w:t>
      </w:r>
    </w:p>
    <w:p w:rsidR="00732400" w:rsidRDefault="00732400" w:rsidP="00732400">
      <w:r>
        <w:t>1</w:t>
      </w:r>
      <w:r>
        <w:tab/>
        <w:t xml:space="preserve">At the request of the Chairman of Study Group </w:t>
      </w:r>
      <w:r w:rsidRPr="00217A35">
        <w:t>15,</w:t>
      </w:r>
      <w:r w:rsidRPr="00217A35">
        <w:rPr>
          <w:i/>
          <w:iCs/>
          <w:szCs w:val="18"/>
        </w:rPr>
        <w:t xml:space="preserve"> </w:t>
      </w:r>
      <w:r w:rsidRPr="004D509D">
        <w:rPr>
          <w:i/>
          <w:iCs/>
          <w:szCs w:val="18"/>
        </w:rPr>
        <w:t>Networks, Technologies and Infrastructures for Transport, Access and Home</w:t>
      </w:r>
      <w:r w:rsidRPr="00217A35">
        <w:t xml:space="preserve">, </w:t>
      </w:r>
      <w:r>
        <w:t>I have the honour to inform you that this Study Group, in its meeting from 24 March to 4 April 2014, agreed to delete the following Recommendations</w:t>
      </w:r>
      <w:r w:rsidRPr="00DB71E4">
        <w:t xml:space="preserve"> </w:t>
      </w:r>
      <w:r>
        <w:t>in accordance with the provisions of Recommendation A.8,  § 8.2, of WTSA (Dubai, 2012):</w:t>
      </w:r>
    </w:p>
    <w:p w:rsidR="00732400" w:rsidRPr="00234427" w:rsidRDefault="00732400" w:rsidP="00732400">
      <w:pPr>
        <w:rPr>
          <w:lang w:val="en-US"/>
        </w:rPr>
      </w:pPr>
      <w:r w:rsidRPr="00234427">
        <w:rPr>
          <w:lang w:val="en-US"/>
        </w:rPr>
        <w:t>ITU</w:t>
      </w:r>
      <w:r w:rsidRPr="00234427">
        <w:rPr>
          <w:lang w:val="en-US"/>
        </w:rPr>
        <w:noBreakHyphen/>
        <w:t xml:space="preserve">T G.9955, </w:t>
      </w:r>
      <w:r w:rsidRPr="00234427">
        <w:rPr>
          <w:i/>
          <w:iCs/>
          <w:lang w:val="en-US"/>
        </w:rPr>
        <w:t>Narrowband orthogonal frequency division multiplexing power line communication transceivers - Physical layer specification</w:t>
      </w:r>
      <w:r w:rsidRPr="00234427">
        <w:rPr>
          <w:lang w:val="en-US"/>
        </w:rPr>
        <w:t>.</w:t>
      </w:r>
    </w:p>
    <w:p w:rsidR="00732400" w:rsidRPr="00234427" w:rsidRDefault="002D55D5" w:rsidP="00732400">
      <w:pPr>
        <w:rPr>
          <w:lang w:val="en-US"/>
        </w:rPr>
      </w:pPr>
      <w:r>
        <w:rPr>
          <w:lang w:val="en-US"/>
        </w:rPr>
        <w:t>ITU</w:t>
      </w:r>
      <w:r>
        <w:rPr>
          <w:lang w:val="en-US"/>
        </w:rPr>
        <w:noBreakHyphen/>
        <w:t>T G.9956</w:t>
      </w:r>
      <w:r w:rsidR="00732400" w:rsidRPr="00234427">
        <w:rPr>
          <w:lang w:val="en-US"/>
        </w:rPr>
        <w:t xml:space="preserve">, </w:t>
      </w:r>
      <w:r w:rsidR="00732400" w:rsidRPr="00234427">
        <w:rPr>
          <w:i/>
          <w:iCs/>
          <w:lang w:val="en-US"/>
        </w:rPr>
        <w:t>Narrowband orthogonal frequency division multiplexing power line communication transceivers – Data link layer specification</w:t>
      </w:r>
      <w:r w:rsidR="00732400" w:rsidRPr="00234427">
        <w:rPr>
          <w:lang w:val="en-US"/>
        </w:rPr>
        <w:t>.</w:t>
      </w:r>
    </w:p>
    <w:p w:rsidR="00732400" w:rsidRDefault="00732400" w:rsidP="00732400">
      <w:r>
        <w:tab/>
        <w:t>A total of 23 Member States and 74 Sector Members participated in the meeting and there was no objection to this agreement.</w:t>
      </w:r>
    </w:p>
    <w:p w:rsidR="00732400" w:rsidRDefault="00732400" w:rsidP="00732400">
      <w:r>
        <w:t>2</w:t>
      </w:r>
      <w:r>
        <w:tab/>
      </w:r>
      <w:r>
        <w:rPr>
          <w:b/>
        </w:rPr>
        <w:t>Annex 1</w:t>
      </w:r>
      <w:r>
        <w:t xml:space="preserve"> gives information about this agreement, including an explanatory summary about the reasons for the deletion.</w:t>
      </w:r>
    </w:p>
    <w:p w:rsidR="00732400" w:rsidRDefault="00732400" w:rsidP="00732400">
      <w:r>
        <w:t>3</w:t>
      </w:r>
      <w:r>
        <w:tab/>
        <w:t>Having regard to the provisions of Recommendation A.8, § 8.2, I should be grateful if you would inform me by 2400 hours UTC</w:t>
      </w:r>
      <w:r>
        <w:rPr>
          <w:b/>
        </w:rPr>
        <w:t xml:space="preserve"> on 16 July 2014</w:t>
      </w:r>
      <w:r>
        <w:t xml:space="preserve"> whether your Administration/organization approves or rejects this deletion.</w:t>
      </w:r>
    </w:p>
    <w:p w:rsidR="00732400" w:rsidRDefault="00732400" w:rsidP="00732400">
      <w:r>
        <w:tab/>
        <w:t xml:space="preserve">Should any </w:t>
      </w:r>
      <w:smartTag w:uri="urn:schemas-microsoft-com:office:smarttags" w:element="place">
        <w:smartTag w:uri="urn:schemas-microsoft-com:office:smarttags" w:element="PlaceName">
          <w:r>
            <w:t>Member</w:t>
          </w:r>
        </w:smartTag>
        <w:r>
          <w:t xml:space="preserve"> </w:t>
        </w:r>
        <w:smartTag w:uri="urn:schemas-microsoft-com:office:smarttags" w:element="PlaceType">
          <w:r>
            <w:t>States</w:t>
          </w:r>
        </w:smartTag>
      </w:smartTag>
      <w:r>
        <w:t xml:space="preserve"> or Sector Members be of the opinion that deletion should not be accepted, they should advise their reasons for disapproving and the matter would be referred back to the Study Group.</w:t>
      </w:r>
    </w:p>
    <w:p w:rsidR="00732400" w:rsidRDefault="00732400" w:rsidP="00732400">
      <w:pPr>
        <w:keepNext/>
        <w:keepLines/>
        <w:tabs>
          <w:tab w:val="left" w:pos="1296"/>
          <w:tab w:val="left" w:pos="2160"/>
          <w:tab w:val="left" w:pos="3024"/>
          <w:tab w:val="left" w:pos="7056"/>
          <w:tab w:val="left" w:pos="8496"/>
        </w:tabs>
      </w:pPr>
      <w:r>
        <w:lastRenderedPageBreak/>
        <w:t>4</w:t>
      </w:r>
      <w:r>
        <w:tab/>
        <w:t>After the above mentioned deadline, the Director of TSB will notify, in a circular, the result of the consultation. This information will also be published in the ITU Operational Bulletin.</w:t>
      </w:r>
    </w:p>
    <w:p w:rsidR="00732400" w:rsidRDefault="00732400" w:rsidP="00732400">
      <w:pPr>
        <w:spacing w:before="480"/>
      </w:pPr>
      <w:r>
        <w:t>Yours faithfully,</w:t>
      </w:r>
    </w:p>
    <w:p w:rsidR="00732400" w:rsidRDefault="00732400" w:rsidP="00732400">
      <w:pPr>
        <w:spacing w:before="480"/>
      </w:pPr>
    </w:p>
    <w:p w:rsidR="00732400" w:rsidRDefault="00732400" w:rsidP="00732400">
      <w:pPr>
        <w:spacing w:before="720"/>
      </w:pPr>
      <w:r w:rsidRPr="00706DBC">
        <w:t>Malcolm Johnson</w:t>
      </w:r>
      <w:r>
        <w:br/>
        <w:t>Director of the Telecommunication</w:t>
      </w:r>
      <w:r>
        <w:br/>
        <w:t>Standardization Bureau</w:t>
      </w:r>
    </w:p>
    <w:p w:rsidR="00732400" w:rsidRDefault="00732400" w:rsidP="00732400">
      <w:pPr>
        <w:spacing w:before="720"/>
      </w:pPr>
    </w:p>
    <w:p w:rsidR="00732400" w:rsidRDefault="00732400" w:rsidP="00732400">
      <w:pPr>
        <w:spacing w:before="720"/>
      </w:pPr>
    </w:p>
    <w:p w:rsidR="00732400" w:rsidRDefault="00732400" w:rsidP="00732400">
      <w:pPr>
        <w:spacing w:before="720"/>
        <w:rPr>
          <w:b/>
        </w:rPr>
      </w:pPr>
      <w:r w:rsidRPr="00706B11">
        <w:rPr>
          <w:b/>
        </w:rPr>
        <w:t>Annex</w:t>
      </w:r>
      <w:r w:rsidRPr="00D9054B">
        <w:rPr>
          <w:b/>
        </w:rPr>
        <w:t>: 1</w:t>
      </w:r>
    </w:p>
    <w:p w:rsidR="00732400" w:rsidRPr="00217A35" w:rsidRDefault="00732400" w:rsidP="00732400">
      <w:pPr>
        <w:pStyle w:val="AnnexNo"/>
      </w:pPr>
      <w:r>
        <w:rPr>
          <w:b/>
        </w:rPr>
        <w:br w:type="column"/>
      </w:r>
      <w:bookmarkStart w:id="5" w:name="_Toc245140783"/>
      <w:bookmarkStart w:id="6" w:name="_Toc245261791"/>
      <w:r w:rsidRPr="00217A35">
        <w:lastRenderedPageBreak/>
        <w:t>Annex 1</w:t>
      </w:r>
    </w:p>
    <w:p w:rsidR="00732400" w:rsidRPr="00217A35" w:rsidRDefault="00732400" w:rsidP="00732400">
      <w:pPr>
        <w:pStyle w:val="AnnexRef"/>
        <w:spacing w:before="0"/>
      </w:pPr>
      <w:r w:rsidRPr="00217A35">
        <w:t xml:space="preserve">(to TSB Circular </w:t>
      </w:r>
      <w:r>
        <w:t>98</w:t>
      </w:r>
      <w:r w:rsidRPr="00217A35">
        <w:t>)</w:t>
      </w:r>
    </w:p>
    <w:p w:rsidR="00732400" w:rsidRPr="00234427" w:rsidRDefault="00732400" w:rsidP="00732400">
      <w:pPr>
        <w:pStyle w:val="AnnexNo"/>
        <w:rPr>
          <w:rFonts w:ascii="Times New Roman Bold" w:hAnsi="Times New Roman Bold" w:cs="Times New Roman Bold"/>
          <w:b/>
          <w:bCs/>
          <w:caps w:val="0"/>
        </w:rPr>
      </w:pPr>
      <w:r w:rsidRPr="00217A35">
        <w:br/>
      </w:r>
      <w:r w:rsidRPr="00234427">
        <w:rPr>
          <w:rFonts w:ascii="Times New Roman Bold" w:hAnsi="Times New Roman Bold" w:cs="Times New Roman Bold"/>
          <w:b/>
          <w:bCs/>
          <w:caps w:val="0"/>
        </w:rPr>
        <w:t>Deletion of Recommendation</w:t>
      </w:r>
      <w:bookmarkEnd w:id="5"/>
      <w:bookmarkEnd w:id="6"/>
      <w:r w:rsidRPr="00234427">
        <w:rPr>
          <w:rFonts w:ascii="Times New Roman Bold" w:hAnsi="Times New Roman Bold" w:cs="Times New Roman Bold"/>
          <w:b/>
          <w:bCs/>
          <w:caps w:val="0"/>
        </w:rPr>
        <w:t>s ITU-T G.9955 and G.9956</w:t>
      </w:r>
    </w:p>
    <w:p w:rsidR="00732400" w:rsidRPr="00234427" w:rsidRDefault="00732400" w:rsidP="00732400">
      <w:pPr>
        <w:rPr>
          <w:lang w:val="en-US"/>
        </w:rPr>
      </w:pPr>
      <w:r w:rsidRPr="00234427">
        <w:rPr>
          <w:b/>
          <w:bCs/>
          <w:lang w:val="en-US"/>
        </w:rPr>
        <w:t>Recommendation ITU</w:t>
      </w:r>
      <w:r w:rsidRPr="00234427">
        <w:rPr>
          <w:b/>
          <w:bCs/>
          <w:lang w:val="en-US"/>
        </w:rPr>
        <w:noBreakHyphen/>
        <w:t>T G.9955</w:t>
      </w:r>
      <w:r w:rsidRPr="00234427">
        <w:rPr>
          <w:lang w:val="en-US"/>
        </w:rPr>
        <w:t xml:space="preserve">, </w:t>
      </w:r>
      <w:r w:rsidRPr="00234427">
        <w:rPr>
          <w:i/>
          <w:iCs/>
          <w:lang w:val="en-US"/>
        </w:rPr>
        <w:t>Narrowband orthogonal frequency division multiplexing power line communication transceivers - Physical layer specification</w:t>
      </w:r>
      <w:r>
        <w:rPr>
          <w:lang w:val="en-US"/>
        </w:rPr>
        <w:t xml:space="preserve">, </w:t>
      </w:r>
      <w:r w:rsidRPr="002F3BCF">
        <w:t xml:space="preserve">contains the physical layer specification for </w:t>
      </w:r>
      <w:r w:rsidRPr="00D752A3">
        <w:t>narrowband</w:t>
      </w:r>
      <w:r w:rsidRPr="002F3BCF">
        <w:t xml:space="preserve"> OFDM power line communications transceivers for communications via</w:t>
      </w:r>
      <w:r w:rsidRPr="00D752A3">
        <w:t xml:space="preserve"> alternating current and direct current electric power lines</w:t>
      </w:r>
      <w:r w:rsidRPr="002F3BCF">
        <w:t xml:space="preserve"> over frequencies </w:t>
      </w:r>
      <w:r w:rsidRPr="00D752A3">
        <w:t>below</w:t>
      </w:r>
      <w:r w:rsidRPr="002F3BCF">
        <w:t xml:space="preserve"> 500 kHz</w:t>
      </w:r>
      <w:r w:rsidRPr="00D752A3">
        <w:t xml:space="preserve">. This </w:t>
      </w:r>
      <w:r w:rsidRPr="002F3BCF">
        <w:t>Recommendation</w:t>
      </w:r>
      <w:r w:rsidRPr="00D752A3">
        <w:t xml:space="preserve"> supports indoor and outdoor commun</w:t>
      </w:r>
      <w:r w:rsidRPr="002F3BCF">
        <w:t>ications over low voltage lines, medium voltage lines</w:t>
      </w:r>
      <w:r w:rsidRPr="00D752A3">
        <w:t>, through transformer low-voltage to medi</w:t>
      </w:r>
      <w:r w:rsidRPr="002F3BCF">
        <w:t xml:space="preserve">um-voltage </w:t>
      </w:r>
      <w:r w:rsidRPr="00D752A3">
        <w:t xml:space="preserve">and through transformer medium-voltage to low-voltage power lines in both urban and in </w:t>
      </w:r>
      <w:r w:rsidRPr="002F3BCF">
        <w:t xml:space="preserve">long distance </w:t>
      </w:r>
      <w:r w:rsidRPr="00D752A3">
        <w:t xml:space="preserve">rural communications. This </w:t>
      </w:r>
      <w:r w:rsidRPr="002F3BCF">
        <w:t xml:space="preserve">Recommendation </w:t>
      </w:r>
      <w:r w:rsidRPr="00D752A3">
        <w:t>addresses grid to utility meter</w:t>
      </w:r>
      <w:r w:rsidRPr="002F3BCF">
        <w:t xml:space="preserve"> applications, advanced metering infrastructure (AMI), and other Smart Grid applications such as</w:t>
      </w:r>
      <w:r w:rsidRPr="00D752A3">
        <w:t xml:space="preserve"> </w:t>
      </w:r>
      <w:r>
        <w:t xml:space="preserve">charging of </w:t>
      </w:r>
      <w:r w:rsidRPr="00D752A3">
        <w:t xml:space="preserve">electric vehicle, </w:t>
      </w:r>
      <w:r w:rsidRPr="002F3BCF">
        <w:t xml:space="preserve">home automation, and </w:t>
      </w:r>
      <w:r w:rsidRPr="00D752A3">
        <w:t xml:space="preserve">home area networking </w:t>
      </w:r>
      <w:r w:rsidRPr="002F3BCF">
        <w:t xml:space="preserve">(HAN) </w:t>
      </w:r>
      <w:r w:rsidRPr="00D752A3">
        <w:t>commun</w:t>
      </w:r>
      <w:r w:rsidRPr="002F3BCF">
        <w:t>ications scenarios.</w:t>
      </w:r>
    </w:p>
    <w:p w:rsidR="00732400" w:rsidRPr="00234427" w:rsidRDefault="00732400" w:rsidP="00732400">
      <w:pPr>
        <w:rPr>
          <w:lang w:val="en-US"/>
        </w:rPr>
      </w:pPr>
      <w:r w:rsidRPr="00234427">
        <w:rPr>
          <w:b/>
          <w:bCs/>
          <w:lang w:val="en-US"/>
        </w:rPr>
        <w:t>Recommendation ITU</w:t>
      </w:r>
      <w:r w:rsidRPr="00234427">
        <w:rPr>
          <w:b/>
          <w:bCs/>
          <w:lang w:val="en-US"/>
        </w:rPr>
        <w:noBreakHyphen/>
        <w:t>T G.995</w:t>
      </w:r>
      <w:r w:rsidR="002D55D5">
        <w:rPr>
          <w:b/>
          <w:bCs/>
          <w:lang w:val="en-US"/>
        </w:rPr>
        <w:t>6</w:t>
      </w:r>
      <w:r w:rsidRPr="00234427">
        <w:rPr>
          <w:lang w:val="en-US"/>
        </w:rPr>
        <w:t xml:space="preserve">, </w:t>
      </w:r>
      <w:r w:rsidRPr="00234427">
        <w:rPr>
          <w:i/>
          <w:iCs/>
          <w:lang w:val="en-US"/>
        </w:rPr>
        <w:t>Narrowband orthogonal frequency division multiplexing power line communication transceivers – Data link layer specification</w:t>
      </w:r>
      <w:r>
        <w:rPr>
          <w:lang w:val="en-US"/>
        </w:rPr>
        <w:t xml:space="preserve">, </w:t>
      </w:r>
      <w:r>
        <w:t xml:space="preserve">contains the data link layer specification for </w:t>
      </w:r>
      <w:r w:rsidRPr="00DC04B2">
        <w:t>narrowband</w:t>
      </w:r>
      <w:r>
        <w:t xml:space="preserve"> OFDM power line communications transceivers for communications via</w:t>
      </w:r>
      <w:r w:rsidRPr="00DC04B2">
        <w:t xml:space="preserve"> alternating current and direct current electric power lines</w:t>
      </w:r>
      <w:r>
        <w:t xml:space="preserve"> </w:t>
      </w:r>
      <w:r w:rsidRPr="000F23AF">
        <w:t>over frequencies below 500 kHz. T</w:t>
      </w:r>
      <w:r w:rsidRPr="00DC04B2">
        <w:t xml:space="preserve">his </w:t>
      </w:r>
      <w:r>
        <w:t>Recommendation</w:t>
      </w:r>
      <w:r w:rsidRPr="00DC04B2">
        <w:t xml:space="preserve"> supports indoor and outdoor commun</w:t>
      </w:r>
      <w:r>
        <w:t>ications over low voltage lines, medium voltage lines</w:t>
      </w:r>
      <w:r w:rsidRPr="00DC04B2">
        <w:t>, through transformer low-voltage to medi</w:t>
      </w:r>
      <w:r>
        <w:t xml:space="preserve">um-voltage </w:t>
      </w:r>
      <w:r w:rsidRPr="00DC04B2">
        <w:t xml:space="preserve">and through transformer medium-voltage to low-voltage power lines in both urban and in </w:t>
      </w:r>
      <w:r>
        <w:t xml:space="preserve">long distance </w:t>
      </w:r>
      <w:r w:rsidRPr="00DC04B2">
        <w:t xml:space="preserve">rural communications. This </w:t>
      </w:r>
      <w:r>
        <w:t>Recommendation</w:t>
      </w:r>
      <w:r w:rsidRPr="00DC04B2">
        <w:t xml:space="preserve"> addresses grid to utility meter</w:t>
      </w:r>
      <w:r>
        <w:t xml:space="preserve"> applications, advanced metering infrastructure (AMI), and other Smart Grid applications such as</w:t>
      </w:r>
      <w:r w:rsidRPr="00DC04B2">
        <w:t xml:space="preserve"> </w:t>
      </w:r>
      <w:r>
        <w:t xml:space="preserve">charging of </w:t>
      </w:r>
      <w:r w:rsidRPr="00DC04B2">
        <w:t>electric vehicle</w:t>
      </w:r>
      <w:r>
        <w:t>s</w:t>
      </w:r>
      <w:r w:rsidRPr="00DC04B2">
        <w:t xml:space="preserve">, </w:t>
      </w:r>
      <w:r>
        <w:t xml:space="preserve">home automation, and </w:t>
      </w:r>
      <w:r w:rsidRPr="00DC04B2">
        <w:t xml:space="preserve">home area networking </w:t>
      </w:r>
      <w:r>
        <w:t xml:space="preserve">(HAN) </w:t>
      </w:r>
      <w:r w:rsidRPr="00DC04B2">
        <w:t>commun</w:t>
      </w:r>
      <w:r>
        <w:t>ications scenarios</w:t>
      </w:r>
      <w:r>
        <w:rPr>
          <w:lang w:val="en-US"/>
        </w:rPr>
        <w:t>.</w:t>
      </w:r>
    </w:p>
    <w:p w:rsidR="00732400" w:rsidRDefault="00732400" w:rsidP="00732400">
      <w:pPr>
        <w:pStyle w:val="enumlev1"/>
        <w:tabs>
          <w:tab w:val="clear" w:pos="794"/>
        </w:tabs>
        <w:spacing w:before="120" w:after="120"/>
        <w:ind w:left="0" w:firstLine="0"/>
        <w:rPr>
          <w:b/>
          <w:bCs/>
        </w:rPr>
      </w:pPr>
    </w:p>
    <w:p w:rsidR="00732400" w:rsidRDefault="00732400" w:rsidP="00732400">
      <w:pPr>
        <w:pStyle w:val="enumlev1"/>
        <w:tabs>
          <w:tab w:val="clear" w:pos="794"/>
        </w:tabs>
        <w:spacing w:before="120" w:after="120"/>
        <w:ind w:left="0" w:firstLine="0"/>
        <w:rPr>
          <w:b/>
          <w:bCs/>
        </w:rPr>
      </w:pPr>
      <w:r w:rsidRPr="00F2181D">
        <w:rPr>
          <w:b/>
          <w:bCs/>
        </w:rPr>
        <w:t>Motivation for deletion</w:t>
      </w:r>
      <w:r>
        <w:rPr>
          <w:b/>
          <w:bCs/>
        </w:rPr>
        <w:t xml:space="preserve"> of </w:t>
      </w:r>
      <w:r w:rsidRPr="00234427">
        <w:rPr>
          <w:b/>
          <w:bCs/>
        </w:rPr>
        <w:t xml:space="preserve">Recommendations ITU-T G.9955 and </w:t>
      </w:r>
      <w:r>
        <w:rPr>
          <w:b/>
          <w:bCs/>
        </w:rPr>
        <w:t xml:space="preserve">ITU-T </w:t>
      </w:r>
      <w:r w:rsidRPr="00234427">
        <w:rPr>
          <w:b/>
          <w:bCs/>
        </w:rPr>
        <w:t>G.9956</w:t>
      </w:r>
    </w:p>
    <w:p w:rsidR="00732400" w:rsidRDefault="00732400" w:rsidP="00732400">
      <w:pPr>
        <w:pStyle w:val="enumlev1"/>
        <w:tabs>
          <w:tab w:val="clear" w:pos="794"/>
        </w:tabs>
        <w:spacing w:before="120" w:after="120"/>
        <w:ind w:left="0" w:firstLine="0"/>
        <w:rPr>
          <w:szCs w:val="24"/>
          <w:lang w:eastAsia="ja-JP"/>
        </w:rPr>
      </w:pPr>
      <w:r w:rsidRPr="00AC4C6D">
        <w:rPr>
          <w:szCs w:val="24"/>
          <w:lang w:eastAsia="ja-JP"/>
        </w:rPr>
        <w:t xml:space="preserve">The above-mentioned Recommendations </w:t>
      </w:r>
      <w:r>
        <w:rPr>
          <w:szCs w:val="24"/>
          <w:lang w:eastAsia="ja-JP"/>
        </w:rPr>
        <w:t>are</w:t>
      </w:r>
      <w:r w:rsidRPr="00AC4C6D">
        <w:rPr>
          <w:szCs w:val="24"/>
          <w:lang w:eastAsia="ja-JP"/>
        </w:rPr>
        <w:t xml:space="preserve"> now considered obsolete since </w:t>
      </w:r>
      <w:r>
        <w:rPr>
          <w:szCs w:val="24"/>
          <w:lang w:eastAsia="ja-JP"/>
        </w:rPr>
        <w:t>their content has been reorganized into</w:t>
      </w:r>
      <w:r w:rsidRPr="00AC4C6D">
        <w:rPr>
          <w:szCs w:val="24"/>
          <w:lang w:eastAsia="ja-JP"/>
        </w:rPr>
        <w:t xml:space="preserve"> Recommendation</w:t>
      </w:r>
      <w:r>
        <w:rPr>
          <w:szCs w:val="24"/>
          <w:lang w:eastAsia="ja-JP"/>
        </w:rPr>
        <w:t>s</w:t>
      </w:r>
      <w:r w:rsidRPr="00AC4C6D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ITU-T G.9901-G.9904</w:t>
      </w:r>
      <w:r w:rsidRPr="00AC4C6D">
        <w:rPr>
          <w:szCs w:val="24"/>
          <w:lang w:eastAsia="ja-JP"/>
        </w:rPr>
        <w:t xml:space="preserve">, </w:t>
      </w:r>
      <w:r w:rsidRPr="00234427">
        <w:rPr>
          <w:szCs w:val="24"/>
          <w:lang w:eastAsia="ja-JP"/>
        </w:rPr>
        <w:t>which are technically equivalent</w:t>
      </w:r>
      <w:r w:rsidRPr="00AC4C6D">
        <w:rPr>
          <w:szCs w:val="24"/>
          <w:lang w:eastAsia="ja-JP"/>
        </w:rPr>
        <w:t>.</w:t>
      </w:r>
    </w:p>
    <w:p w:rsidR="00732400" w:rsidRPr="000665BA" w:rsidRDefault="00732400" w:rsidP="00732400">
      <w:pPr>
        <w:rPr>
          <w:szCs w:val="24"/>
        </w:rPr>
      </w:pPr>
    </w:p>
    <w:p w:rsidR="00732400" w:rsidRPr="002970A7" w:rsidRDefault="00732400" w:rsidP="00732400">
      <w:pPr>
        <w:spacing w:beforeLines="50"/>
        <w:rPr>
          <w:szCs w:val="24"/>
          <w:lang w:val="en-US" w:eastAsia="ja-JP"/>
        </w:rPr>
      </w:pPr>
    </w:p>
    <w:p w:rsidR="00732400" w:rsidRPr="003145E2" w:rsidRDefault="00732400" w:rsidP="00732400">
      <w:pPr>
        <w:spacing w:beforeLines="50"/>
        <w:jc w:val="center"/>
        <w:rPr>
          <w:szCs w:val="24"/>
          <w:lang w:eastAsia="ja-JP"/>
        </w:rPr>
      </w:pPr>
      <w:r w:rsidRPr="00217A35">
        <w:t>_____________</w:t>
      </w:r>
    </w:p>
    <w:p w:rsidR="00BA1C66" w:rsidRDefault="00BA1C66" w:rsidP="00732400"/>
    <w:sectPr w:rsidR="00BA1C66" w:rsidSect="00097173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0C" w:rsidRDefault="008A160C">
      <w:r>
        <w:separator/>
      </w:r>
    </w:p>
  </w:endnote>
  <w:endnote w:type="continuationSeparator" w:id="0">
    <w:p w:rsidR="008A160C" w:rsidRDefault="008A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00" w:rsidRPr="00732400" w:rsidRDefault="00732400" w:rsidP="00732400">
    <w:pPr>
      <w:pStyle w:val="Footer"/>
      <w:rPr>
        <w:lang w:val="fr-CH"/>
      </w:rPr>
    </w:pPr>
    <w:r w:rsidRPr="00732400">
      <w:rPr>
        <w:lang w:val="fr-CH"/>
      </w:rPr>
      <w:t>I</w:t>
    </w:r>
    <w:r w:rsidR="002D55D5">
      <w:rPr>
        <w:lang w:val="fr-CH"/>
      </w:rPr>
      <w:t>TU-T\BUREAU\CIRC\</w:t>
    </w:r>
    <w:r w:rsidRPr="00732400">
      <w:rPr>
        <w:lang w:val="fr-CH"/>
      </w:rPr>
      <w:t>098E.DOC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0C" w:rsidRDefault="008A160C">
      <w:r>
        <w:t>____________________</w:t>
      </w:r>
    </w:p>
  </w:footnote>
  <w:footnote w:type="continuationSeparator" w:id="0">
    <w:p w:rsidR="008A160C" w:rsidRDefault="008A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B2" w:rsidRDefault="003C25B2">
    <w:pPr>
      <w:pStyle w:val="Header"/>
    </w:pPr>
    <w:r>
      <w:t xml:space="preserve">- </w:t>
    </w:r>
    <w:r w:rsidR="00B400DB">
      <w:fldChar w:fldCharType="begin"/>
    </w:r>
    <w:r w:rsidR="00B400DB">
      <w:instrText>PAGE</w:instrText>
    </w:r>
    <w:r w:rsidR="00B400DB">
      <w:fldChar w:fldCharType="separate"/>
    </w:r>
    <w:r w:rsidR="00BE1A7B">
      <w:rPr>
        <w:noProof/>
      </w:rPr>
      <w:t>2</w:t>
    </w:r>
    <w:r w:rsidR="00B400DB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9"/>
    <w:rsid w:val="00036342"/>
    <w:rsid w:val="00060B89"/>
    <w:rsid w:val="000706D7"/>
    <w:rsid w:val="00097173"/>
    <w:rsid w:val="000B4B78"/>
    <w:rsid w:val="000D488E"/>
    <w:rsid w:val="00156183"/>
    <w:rsid w:val="00195567"/>
    <w:rsid w:val="001D392F"/>
    <w:rsid w:val="0028665E"/>
    <w:rsid w:val="0029548C"/>
    <w:rsid w:val="002D55D5"/>
    <w:rsid w:val="003C25B2"/>
    <w:rsid w:val="00464007"/>
    <w:rsid w:val="004B68EB"/>
    <w:rsid w:val="004D6FC9"/>
    <w:rsid w:val="005351B6"/>
    <w:rsid w:val="00540785"/>
    <w:rsid w:val="0055079E"/>
    <w:rsid w:val="0056661F"/>
    <w:rsid w:val="0061632D"/>
    <w:rsid w:val="0063683D"/>
    <w:rsid w:val="006576FD"/>
    <w:rsid w:val="00681DE7"/>
    <w:rsid w:val="006A2F43"/>
    <w:rsid w:val="006E738B"/>
    <w:rsid w:val="00723092"/>
    <w:rsid w:val="00732400"/>
    <w:rsid w:val="00773D91"/>
    <w:rsid w:val="007B1448"/>
    <w:rsid w:val="007B2C0C"/>
    <w:rsid w:val="00881ED2"/>
    <w:rsid w:val="008A160C"/>
    <w:rsid w:val="008C268C"/>
    <w:rsid w:val="009031DE"/>
    <w:rsid w:val="009B09D4"/>
    <w:rsid w:val="00A91A61"/>
    <w:rsid w:val="00AC1482"/>
    <w:rsid w:val="00B400DB"/>
    <w:rsid w:val="00B81997"/>
    <w:rsid w:val="00B87538"/>
    <w:rsid w:val="00BA1C66"/>
    <w:rsid w:val="00BA36A5"/>
    <w:rsid w:val="00BB4C1D"/>
    <w:rsid w:val="00BE1A7B"/>
    <w:rsid w:val="00BF6256"/>
    <w:rsid w:val="00C226D7"/>
    <w:rsid w:val="00C25DE7"/>
    <w:rsid w:val="00C31DF7"/>
    <w:rsid w:val="00C61527"/>
    <w:rsid w:val="00CC278E"/>
    <w:rsid w:val="00CF0A3C"/>
    <w:rsid w:val="00D269BA"/>
    <w:rsid w:val="00D81A43"/>
    <w:rsid w:val="00DD25F7"/>
    <w:rsid w:val="00E00561"/>
    <w:rsid w:val="00E02F9F"/>
    <w:rsid w:val="00E2431F"/>
    <w:rsid w:val="00EB64E1"/>
    <w:rsid w:val="00F27E49"/>
    <w:rsid w:val="00F3330F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5:docId w15:val="{16BAE9D7-4EAA-420D-9BF3-BC1E0FD1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F27E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E49"/>
    <w:rPr>
      <w:rFonts w:ascii="Tahoma" w:hAnsi="Tahoma" w:cs="Tahoma"/>
      <w:sz w:val="16"/>
      <w:szCs w:val="16"/>
      <w:lang w:val="en-GB" w:eastAsia="en-US"/>
    </w:rPr>
  </w:style>
  <w:style w:type="paragraph" w:customStyle="1" w:styleId="AnnexNo">
    <w:name w:val="Annex_No"/>
    <w:basedOn w:val="Normal"/>
    <w:next w:val="Normal"/>
    <w:rsid w:val="00732400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1</TotalTime>
  <Pages>3</Pages>
  <Words>661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2013-07-25T07:37:00Z</cp:lastPrinted>
  <dcterms:created xsi:type="dcterms:W3CDTF">2014-04-16T07:34:00Z</dcterms:created>
  <dcterms:modified xsi:type="dcterms:W3CDTF">2014-04-16T07:34:00Z</dcterms:modified>
</cp:coreProperties>
</file>