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4253"/>
        <w:gridCol w:w="4394"/>
      </w:tblGrid>
      <w:tr w:rsidR="00951309" w:rsidTr="00453356">
        <w:trPr>
          <w:cantSplit/>
          <w:trHeight w:val="15"/>
        </w:trPr>
        <w:tc>
          <w:tcPr>
            <w:tcW w:w="5387" w:type="dxa"/>
            <w:gridSpan w:val="2"/>
            <w:vAlign w:val="center"/>
          </w:tcPr>
          <w:p w:rsidR="00951309" w:rsidRPr="00E54C24" w:rsidRDefault="00E54C24" w:rsidP="002F6530">
            <w:pPr>
              <w:pStyle w:val="Tabletext"/>
              <w:rPr>
                <w:lang w:val="es-ES_tradnl"/>
              </w:rPr>
            </w:pPr>
            <w:r w:rsidRPr="00E54C24">
              <w:rPr>
                <w:b/>
                <w:bCs/>
                <w:iCs/>
                <w:sz w:val="32"/>
                <w:szCs w:val="32"/>
                <w:lang w:val="es-ES_tradnl"/>
              </w:rPr>
              <w:t>Oficina de Normalización de las Telecomunicaciones</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rPr>
              <w:drawing>
                <wp:inline distT="0" distB="0" distL="0" distR="0" wp14:anchorId="0320E898" wp14:editId="2087CE29">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453356">
        <w:trPr>
          <w:cantSplit/>
          <w:trHeight w:val="80"/>
        </w:trPr>
        <w:tc>
          <w:tcPr>
            <w:tcW w:w="5387" w:type="dxa"/>
            <w:gridSpan w:val="2"/>
            <w:vAlign w:val="center"/>
          </w:tcPr>
          <w:p w:rsidR="000305E1" w:rsidRDefault="000305E1" w:rsidP="002F6530">
            <w:pPr>
              <w:pStyle w:val="Tabletext"/>
              <w:jc w:val="right"/>
            </w:pPr>
          </w:p>
        </w:tc>
        <w:tc>
          <w:tcPr>
            <w:tcW w:w="4394" w:type="dxa"/>
            <w:vAlign w:val="center"/>
          </w:tcPr>
          <w:p w:rsidR="000305E1" w:rsidRDefault="008F42E4" w:rsidP="00E54C24">
            <w:pPr>
              <w:pStyle w:val="Tabletext"/>
              <w:spacing w:before="480" w:after="120"/>
            </w:pPr>
            <w:proofErr w:type="spellStart"/>
            <w:r>
              <w:t>Ginebra</w:t>
            </w:r>
            <w:proofErr w:type="spellEnd"/>
            <w:r w:rsidR="000305E1">
              <w:t xml:space="preserve">, </w:t>
            </w:r>
            <w:r w:rsidR="00CF00A9">
              <w:t xml:space="preserve">25 </w:t>
            </w:r>
            <w:r w:rsidR="00E54C24">
              <w:t xml:space="preserve">de </w:t>
            </w:r>
            <w:proofErr w:type="spellStart"/>
            <w:r w:rsidR="00E54C24">
              <w:t>julio</w:t>
            </w:r>
            <w:proofErr w:type="spellEnd"/>
            <w:r w:rsidR="00E54C24">
              <w:t xml:space="preserve"> de</w:t>
            </w:r>
            <w:r w:rsidR="0018136D">
              <w:t xml:space="preserve"> 2014</w:t>
            </w:r>
          </w:p>
        </w:tc>
      </w:tr>
      <w:tr w:rsidR="00951309" w:rsidRPr="0029792F" w:rsidTr="00453356">
        <w:trPr>
          <w:cantSplit/>
          <w:trHeight w:val="123"/>
        </w:trPr>
        <w:tc>
          <w:tcPr>
            <w:tcW w:w="1134" w:type="dxa"/>
          </w:tcPr>
          <w:p w:rsidR="00951309" w:rsidRPr="00F36AC4" w:rsidRDefault="00951309" w:rsidP="002F6530">
            <w:pPr>
              <w:pStyle w:val="Tabletext"/>
              <w:rPr>
                <w:rFonts w:ascii="Futura Lt BT" w:hAnsi="Futura Lt BT"/>
              </w:rPr>
            </w:pPr>
            <w:bookmarkStart w:id="1" w:name="Adress_E" w:colFirst="2" w:colLast="2"/>
            <w:r w:rsidRPr="00F36AC4">
              <w:t>Ref</w:t>
            </w:r>
            <w:r w:rsidR="006C10F0">
              <w:t>.</w:t>
            </w:r>
            <w:r w:rsidRPr="00F36AC4">
              <w:t>:</w:t>
            </w:r>
          </w:p>
        </w:tc>
        <w:tc>
          <w:tcPr>
            <w:tcW w:w="4253" w:type="dxa"/>
          </w:tcPr>
          <w:p w:rsidR="00951309" w:rsidRPr="000305E1" w:rsidRDefault="00951309" w:rsidP="002468E6">
            <w:pPr>
              <w:pStyle w:val="Tabletext"/>
              <w:rPr>
                <w:b/>
                <w:bCs/>
              </w:rPr>
            </w:pPr>
            <w:r w:rsidRPr="000305E1">
              <w:rPr>
                <w:b/>
                <w:bCs/>
              </w:rPr>
              <w:t>Circular</w:t>
            </w:r>
            <w:r w:rsidR="007B6A59">
              <w:rPr>
                <w:b/>
                <w:bCs/>
              </w:rPr>
              <w:t xml:space="preserve"> </w:t>
            </w:r>
            <w:r w:rsidR="00E54C24" w:rsidRPr="000305E1">
              <w:rPr>
                <w:b/>
                <w:bCs/>
              </w:rPr>
              <w:t xml:space="preserve">TSB </w:t>
            </w:r>
            <w:r w:rsidR="002468E6">
              <w:rPr>
                <w:b/>
                <w:bCs/>
              </w:rPr>
              <w:t>109</w:t>
            </w:r>
          </w:p>
          <w:p w:rsidR="00951309" w:rsidRPr="00F36AC4" w:rsidRDefault="00951309" w:rsidP="000F0AFB">
            <w:pPr>
              <w:pStyle w:val="Tabletext"/>
            </w:pPr>
            <w:r w:rsidRPr="000305E1">
              <w:t xml:space="preserve">COM </w:t>
            </w:r>
            <w:r w:rsidR="000F0AFB">
              <w:t>11</w:t>
            </w:r>
            <w:r w:rsidRPr="000305E1">
              <w:t>/</w:t>
            </w:r>
            <w:r w:rsidR="000F0AFB">
              <w:t>SP</w:t>
            </w:r>
          </w:p>
        </w:tc>
        <w:tc>
          <w:tcPr>
            <w:tcW w:w="4394" w:type="dxa"/>
            <w:vMerge w:val="restart"/>
          </w:tcPr>
          <w:p w:rsidR="00951309" w:rsidRPr="00821C4B" w:rsidRDefault="00951309" w:rsidP="00821C4B">
            <w:pPr>
              <w:pStyle w:val="Tabletext"/>
              <w:tabs>
                <w:tab w:val="clear" w:pos="284"/>
              </w:tabs>
              <w:ind w:left="283" w:hanging="283"/>
              <w:rPr>
                <w:lang w:val="es-ES_tradnl"/>
              </w:rPr>
            </w:pPr>
            <w:r w:rsidRPr="00821C4B">
              <w:rPr>
                <w:lang w:val="es-ES_tradnl"/>
              </w:rPr>
              <w:t>-</w:t>
            </w:r>
            <w:r w:rsidRPr="00821C4B">
              <w:rPr>
                <w:lang w:val="es-ES_tradnl"/>
              </w:rPr>
              <w:tab/>
            </w:r>
            <w:r w:rsidR="00821C4B" w:rsidRPr="00821C4B">
              <w:rPr>
                <w:lang w:val="es-ES_tradnl"/>
              </w:rPr>
              <w:t>A las Administraciones de los Estados Miembros de la Uni</w:t>
            </w:r>
            <w:r w:rsidR="00821C4B">
              <w:rPr>
                <w:lang w:val="es-ES_tradnl"/>
              </w:rPr>
              <w:t>ón</w:t>
            </w:r>
          </w:p>
        </w:tc>
      </w:tr>
      <w:bookmarkEnd w:id="1"/>
      <w:tr w:rsidR="00951309" w:rsidRPr="0029792F" w:rsidTr="00453356">
        <w:trPr>
          <w:cantSplit/>
          <w:trHeight w:val="281"/>
        </w:trPr>
        <w:tc>
          <w:tcPr>
            <w:tcW w:w="1134" w:type="dxa"/>
          </w:tcPr>
          <w:p w:rsidR="00951309" w:rsidRPr="00821C4B" w:rsidRDefault="00951309" w:rsidP="002F6530">
            <w:pPr>
              <w:pStyle w:val="Tabletext"/>
              <w:rPr>
                <w:lang w:val="es-ES_tradnl"/>
              </w:rPr>
            </w:pPr>
          </w:p>
        </w:tc>
        <w:tc>
          <w:tcPr>
            <w:tcW w:w="4253" w:type="dxa"/>
          </w:tcPr>
          <w:p w:rsidR="00951309" w:rsidRPr="00821C4B" w:rsidRDefault="00951309" w:rsidP="002F6530">
            <w:pPr>
              <w:pStyle w:val="Tabletext"/>
              <w:rPr>
                <w:bCs/>
                <w:lang w:val="es-ES_tradnl"/>
              </w:rPr>
            </w:pPr>
          </w:p>
        </w:tc>
        <w:tc>
          <w:tcPr>
            <w:tcW w:w="4394" w:type="dxa"/>
            <w:vMerge/>
          </w:tcPr>
          <w:p w:rsidR="00951309" w:rsidRPr="00821C4B" w:rsidRDefault="00951309" w:rsidP="002F6530">
            <w:pPr>
              <w:pStyle w:val="Tabletext"/>
              <w:ind w:left="142" w:hanging="142"/>
              <w:rPr>
                <w:lang w:val="es-ES_tradnl"/>
              </w:rPr>
            </w:pPr>
          </w:p>
        </w:tc>
      </w:tr>
      <w:tr w:rsidR="00951309" w:rsidTr="00453356">
        <w:trPr>
          <w:cantSplit/>
          <w:trHeight w:val="221"/>
        </w:trPr>
        <w:tc>
          <w:tcPr>
            <w:tcW w:w="1134" w:type="dxa"/>
          </w:tcPr>
          <w:p w:rsidR="00951309" w:rsidRPr="00F36AC4" w:rsidRDefault="00951309" w:rsidP="002F6530">
            <w:pPr>
              <w:pStyle w:val="Tabletext"/>
            </w:pPr>
            <w:r w:rsidRPr="00F36AC4">
              <w:t>Tel</w:t>
            </w:r>
            <w:r w:rsidR="006C10F0">
              <w:t>.</w:t>
            </w:r>
            <w:r w:rsidRPr="00F36AC4">
              <w:t>:</w:t>
            </w:r>
          </w:p>
        </w:tc>
        <w:tc>
          <w:tcPr>
            <w:tcW w:w="4253" w:type="dxa"/>
          </w:tcPr>
          <w:p w:rsidR="00951309" w:rsidRPr="00F36AC4" w:rsidRDefault="00951309" w:rsidP="000F0E37">
            <w:pPr>
              <w:pStyle w:val="Tabletext"/>
              <w:rPr>
                <w:b/>
              </w:rPr>
            </w:pPr>
            <w:r w:rsidRPr="00F36AC4">
              <w:t>+41 22 730</w:t>
            </w:r>
            <w:r w:rsidR="00AF10F1">
              <w:t xml:space="preserve"> </w:t>
            </w:r>
            <w:r w:rsidR="000F0E37">
              <w:t>5858</w:t>
            </w:r>
          </w:p>
        </w:tc>
        <w:tc>
          <w:tcPr>
            <w:tcW w:w="4394" w:type="dxa"/>
            <w:vMerge/>
          </w:tcPr>
          <w:p w:rsidR="00951309" w:rsidRDefault="00951309" w:rsidP="002F6530">
            <w:pPr>
              <w:pStyle w:val="Tabletext"/>
              <w:ind w:left="142" w:hanging="142"/>
            </w:pPr>
          </w:p>
        </w:tc>
      </w:tr>
      <w:tr w:rsidR="00951309" w:rsidTr="00453356">
        <w:trPr>
          <w:cantSplit/>
          <w:trHeight w:val="282"/>
        </w:trPr>
        <w:tc>
          <w:tcPr>
            <w:tcW w:w="1134" w:type="dxa"/>
          </w:tcPr>
          <w:p w:rsidR="00951309" w:rsidRPr="00F36AC4" w:rsidRDefault="00951309" w:rsidP="002F6530">
            <w:pPr>
              <w:pStyle w:val="Tabletext"/>
            </w:pPr>
            <w:r w:rsidRPr="00F36AC4">
              <w:t>Fax:</w:t>
            </w:r>
          </w:p>
        </w:tc>
        <w:tc>
          <w:tcPr>
            <w:tcW w:w="4253"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RPr="0029792F" w:rsidTr="00453356">
        <w:trPr>
          <w:cantSplit/>
          <w:trHeight w:val="2640"/>
        </w:trPr>
        <w:tc>
          <w:tcPr>
            <w:tcW w:w="1134" w:type="dxa"/>
          </w:tcPr>
          <w:p w:rsidR="00951309" w:rsidRPr="00F36AC4" w:rsidRDefault="00E54C24" w:rsidP="002F6530">
            <w:pPr>
              <w:pStyle w:val="Tabletext"/>
            </w:pPr>
            <w:proofErr w:type="spellStart"/>
            <w:r>
              <w:t>Correo</w:t>
            </w:r>
            <w:proofErr w:type="spellEnd"/>
            <w:r>
              <w:t>-e</w:t>
            </w:r>
            <w:r w:rsidR="00951309" w:rsidRPr="00F36AC4">
              <w:t>:</w:t>
            </w:r>
          </w:p>
        </w:tc>
        <w:tc>
          <w:tcPr>
            <w:tcW w:w="4253" w:type="dxa"/>
          </w:tcPr>
          <w:p w:rsidR="00951309" w:rsidRPr="00F36AC4" w:rsidRDefault="009F4BD1" w:rsidP="002F6530">
            <w:pPr>
              <w:pStyle w:val="Tabletext"/>
            </w:pPr>
            <w:hyperlink r:id="rId9" w:history="1">
              <w:r w:rsidR="0067277B" w:rsidRPr="006D0F20">
                <w:rPr>
                  <w:rStyle w:val="Hyperlink"/>
                  <w:szCs w:val="22"/>
                </w:rPr>
                <w:t>tsbsg11@itu.int</w:t>
              </w:r>
            </w:hyperlink>
            <w:r w:rsidR="00951309" w:rsidRPr="00F36AC4">
              <w:t xml:space="preserve"> </w:t>
            </w:r>
          </w:p>
        </w:tc>
        <w:tc>
          <w:tcPr>
            <w:tcW w:w="4394" w:type="dxa"/>
          </w:tcPr>
          <w:p w:rsidR="00951309" w:rsidRPr="00821C4B" w:rsidRDefault="00951309" w:rsidP="00821C4B">
            <w:pPr>
              <w:pStyle w:val="Tabletext"/>
              <w:rPr>
                <w:b/>
                <w:lang w:val="es-ES_tradnl"/>
              </w:rPr>
            </w:pPr>
            <w:r w:rsidRPr="00821C4B">
              <w:rPr>
                <w:b/>
                <w:lang w:val="es-ES_tradnl"/>
              </w:rPr>
              <w:t>Cop</w:t>
            </w:r>
            <w:r w:rsidR="00821C4B" w:rsidRPr="00821C4B">
              <w:rPr>
                <w:b/>
                <w:lang w:val="es-ES_tradnl"/>
              </w:rPr>
              <w:t>ia</w:t>
            </w:r>
            <w:r w:rsidRPr="00821C4B">
              <w:rPr>
                <w:b/>
                <w:lang w:val="es-ES_tradnl"/>
              </w:rPr>
              <w:t>:</w:t>
            </w:r>
          </w:p>
          <w:p w:rsidR="00951309" w:rsidRPr="00821C4B" w:rsidRDefault="00951309" w:rsidP="00821C4B">
            <w:pPr>
              <w:pStyle w:val="Tabletext"/>
              <w:ind w:left="283" w:hanging="283"/>
              <w:rPr>
                <w:lang w:val="es-ES_tradnl"/>
              </w:rPr>
            </w:pPr>
            <w:r w:rsidRPr="00821C4B">
              <w:rPr>
                <w:lang w:val="es-ES_tradnl"/>
              </w:rPr>
              <w:t>-</w:t>
            </w:r>
            <w:r w:rsidRPr="00821C4B">
              <w:rPr>
                <w:lang w:val="es-ES_tradnl"/>
              </w:rPr>
              <w:tab/>
            </w:r>
            <w:r w:rsidR="00821C4B" w:rsidRPr="00821C4B">
              <w:rPr>
                <w:lang w:val="es-ES_tradnl"/>
              </w:rPr>
              <w:t xml:space="preserve">A los </w:t>
            </w:r>
            <w:r w:rsidR="006C10F0">
              <w:rPr>
                <w:lang w:val="es-ES_tradnl"/>
              </w:rPr>
              <w:t xml:space="preserve">Miembros del </w:t>
            </w:r>
            <w:r w:rsidR="00821C4B">
              <w:rPr>
                <w:lang w:val="es-ES_tradnl"/>
              </w:rPr>
              <w:t>Sector UIT</w:t>
            </w:r>
            <w:r w:rsidRPr="00821C4B">
              <w:rPr>
                <w:lang w:val="es-ES_tradnl"/>
              </w:rPr>
              <w:t>-T;</w:t>
            </w:r>
          </w:p>
          <w:p w:rsidR="00951309" w:rsidRPr="00821C4B" w:rsidRDefault="00951309" w:rsidP="00821C4B">
            <w:pPr>
              <w:pStyle w:val="Tabletext"/>
              <w:ind w:left="283" w:hanging="283"/>
              <w:rPr>
                <w:lang w:val="es-ES_tradnl"/>
              </w:rPr>
            </w:pPr>
            <w:r w:rsidRPr="00821C4B">
              <w:rPr>
                <w:lang w:val="es-ES_tradnl"/>
              </w:rPr>
              <w:t>-</w:t>
            </w:r>
            <w:r w:rsidR="00E17CCC" w:rsidRPr="00821C4B">
              <w:rPr>
                <w:lang w:val="es-ES_tradnl"/>
              </w:rPr>
              <w:tab/>
            </w:r>
            <w:r w:rsidR="00821C4B" w:rsidRPr="00821C4B">
              <w:rPr>
                <w:lang w:val="es-ES_tradnl"/>
              </w:rPr>
              <w:t>A los Asociados del UIT-</w:t>
            </w:r>
            <w:r w:rsidRPr="00821C4B">
              <w:rPr>
                <w:lang w:val="es-ES_tradnl"/>
              </w:rPr>
              <w:t>T;</w:t>
            </w:r>
          </w:p>
          <w:p w:rsidR="00951309" w:rsidRPr="00821C4B" w:rsidRDefault="00951309" w:rsidP="00821C4B">
            <w:pPr>
              <w:pStyle w:val="Tabletext"/>
              <w:ind w:left="283" w:hanging="283"/>
              <w:rPr>
                <w:lang w:val="es-ES_tradnl"/>
              </w:rPr>
            </w:pPr>
            <w:r w:rsidRPr="00821C4B">
              <w:rPr>
                <w:lang w:val="es-ES_tradnl"/>
              </w:rPr>
              <w:t>-</w:t>
            </w:r>
            <w:r w:rsidRPr="00821C4B">
              <w:rPr>
                <w:lang w:val="es-ES_tradnl"/>
              </w:rPr>
              <w:tab/>
            </w:r>
            <w:r w:rsidR="00821C4B" w:rsidRPr="00821C4B">
              <w:rPr>
                <w:lang w:val="es-ES_tradnl"/>
              </w:rPr>
              <w:t>A las Instituciones Académicas del UIT-T</w:t>
            </w:r>
            <w:r w:rsidRPr="00821C4B">
              <w:rPr>
                <w:lang w:val="es-ES_tradnl"/>
              </w:rPr>
              <w:t>;</w:t>
            </w:r>
          </w:p>
          <w:p w:rsidR="00951309" w:rsidRPr="00821C4B" w:rsidRDefault="00951309" w:rsidP="00821C4B">
            <w:pPr>
              <w:pStyle w:val="Tabletext"/>
              <w:ind w:left="283" w:hanging="283"/>
              <w:rPr>
                <w:lang w:val="es-ES_tradnl"/>
              </w:rPr>
            </w:pPr>
            <w:r w:rsidRPr="00821C4B">
              <w:rPr>
                <w:lang w:val="es-ES_tradnl"/>
              </w:rPr>
              <w:t>-</w:t>
            </w:r>
            <w:r w:rsidRPr="00821C4B">
              <w:rPr>
                <w:lang w:val="es-ES_tradnl"/>
              </w:rPr>
              <w:tab/>
            </w:r>
            <w:r w:rsidR="00821C4B" w:rsidRPr="00821C4B">
              <w:rPr>
                <w:lang w:val="es-ES_tradnl"/>
              </w:rPr>
              <w:t>Al Presidente y a los Vicepresidentes de la Comisión de Estudio</w:t>
            </w:r>
            <w:r w:rsidRPr="00821C4B">
              <w:rPr>
                <w:lang w:val="es-ES_tradnl"/>
              </w:rPr>
              <w:t xml:space="preserve"> </w:t>
            </w:r>
            <w:r w:rsidR="000F0AFB" w:rsidRPr="00821C4B">
              <w:rPr>
                <w:lang w:val="es-ES_tradnl"/>
              </w:rPr>
              <w:t>11</w:t>
            </w:r>
            <w:r w:rsidRPr="00821C4B">
              <w:rPr>
                <w:lang w:val="es-ES_tradnl"/>
              </w:rPr>
              <w:t>;</w:t>
            </w:r>
          </w:p>
          <w:p w:rsidR="00951309" w:rsidRPr="00821C4B" w:rsidRDefault="00951309" w:rsidP="00821C4B">
            <w:pPr>
              <w:pStyle w:val="Tabletext"/>
              <w:ind w:left="283" w:hanging="283"/>
              <w:rPr>
                <w:lang w:val="es-ES_tradnl"/>
              </w:rPr>
            </w:pPr>
            <w:r w:rsidRPr="00821C4B">
              <w:rPr>
                <w:lang w:val="es-ES_tradnl"/>
              </w:rPr>
              <w:t>-</w:t>
            </w:r>
            <w:r w:rsidRPr="00821C4B">
              <w:rPr>
                <w:lang w:val="es-ES_tradnl"/>
              </w:rPr>
              <w:tab/>
            </w:r>
            <w:r w:rsidR="00821C4B" w:rsidRPr="00821C4B">
              <w:rPr>
                <w:lang w:val="es-ES_tradnl"/>
              </w:rPr>
              <w:t xml:space="preserve">Al </w:t>
            </w:r>
            <w:r w:rsidRPr="00821C4B">
              <w:rPr>
                <w:lang w:val="es-ES_tradnl"/>
              </w:rPr>
              <w:t xml:space="preserve">Director </w:t>
            </w:r>
            <w:r w:rsidR="00821C4B" w:rsidRPr="00821C4B">
              <w:rPr>
                <w:lang w:val="es-ES_tradnl"/>
              </w:rPr>
              <w:t>de la Oficina de Desarrollo de las Telecomunicaciones</w:t>
            </w:r>
            <w:r w:rsidRPr="00821C4B">
              <w:rPr>
                <w:lang w:val="es-ES_tradnl"/>
              </w:rPr>
              <w:t>;</w:t>
            </w:r>
          </w:p>
          <w:p w:rsidR="00951309" w:rsidRPr="00821C4B" w:rsidRDefault="00951309" w:rsidP="00821C4B">
            <w:pPr>
              <w:pStyle w:val="Tabletext"/>
              <w:ind w:left="283" w:hanging="283"/>
              <w:rPr>
                <w:lang w:val="es-ES_tradnl"/>
              </w:rPr>
            </w:pPr>
            <w:r w:rsidRPr="00821C4B">
              <w:rPr>
                <w:lang w:val="es-ES_tradnl"/>
              </w:rPr>
              <w:t>-</w:t>
            </w:r>
            <w:r w:rsidRPr="00821C4B">
              <w:rPr>
                <w:lang w:val="es-ES_tradnl"/>
              </w:rPr>
              <w:tab/>
            </w:r>
            <w:r w:rsidR="00821C4B" w:rsidRPr="00821C4B">
              <w:rPr>
                <w:lang w:val="es-ES_tradnl"/>
              </w:rPr>
              <w:t xml:space="preserve">Al </w:t>
            </w:r>
            <w:r w:rsidRPr="00821C4B">
              <w:rPr>
                <w:lang w:val="es-ES_tradnl"/>
              </w:rPr>
              <w:t xml:space="preserve">Director </w:t>
            </w:r>
            <w:r w:rsidR="00821C4B" w:rsidRPr="00821C4B">
              <w:rPr>
                <w:lang w:val="es-ES_tradnl"/>
              </w:rPr>
              <w:t>de la Oficina de Radiocomunicaciones</w:t>
            </w:r>
          </w:p>
        </w:tc>
      </w:tr>
      <w:tr w:rsidR="00951309" w:rsidRPr="0029792F" w:rsidTr="00453356">
        <w:trPr>
          <w:cantSplit/>
          <w:trHeight w:val="80"/>
        </w:trPr>
        <w:tc>
          <w:tcPr>
            <w:tcW w:w="1134" w:type="dxa"/>
          </w:tcPr>
          <w:p w:rsidR="00951309" w:rsidRPr="009B6449" w:rsidRDefault="00821C4B" w:rsidP="00D31630">
            <w:pPr>
              <w:pStyle w:val="Tabletext"/>
            </w:pPr>
            <w:proofErr w:type="spellStart"/>
            <w:r>
              <w:t>Asunto</w:t>
            </w:r>
            <w:proofErr w:type="spellEnd"/>
            <w:r w:rsidR="00951309" w:rsidRPr="009B6449">
              <w:t>:</w:t>
            </w:r>
          </w:p>
        </w:tc>
        <w:tc>
          <w:tcPr>
            <w:tcW w:w="8647" w:type="dxa"/>
            <w:gridSpan w:val="2"/>
          </w:tcPr>
          <w:p w:rsidR="00951309" w:rsidRPr="00821C4B" w:rsidRDefault="00821C4B" w:rsidP="00D31630">
            <w:pPr>
              <w:pStyle w:val="Tabletext"/>
              <w:rPr>
                <w:lang w:val="es-ES_tradnl"/>
              </w:rPr>
            </w:pPr>
            <w:r w:rsidRPr="00821C4B">
              <w:rPr>
                <w:b/>
                <w:lang w:val="es-ES_tradnl"/>
              </w:rPr>
              <w:t xml:space="preserve">Aprobación de la Cuestión </w:t>
            </w:r>
            <w:r w:rsidR="00464FB5" w:rsidRPr="00821C4B">
              <w:rPr>
                <w:b/>
                <w:lang w:val="es-ES_tradnl"/>
              </w:rPr>
              <w:t>11/11</w:t>
            </w:r>
            <w:r w:rsidRPr="00821C4B">
              <w:rPr>
                <w:b/>
                <w:lang w:val="es-ES_tradnl"/>
              </w:rPr>
              <w:t xml:space="preserve"> revisada</w:t>
            </w:r>
          </w:p>
        </w:tc>
      </w:tr>
    </w:tbl>
    <w:p w:rsidR="000B46FB" w:rsidRPr="00821C4B" w:rsidRDefault="00821C4B" w:rsidP="0034558B">
      <w:pPr>
        <w:rPr>
          <w:lang w:val="es-ES_tradnl"/>
        </w:rPr>
      </w:pPr>
      <w:bookmarkStart w:id="2" w:name="StartTyping_E"/>
      <w:bookmarkEnd w:id="2"/>
      <w:r w:rsidRPr="00821C4B">
        <w:rPr>
          <w:lang w:val="es-ES_tradnl"/>
        </w:rPr>
        <w:t>Muy Señor</w:t>
      </w:r>
      <w:r w:rsidR="0034558B">
        <w:rPr>
          <w:lang w:val="es-ES_tradnl"/>
        </w:rPr>
        <w:t>a</w:t>
      </w:r>
      <w:r w:rsidRPr="00821C4B">
        <w:rPr>
          <w:lang w:val="es-ES_tradnl"/>
        </w:rPr>
        <w:t xml:space="preserve"> mí</w:t>
      </w:r>
      <w:r w:rsidR="0034558B">
        <w:rPr>
          <w:lang w:val="es-ES_tradnl"/>
        </w:rPr>
        <w:t>a/muy Señor m</w:t>
      </w:r>
      <w:r w:rsidR="004C6E76">
        <w:rPr>
          <w:lang w:val="es-ES_tradnl"/>
        </w:rPr>
        <w:t>ío</w:t>
      </w:r>
      <w:r w:rsidRPr="00821C4B">
        <w:rPr>
          <w:lang w:val="es-ES_tradnl"/>
        </w:rPr>
        <w:t>:</w:t>
      </w:r>
    </w:p>
    <w:p w:rsidR="000B46FB" w:rsidRPr="00821C4B" w:rsidRDefault="000B46FB" w:rsidP="004C6E76">
      <w:pPr>
        <w:rPr>
          <w:lang w:val="es-ES_tradnl"/>
        </w:rPr>
      </w:pPr>
      <w:r w:rsidRPr="00821C4B">
        <w:rPr>
          <w:lang w:val="es-ES_tradnl"/>
        </w:rPr>
        <w:t>1</w:t>
      </w:r>
      <w:r w:rsidRPr="00821C4B">
        <w:rPr>
          <w:lang w:val="es-ES_tradnl"/>
        </w:rPr>
        <w:tab/>
      </w:r>
      <w:r w:rsidR="00821C4B">
        <w:rPr>
          <w:lang w:val="es-ES"/>
        </w:rPr>
        <w:t xml:space="preserve">A petición del Presidente de la Comisión de Estudio 11, </w:t>
      </w:r>
      <w:r w:rsidR="00821C4B">
        <w:rPr>
          <w:i/>
          <w:lang w:val="es-ES"/>
        </w:rPr>
        <w:t>Requisitos de señalización, protocolos y especificaciones de pruebas</w:t>
      </w:r>
      <w:r w:rsidR="00821C4B">
        <w:rPr>
          <w:lang w:val="es-ES"/>
        </w:rPr>
        <w:t>, tengo el honor de informarle de que, conforme a l</w:t>
      </w:r>
      <w:r w:rsidR="004C6E76">
        <w:rPr>
          <w:lang w:val="es-ES"/>
        </w:rPr>
        <w:t>o</w:t>
      </w:r>
      <w:r w:rsidR="00821C4B">
        <w:rPr>
          <w:lang w:val="es-ES"/>
        </w:rPr>
        <w:t xml:space="preserve"> </w:t>
      </w:r>
      <w:r w:rsidR="003A05CD">
        <w:rPr>
          <w:lang w:val="es-ES"/>
        </w:rPr>
        <w:t xml:space="preserve">dispuesto en el </w:t>
      </w:r>
      <w:r w:rsidR="0018136D" w:rsidRPr="00821C4B">
        <w:rPr>
          <w:lang w:val="es-ES_tradnl"/>
        </w:rPr>
        <w:t xml:space="preserve">§ 7.2.2 </w:t>
      </w:r>
      <w:r w:rsidR="00821C4B">
        <w:rPr>
          <w:lang w:val="es-ES_tradnl"/>
        </w:rPr>
        <w:t xml:space="preserve">de la </w:t>
      </w:r>
      <w:r w:rsidR="003A05CD">
        <w:rPr>
          <w:lang w:val="es-ES_tradnl"/>
        </w:rPr>
        <w:t xml:space="preserve">sección 7 de la Resolución 1 de la </w:t>
      </w:r>
      <w:r w:rsidR="00821C4B">
        <w:rPr>
          <w:lang w:val="es-ES_tradnl"/>
        </w:rPr>
        <w:t xml:space="preserve">AMNT </w:t>
      </w:r>
      <w:r w:rsidRPr="00821C4B">
        <w:rPr>
          <w:lang w:val="es-ES_tradnl"/>
        </w:rPr>
        <w:t>(Dub</w:t>
      </w:r>
      <w:r w:rsidR="00821C4B">
        <w:rPr>
          <w:lang w:val="es-ES_tradnl"/>
        </w:rPr>
        <w:t>á</w:t>
      </w:r>
      <w:r w:rsidRPr="00821C4B">
        <w:rPr>
          <w:lang w:val="es-ES_tradnl"/>
        </w:rPr>
        <w:t>i, 2012)</w:t>
      </w:r>
      <w:r w:rsidR="00821C4B">
        <w:rPr>
          <w:lang w:val="es-ES"/>
        </w:rPr>
        <w:t>, los Est</w:t>
      </w:r>
      <w:r w:rsidR="003A05CD">
        <w:rPr>
          <w:lang w:val="es-ES"/>
        </w:rPr>
        <w:t>ados Miembros y los Miembros de</w:t>
      </w:r>
      <w:r w:rsidR="00821C4B">
        <w:rPr>
          <w:lang w:val="es-ES"/>
        </w:rPr>
        <w:t xml:space="preserve"> Sector presentes en la última reunión de dicha Comisión</w:t>
      </w:r>
      <w:r w:rsidR="00512FCB">
        <w:rPr>
          <w:lang w:val="es-ES"/>
        </w:rPr>
        <w:t>,</w:t>
      </w:r>
      <w:r w:rsidR="00821C4B">
        <w:rPr>
          <w:lang w:val="es-ES"/>
        </w:rPr>
        <w:t xml:space="preserve"> que tuvo lugar en Ginebra del</w:t>
      </w:r>
      <w:r w:rsidR="00821C4B" w:rsidRPr="00821C4B">
        <w:rPr>
          <w:lang w:val="es-ES_tradnl"/>
        </w:rPr>
        <w:t xml:space="preserve"> </w:t>
      </w:r>
      <w:r w:rsidR="00715E81" w:rsidRPr="00821C4B">
        <w:rPr>
          <w:lang w:val="es-ES_tradnl"/>
        </w:rPr>
        <w:t>9 </w:t>
      </w:r>
      <w:r w:rsidR="00821C4B">
        <w:rPr>
          <w:lang w:val="es-ES_tradnl"/>
        </w:rPr>
        <w:t>al</w:t>
      </w:r>
      <w:r w:rsidR="00BD5B27" w:rsidRPr="00821C4B">
        <w:rPr>
          <w:lang w:val="es-ES_tradnl"/>
        </w:rPr>
        <w:t> </w:t>
      </w:r>
      <w:r w:rsidR="00715E81" w:rsidRPr="00821C4B">
        <w:rPr>
          <w:lang w:val="es-ES_tradnl"/>
        </w:rPr>
        <w:t>16 </w:t>
      </w:r>
      <w:r w:rsidR="00821C4B">
        <w:rPr>
          <w:lang w:val="es-ES_tradnl"/>
        </w:rPr>
        <w:t xml:space="preserve">de julio de </w:t>
      </w:r>
      <w:r w:rsidR="00715E81" w:rsidRPr="00821C4B">
        <w:rPr>
          <w:lang w:val="es-ES_tradnl"/>
        </w:rPr>
        <w:t>2014</w:t>
      </w:r>
      <w:r w:rsidRPr="00821C4B">
        <w:rPr>
          <w:lang w:val="es-ES_tradnl"/>
        </w:rPr>
        <w:t xml:space="preserve">, </w:t>
      </w:r>
      <w:r w:rsidR="00821C4B">
        <w:rPr>
          <w:lang w:val="es-ES_tradnl"/>
        </w:rPr>
        <w:t>acordaron por consenso aprobar la siguiente Cuestión revisada</w:t>
      </w:r>
      <w:r w:rsidRPr="00821C4B">
        <w:rPr>
          <w:lang w:val="es-ES_tradnl"/>
        </w:rPr>
        <w:t>:</w:t>
      </w:r>
    </w:p>
    <w:p w:rsidR="000B46FB" w:rsidRPr="00430742" w:rsidRDefault="00821C4B" w:rsidP="006C10F0">
      <w:pPr>
        <w:numPr>
          <w:ilvl w:val="12"/>
          <w:numId w:val="0"/>
        </w:numPr>
        <w:rPr>
          <w:lang w:val="es-ES_tradnl"/>
        </w:rPr>
      </w:pPr>
      <w:r w:rsidRPr="00430742">
        <w:rPr>
          <w:i/>
          <w:iCs/>
          <w:lang w:val="es-ES_tradnl"/>
        </w:rPr>
        <w:t xml:space="preserve">Cuestión </w:t>
      </w:r>
      <w:r w:rsidR="00464FB5" w:rsidRPr="00430742">
        <w:rPr>
          <w:i/>
          <w:iCs/>
          <w:lang w:val="es-ES_tradnl"/>
        </w:rPr>
        <w:t>11</w:t>
      </w:r>
      <w:r w:rsidR="0018136D" w:rsidRPr="00430742">
        <w:rPr>
          <w:i/>
          <w:iCs/>
          <w:lang w:val="es-ES_tradnl"/>
        </w:rPr>
        <w:t>/11</w:t>
      </w:r>
      <w:r w:rsidR="00430742" w:rsidRPr="00430742">
        <w:rPr>
          <w:lang w:val="es-ES"/>
        </w:rPr>
        <w:t xml:space="preserve"> </w:t>
      </w:r>
      <w:r w:rsidR="00430742">
        <w:rPr>
          <w:lang w:val="es-ES"/>
        </w:rPr>
        <w:t>–</w:t>
      </w:r>
      <w:r w:rsidR="0018136D" w:rsidRPr="00430742">
        <w:rPr>
          <w:i/>
          <w:iCs/>
          <w:lang w:val="es-ES_tradnl"/>
        </w:rPr>
        <w:t xml:space="preserve"> </w:t>
      </w:r>
      <w:r w:rsidR="00430742" w:rsidRPr="00430742">
        <w:rPr>
          <w:i/>
          <w:iCs/>
          <w:lang w:val="es-ES_tradnl"/>
        </w:rPr>
        <w:t>Especificaciones de pruebas de red y de protocolo</w:t>
      </w:r>
      <w:r w:rsidR="00464FB5" w:rsidRPr="00430742">
        <w:rPr>
          <w:i/>
          <w:iCs/>
          <w:lang w:val="es-ES_tradnl"/>
        </w:rPr>
        <w:t xml:space="preserve">; </w:t>
      </w:r>
      <w:r w:rsidR="00430742">
        <w:rPr>
          <w:i/>
          <w:iCs/>
          <w:lang w:val="es-ES_tradnl"/>
        </w:rPr>
        <w:t xml:space="preserve">marcos y metodologías </w:t>
      </w:r>
      <w:r w:rsidR="000B46FB" w:rsidRPr="00430742">
        <w:rPr>
          <w:lang w:val="es-ES_tradnl"/>
        </w:rPr>
        <w:t>(</w:t>
      </w:r>
      <w:r w:rsidR="00430742">
        <w:rPr>
          <w:lang w:val="es-ES_tradnl"/>
        </w:rPr>
        <w:t xml:space="preserve">véase </w:t>
      </w:r>
      <w:proofErr w:type="gramStart"/>
      <w:r w:rsidR="00430742">
        <w:rPr>
          <w:lang w:val="es-ES_tradnl"/>
        </w:rPr>
        <w:t>el</w:t>
      </w:r>
      <w:proofErr w:type="gramEnd"/>
      <w:r w:rsidR="00430742">
        <w:rPr>
          <w:lang w:val="es-ES_tradnl"/>
        </w:rPr>
        <w:t xml:space="preserve"> </w:t>
      </w:r>
      <w:r w:rsidR="000B46FB" w:rsidRPr="00430742">
        <w:rPr>
          <w:lang w:val="es-ES_tradnl"/>
        </w:rPr>
        <w:t>Anex</w:t>
      </w:r>
      <w:r w:rsidR="00430742">
        <w:rPr>
          <w:lang w:val="es-ES_tradnl"/>
        </w:rPr>
        <w:t>o</w:t>
      </w:r>
      <w:r w:rsidR="000B46FB" w:rsidRPr="00430742">
        <w:rPr>
          <w:lang w:val="es-ES_tradnl"/>
        </w:rPr>
        <w:t xml:space="preserve"> 1)</w:t>
      </w:r>
    </w:p>
    <w:p w:rsidR="000B46FB" w:rsidRPr="00430742" w:rsidRDefault="000B46FB" w:rsidP="006C10F0">
      <w:pPr>
        <w:rPr>
          <w:b/>
          <w:bCs/>
          <w:lang w:val="es-ES_tradnl"/>
        </w:rPr>
      </w:pPr>
      <w:r w:rsidRPr="00430742">
        <w:rPr>
          <w:lang w:val="es-ES_tradnl"/>
        </w:rPr>
        <w:t>2</w:t>
      </w:r>
      <w:r w:rsidRPr="00430742">
        <w:rPr>
          <w:lang w:val="es-ES_tradnl"/>
        </w:rPr>
        <w:tab/>
      </w:r>
      <w:r w:rsidR="00430742" w:rsidRPr="00430742">
        <w:rPr>
          <w:b/>
          <w:bCs/>
          <w:lang w:val="es-ES_tradnl"/>
        </w:rPr>
        <w:t xml:space="preserve">Queda por tanto aprobada la Cuestión </w:t>
      </w:r>
      <w:r w:rsidR="00464FB5" w:rsidRPr="00430742">
        <w:rPr>
          <w:b/>
          <w:bCs/>
          <w:lang w:val="es-ES_tradnl"/>
        </w:rPr>
        <w:t>11</w:t>
      </w:r>
      <w:r w:rsidR="0018136D" w:rsidRPr="00430742">
        <w:rPr>
          <w:b/>
          <w:bCs/>
          <w:lang w:val="es-ES_tradnl"/>
        </w:rPr>
        <w:t>/11</w:t>
      </w:r>
      <w:r w:rsidRPr="0034558B">
        <w:rPr>
          <w:lang w:val="es-ES_tradnl"/>
        </w:rPr>
        <w:t>.</w:t>
      </w:r>
    </w:p>
    <w:p w:rsidR="000B46FB" w:rsidRPr="00430742" w:rsidRDefault="000B46FB" w:rsidP="003A05CD">
      <w:pPr>
        <w:rPr>
          <w:lang w:val="es-ES_tradnl"/>
        </w:rPr>
      </w:pPr>
      <w:r w:rsidRPr="00430742">
        <w:rPr>
          <w:lang w:val="es-ES_tradnl"/>
        </w:rPr>
        <w:t>3</w:t>
      </w:r>
      <w:r w:rsidRPr="00430742">
        <w:rPr>
          <w:lang w:val="es-ES_tradnl"/>
        </w:rPr>
        <w:tab/>
      </w:r>
      <w:r w:rsidR="00430742" w:rsidRPr="00430742">
        <w:rPr>
          <w:lang w:val="es-ES_tradnl"/>
        </w:rPr>
        <w:t xml:space="preserve">Se prevé </w:t>
      </w:r>
      <w:r w:rsidR="003A05CD">
        <w:rPr>
          <w:lang w:val="es-ES_tradnl"/>
        </w:rPr>
        <w:t xml:space="preserve">someter </w:t>
      </w:r>
      <w:r w:rsidR="00430742" w:rsidRPr="00430742">
        <w:rPr>
          <w:lang w:val="es-ES_tradnl"/>
        </w:rPr>
        <w:t>las Recomendaciones resultantes al proceso de aprobaci</w:t>
      </w:r>
      <w:r w:rsidR="00430742">
        <w:rPr>
          <w:lang w:val="es-ES_tradnl"/>
        </w:rPr>
        <w:t>ón alternativo</w:t>
      </w:r>
      <w:r w:rsidRPr="00430742">
        <w:rPr>
          <w:lang w:val="es-ES_tradnl"/>
        </w:rPr>
        <w:t xml:space="preserve"> (AAP).</w:t>
      </w:r>
    </w:p>
    <w:p w:rsidR="00D31630" w:rsidRDefault="00D31630" w:rsidP="006C10F0">
      <w:pPr>
        <w:spacing w:before="240"/>
        <w:rPr>
          <w:lang w:val="es-ES_tradnl"/>
        </w:rPr>
      </w:pPr>
      <w:r w:rsidRPr="00D31630">
        <w:rPr>
          <w:lang w:val="es-ES_tradnl"/>
        </w:rPr>
        <w:t>Atentamente</w:t>
      </w:r>
    </w:p>
    <w:p w:rsidR="0034558B" w:rsidRDefault="0034558B" w:rsidP="006C10F0">
      <w:pPr>
        <w:spacing w:before="240"/>
        <w:rPr>
          <w:szCs w:val="24"/>
          <w:lang w:val="es-ES_tradnl"/>
        </w:rPr>
      </w:pPr>
    </w:p>
    <w:p w:rsidR="000B46FB" w:rsidRPr="00430742" w:rsidRDefault="000B46FB" w:rsidP="006C10F0">
      <w:pPr>
        <w:spacing w:before="240"/>
        <w:rPr>
          <w:lang w:val="es-ES_tradnl"/>
        </w:rPr>
      </w:pPr>
      <w:r w:rsidRPr="00430742">
        <w:rPr>
          <w:szCs w:val="24"/>
          <w:lang w:val="es-ES_tradnl"/>
        </w:rPr>
        <w:lastRenderedPageBreak/>
        <w:t>Malcolm Johnson</w:t>
      </w:r>
      <w:r w:rsidRPr="00430742">
        <w:rPr>
          <w:lang w:val="es-ES_tradnl"/>
        </w:rPr>
        <w:br/>
        <w:t xml:space="preserve">Director </w:t>
      </w:r>
      <w:r w:rsidR="00430742" w:rsidRPr="00430742">
        <w:rPr>
          <w:lang w:val="es-ES_tradnl"/>
        </w:rPr>
        <w:t xml:space="preserve">de la Oficina de </w:t>
      </w:r>
      <w:r w:rsidR="009B550B">
        <w:rPr>
          <w:lang w:val="es-ES_tradnl"/>
        </w:rPr>
        <w:br/>
      </w:r>
      <w:r w:rsidR="00430742" w:rsidRPr="00430742">
        <w:rPr>
          <w:lang w:val="es-ES_tradnl"/>
        </w:rPr>
        <w:t>Normalización de las Telecomunicaciones</w:t>
      </w:r>
    </w:p>
    <w:p w:rsidR="0034558B" w:rsidRDefault="0034558B" w:rsidP="006C10F0">
      <w:pPr>
        <w:rPr>
          <w:b/>
          <w:bCs/>
          <w:lang w:val="es-ES_tradnl"/>
        </w:rPr>
      </w:pPr>
    </w:p>
    <w:p w:rsidR="00464FB5" w:rsidRPr="00430742" w:rsidRDefault="00430742" w:rsidP="006C10F0">
      <w:pPr>
        <w:rPr>
          <w:b/>
          <w:bCs/>
          <w:lang w:val="es-ES_tradnl"/>
        </w:rPr>
      </w:pPr>
      <w:r w:rsidRPr="00430742">
        <w:rPr>
          <w:b/>
          <w:bCs/>
          <w:lang w:val="es-ES_tradnl"/>
        </w:rPr>
        <w:t>An</w:t>
      </w:r>
      <w:r w:rsidR="000B46FB" w:rsidRPr="00430742">
        <w:rPr>
          <w:b/>
          <w:bCs/>
          <w:lang w:val="es-ES_tradnl"/>
        </w:rPr>
        <w:t>ex</w:t>
      </w:r>
      <w:r w:rsidRPr="00430742">
        <w:rPr>
          <w:b/>
          <w:bCs/>
          <w:lang w:val="es-ES_tradnl"/>
        </w:rPr>
        <w:t>o</w:t>
      </w:r>
      <w:r w:rsidR="0018136D" w:rsidRPr="0034558B">
        <w:rPr>
          <w:lang w:val="es-ES_tradnl"/>
        </w:rPr>
        <w:t xml:space="preserve">: </w:t>
      </w:r>
      <w:r w:rsidR="00464FB5" w:rsidRPr="0034558B">
        <w:rPr>
          <w:lang w:val="es-ES_tradnl"/>
        </w:rPr>
        <w:t>1</w:t>
      </w:r>
    </w:p>
    <w:p w:rsidR="00464FB5" w:rsidRPr="00430742" w:rsidRDefault="00464FB5" w:rsidP="006C10F0">
      <w:pPr>
        <w:tabs>
          <w:tab w:val="clear" w:pos="794"/>
          <w:tab w:val="clear" w:pos="1191"/>
          <w:tab w:val="clear" w:pos="1588"/>
          <w:tab w:val="clear" w:pos="1985"/>
        </w:tabs>
        <w:overflowPunct/>
        <w:autoSpaceDE/>
        <w:autoSpaceDN/>
        <w:adjustRightInd/>
        <w:spacing w:before="0"/>
        <w:textAlignment w:val="auto"/>
        <w:rPr>
          <w:b/>
          <w:bCs/>
          <w:lang w:val="es-ES_tradnl"/>
        </w:rPr>
      </w:pPr>
      <w:r w:rsidRPr="00430742">
        <w:rPr>
          <w:b/>
          <w:bCs/>
          <w:lang w:val="es-ES_tradnl"/>
        </w:rPr>
        <w:br w:type="page"/>
      </w:r>
    </w:p>
    <w:p w:rsidR="003A05CD" w:rsidRPr="003A05CD" w:rsidRDefault="00C136D1" w:rsidP="003A05CD">
      <w:pPr>
        <w:pStyle w:val="AnnexNo"/>
        <w:rPr>
          <w:b/>
          <w:bCs/>
          <w:lang w:val="es-ES_tradnl"/>
        </w:rPr>
      </w:pPr>
      <w:r w:rsidRPr="003A05CD">
        <w:rPr>
          <w:b/>
          <w:bCs/>
          <w:lang w:val="es-ES_tradnl"/>
        </w:rPr>
        <w:lastRenderedPageBreak/>
        <w:t>ANEX</w:t>
      </w:r>
      <w:r w:rsidR="00430742" w:rsidRPr="003A05CD">
        <w:rPr>
          <w:b/>
          <w:bCs/>
          <w:lang w:val="es-ES_tradnl"/>
        </w:rPr>
        <w:t>O</w:t>
      </w:r>
      <w:r w:rsidRPr="003A05CD">
        <w:rPr>
          <w:b/>
          <w:bCs/>
          <w:lang w:val="es-ES_tradnl"/>
        </w:rPr>
        <w:t xml:space="preserve"> 1</w:t>
      </w:r>
    </w:p>
    <w:p w:rsidR="00C136D1" w:rsidRPr="003A05CD" w:rsidRDefault="003A05CD" w:rsidP="003A05CD">
      <w:pPr>
        <w:pStyle w:val="AnnexNo"/>
        <w:spacing w:before="0"/>
        <w:rPr>
          <w:b/>
          <w:bCs/>
          <w:lang w:val="es-ES_tradnl"/>
        </w:rPr>
      </w:pPr>
      <w:r w:rsidRPr="003A05CD">
        <w:rPr>
          <w:b/>
          <w:bCs/>
          <w:caps w:val="0"/>
          <w:lang w:val="es-ES_tradnl"/>
        </w:rPr>
        <w:t>(</w:t>
      </w:r>
      <w:proofErr w:type="gramStart"/>
      <w:r w:rsidRPr="003A05CD">
        <w:rPr>
          <w:b/>
          <w:bCs/>
          <w:caps w:val="0"/>
          <w:lang w:val="es-ES_tradnl"/>
        </w:rPr>
        <w:t>a</w:t>
      </w:r>
      <w:proofErr w:type="gramEnd"/>
      <w:r w:rsidRPr="003A05CD">
        <w:rPr>
          <w:b/>
          <w:bCs/>
          <w:caps w:val="0"/>
          <w:lang w:val="es-ES_tradnl"/>
        </w:rPr>
        <w:t xml:space="preserve"> la Circular TSB 109)</w:t>
      </w:r>
    </w:p>
    <w:p w:rsidR="00464FB5" w:rsidRPr="003A05CD" w:rsidRDefault="00430742" w:rsidP="003A05CD">
      <w:pPr>
        <w:pStyle w:val="Annextitle"/>
        <w:rPr>
          <w:caps/>
          <w:color w:val="000000"/>
          <w:lang w:val="es-ES_tradnl"/>
        </w:rPr>
      </w:pPr>
      <w:bookmarkStart w:id="3" w:name="_Toc343850871"/>
      <w:r w:rsidRPr="003A05CD">
        <w:rPr>
          <w:lang w:val="es-ES_tradnl"/>
        </w:rPr>
        <w:t>Especificaciones de pruebas de red y de protocolo</w:t>
      </w:r>
      <w:bookmarkEnd w:id="3"/>
      <w:r w:rsidR="00464FB5" w:rsidRPr="00944371">
        <w:rPr>
          <w:u w:val="single"/>
          <w:lang w:val="es-ES_tradnl"/>
        </w:rPr>
        <w:t xml:space="preserve">; </w:t>
      </w:r>
      <w:r w:rsidRPr="00944371">
        <w:rPr>
          <w:u w:val="single"/>
          <w:lang w:val="es-ES_tradnl"/>
        </w:rPr>
        <w:t>marcos y metodologías</w:t>
      </w:r>
    </w:p>
    <w:p w:rsidR="00464FB5" w:rsidRPr="003A05CD" w:rsidRDefault="00464FB5" w:rsidP="006C10F0">
      <w:pPr>
        <w:tabs>
          <w:tab w:val="clear" w:pos="794"/>
          <w:tab w:val="clear" w:pos="1191"/>
          <w:tab w:val="clear" w:pos="1588"/>
          <w:tab w:val="clear" w:pos="1985"/>
        </w:tabs>
        <w:overflowPunct/>
        <w:autoSpaceDE/>
        <w:autoSpaceDN/>
        <w:adjustRightInd/>
        <w:spacing w:before="0"/>
        <w:textAlignment w:val="auto"/>
        <w:rPr>
          <w:szCs w:val="24"/>
          <w:lang w:val="es-ES_tradnl"/>
        </w:rPr>
      </w:pPr>
      <w:r w:rsidRPr="003A05CD">
        <w:rPr>
          <w:szCs w:val="24"/>
          <w:lang w:val="es-ES_tradnl"/>
        </w:rPr>
        <w:t>(</w:t>
      </w:r>
      <w:r w:rsidR="00430742" w:rsidRPr="003A05CD">
        <w:rPr>
          <w:szCs w:val="24"/>
          <w:lang w:val="es-ES_tradnl"/>
        </w:rPr>
        <w:t xml:space="preserve">Continuación de la Cuestión </w:t>
      </w:r>
      <w:r w:rsidRPr="003A05CD">
        <w:rPr>
          <w:szCs w:val="24"/>
          <w:lang w:val="es-ES_tradnl"/>
        </w:rPr>
        <w:t xml:space="preserve">8/11 </w:t>
      </w:r>
      <w:r w:rsidR="00430742" w:rsidRPr="00944371">
        <w:rPr>
          <w:szCs w:val="24"/>
          <w:u w:val="single"/>
          <w:lang w:val="es-ES_tradnl"/>
        </w:rPr>
        <w:t>y</w:t>
      </w:r>
      <w:r w:rsidRPr="00944371">
        <w:rPr>
          <w:szCs w:val="24"/>
          <w:u w:val="single"/>
          <w:lang w:val="es-ES_tradnl"/>
        </w:rPr>
        <w:t xml:space="preserve"> part</w:t>
      </w:r>
      <w:r w:rsidR="00430742" w:rsidRPr="00944371">
        <w:rPr>
          <w:szCs w:val="24"/>
          <w:u w:val="single"/>
          <w:lang w:val="es-ES_tradnl"/>
        </w:rPr>
        <w:t>e</w:t>
      </w:r>
      <w:r w:rsidRPr="00944371">
        <w:rPr>
          <w:szCs w:val="24"/>
          <w:u w:val="single"/>
          <w:lang w:val="es-ES_tradnl"/>
        </w:rPr>
        <w:t xml:space="preserve"> </w:t>
      </w:r>
      <w:r w:rsidR="00430742" w:rsidRPr="00944371">
        <w:rPr>
          <w:szCs w:val="24"/>
          <w:u w:val="single"/>
          <w:lang w:val="es-ES_tradnl"/>
        </w:rPr>
        <w:t xml:space="preserve">de la Cuestión </w:t>
      </w:r>
      <w:r w:rsidRPr="00944371">
        <w:rPr>
          <w:szCs w:val="24"/>
          <w:u w:val="single"/>
          <w:lang w:val="es-ES_tradnl"/>
        </w:rPr>
        <w:t>14/17)</w:t>
      </w:r>
    </w:p>
    <w:p w:rsidR="00464FB5" w:rsidRPr="00196851" w:rsidRDefault="00464FB5" w:rsidP="00196851">
      <w:pPr>
        <w:pStyle w:val="Heading1"/>
        <w:numPr>
          <w:ilvl w:val="0"/>
          <w:numId w:val="0"/>
        </w:numPr>
        <w:rPr>
          <w:sz w:val="24"/>
          <w:szCs w:val="24"/>
          <w:lang w:val="es-ES_tradnl"/>
        </w:rPr>
      </w:pPr>
      <w:r w:rsidRPr="00196851">
        <w:rPr>
          <w:sz w:val="24"/>
          <w:szCs w:val="24"/>
          <w:lang w:val="es-ES_tradnl"/>
        </w:rPr>
        <w:t>1</w:t>
      </w:r>
      <w:r w:rsidRPr="00196851">
        <w:rPr>
          <w:sz w:val="24"/>
          <w:szCs w:val="24"/>
          <w:lang w:val="es-ES_tradnl"/>
        </w:rPr>
        <w:tab/>
      </w:r>
      <w:r w:rsidR="000B2155" w:rsidRPr="00196851">
        <w:rPr>
          <w:sz w:val="24"/>
          <w:szCs w:val="24"/>
          <w:lang w:val="es-ES_tradnl"/>
        </w:rPr>
        <w:t>Motivos</w:t>
      </w:r>
    </w:p>
    <w:p w:rsidR="00464FB5" w:rsidRPr="00944371" w:rsidRDefault="00196851" w:rsidP="00196851">
      <w:pPr>
        <w:spacing w:before="80"/>
        <w:rPr>
          <w:color w:val="000000"/>
          <w:szCs w:val="24"/>
          <w:u w:val="single"/>
          <w:lang w:val="es-ES_tradnl" w:eastAsia="de-DE"/>
        </w:rPr>
      </w:pPr>
      <w:r w:rsidRPr="00944371">
        <w:rPr>
          <w:szCs w:val="24"/>
          <w:u w:val="single"/>
          <w:lang w:val="es-ES_tradnl"/>
        </w:rPr>
        <w:t>En l</w:t>
      </w:r>
      <w:r w:rsidR="00D8369C" w:rsidRPr="00944371">
        <w:rPr>
          <w:szCs w:val="24"/>
          <w:u w:val="single"/>
          <w:lang w:val="es-ES_tradnl"/>
        </w:rPr>
        <w:t xml:space="preserve">a Resolución </w:t>
      </w:r>
      <w:r w:rsidR="00464FB5" w:rsidRPr="00944371">
        <w:rPr>
          <w:szCs w:val="24"/>
          <w:u w:val="single"/>
          <w:lang w:val="es-ES_tradnl"/>
        </w:rPr>
        <w:t xml:space="preserve">76 </w:t>
      </w:r>
      <w:r w:rsidR="00D8369C" w:rsidRPr="00944371">
        <w:rPr>
          <w:szCs w:val="24"/>
          <w:u w:val="single"/>
          <w:lang w:val="es-ES_tradnl"/>
        </w:rPr>
        <w:t xml:space="preserve">del UIT-T </w:t>
      </w:r>
      <w:r w:rsidR="00464FB5" w:rsidRPr="00944371">
        <w:rPr>
          <w:szCs w:val="24"/>
          <w:u w:val="single"/>
          <w:lang w:val="es-ES_tradnl"/>
        </w:rPr>
        <w:t xml:space="preserve">– </w:t>
      </w:r>
      <w:r w:rsidR="00141344" w:rsidRPr="00944371">
        <w:rPr>
          <w:szCs w:val="24"/>
          <w:u w:val="single"/>
          <w:lang w:val="es-ES_tradnl"/>
        </w:rPr>
        <w:t>Estudios relacionados con las pruebas de conformidad</w:t>
      </w:r>
      <w:r w:rsidR="000B2155" w:rsidRPr="00944371">
        <w:rPr>
          <w:szCs w:val="24"/>
          <w:u w:val="single"/>
          <w:lang w:val="es-ES_tradnl"/>
        </w:rPr>
        <w:t xml:space="preserve"> e interoperabilidad</w:t>
      </w:r>
      <w:r w:rsidR="00141344" w:rsidRPr="00944371">
        <w:rPr>
          <w:szCs w:val="24"/>
          <w:u w:val="single"/>
          <w:lang w:val="es-ES_tradnl"/>
        </w:rPr>
        <w:t xml:space="preserve">, la asistencia a los países en desarrollo y </w:t>
      </w:r>
      <w:r w:rsidR="000B2155" w:rsidRPr="00944371">
        <w:rPr>
          <w:szCs w:val="24"/>
          <w:u w:val="single"/>
          <w:lang w:val="es-ES_tradnl"/>
        </w:rPr>
        <w:t xml:space="preserve">un </w:t>
      </w:r>
      <w:r w:rsidR="00141344" w:rsidRPr="00944371">
        <w:rPr>
          <w:szCs w:val="24"/>
          <w:u w:val="single"/>
          <w:lang w:val="es-ES_tradnl"/>
        </w:rPr>
        <w:t xml:space="preserve">posible futuro programa relativo a la Marca UIT </w:t>
      </w:r>
      <w:r w:rsidR="00464FB5" w:rsidRPr="00944371">
        <w:rPr>
          <w:szCs w:val="24"/>
          <w:u w:val="single"/>
          <w:lang w:val="es-ES_tradnl"/>
        </w:rPr>
        <w:t xml:space="preserve">– </w:t>
      </w:r>
      <w:r w:rsidRPr="00944371">
        <w:rPr>
          <w:szCs w:val="24"/>
          <w:u w:val="single"/>
          <w:lang w:val="es-ES_tradnl"/>
        </w:rPr>
        <w:t xml:space="preserve">se </w:t>
      </w:r>
      <w:r w:rsidR="00141344" w:rsidRPr="00944371">
        <w:rPr>
          <w:szCs w:val="24"/>
          <w:u w:val="single"/>
          <w:lang w:val="es-ES_tradnl"/>
        </w:rPr>
        <w:t xml:space="preserve">resuelve que </w:t>
      </w:r>
      <w:r w:rsidR="00C20C4B" w:rsidRPr="00944371">
        <w:rPr>
          <w:szCs w:val="24"/>
          <w:u w:val="single"/>
          <w:lang w:val="es-ES_tradnl"/>
        </w:rPr>
        <w:t xml:space="preserve">la Comisión de Estudio </w:t>
      </w:r>
      <w:r w:rsidR="00464FB5" w:rsidRPr="00944371">
        <w:rPr>
          <w:szCs w:val="24"/>
          <w:u w:val="single"/>
          <w:lang w:val="es-ES_tradnl"/>
        </w:rPr>
        <w:t>11 coordi</w:t>
      </w:r>
      <w:r w:rsidR="00C20C4B" w:rsidRPr="00944371">
        <w:rPr>
          <w:szCs w:val="24"/>
          <w:u w:val="single"/>
          <w:lang w:val="es-ES_tradnl"/>
        </w:rPr>
        <w:t>n</w:t>
      </w:r>
      <w:r w:rsidR="000B2155" w:rsidRPr="00944371">
        <w:rPr>
          <w:szCs w:val="24"/>
          <w:u w:val="single"/>
          <w:lang w:val="es-ES_tradnl"/>
        </w:rPr>
        <w:t>ará</w:t>
      </w:r>
      <w:r w:rsidR="00C20C4B" w:rsidRPr="00944371">
        <w:rPr>
          <w:szCs w:val="24"/>
          <w:u w:val="single"/>
          <w:lang w:val="es-ES_tradnl"/>
        </w:rPr>
        <w:t xml:space="preserve"> las actividades del Sector relacionadas con el </w:t>
      </w:r>
      <w:r w:rsidR="000B2155" w:rsidRPr="00944371">
        <w:rPr>
          <w:szCs w:val="24"/>
          <w:u w:val="single"/>
          <w:lang w:val="es-ES_tradnl"/>
        </w:rPr>
        <w:t>P</w:t>
      </w:r>
      <w:r w:rsidR="00C20C4B" w:rsidRPr="00944371">
        <w:rPr>
          <w:szCs w:val="24"/>
          <w:u w:val="single"/>
          <w:lang w:val="es-ES_tradnl"/>
        </w:rPr>
        <w:t xml:space="preserve">rograma de Conformidad e Interoperabilidad </w:t>
      </w:r>
      <w:r w:rsidR="00464FB5" w:rsidRPr="00944371">
        <w:rPr>
          <w:color w:val="000000"/>
          <w:szCs w:val="24"/>
          <w:u w:val="single"/>
          <w:lang w:val="es-ES_tradnl" w:eastAsia="de-DE"/>
        </w:rPr>
        <w:t>(</w:t>
      </w:r>
      <w:r w:rsidR="00464FB5" w:rsidRPr="00944371">
        <w:rPr>
          <w:szCs w:val="24"/>
          <w:u w:val="single"/>
          <w:lang w:val="es-ES_tradnl"/>
        </w:rPr>
        <w:t xml:space="preserve">C&amp;I) </w:t>
      </w:r>
      <w:r w:rsidR="00C20C4B" w:rsidRPr="00944371">
        <w:rPr>
          <w:szCs w:val="24"/>
          <w:u w:val="single"/>
          <w:lang w:val="es-ES_tradnl"/>
        </w:rPr>
        <w:t xml:space="preserve">de la UIT </w:t>
      </w:r>
      <w:r w:rsidR="000B2155" w:rsidRPr="00944371">
        <w:rPr>
          <w:szCs w:val="24"/>
          <w:u w:val="single"/>
          <w:lang w:val="es-ES_tradnl"/>
        </w:rPr>
        <w:t>en</w:t>
      </w:r>
      <w:r w:rsidR="00C20C4B" w:rsidRPr="00944371">
        <w:rPr>
          <w:szCs w:val="24"/>
          <w:u w:val="single"/>
          <w:lang w:val="es-ES_tradnl"/>
        </w:rPr>
        <w:t xml:space="preserve"> todas las Comisiones de Estudio y </w:t>
      </w:r>
      <w:r w:rsidR="000B2155" w:rsidRPr="00944371">
        <w:rPr>
          <w:szCs w:val="24"/>
          <w:u w:val="single"/>
          <w:lang w:val="es-ES_tradnl"/>
        </w:rPr>
        <w:t>examinará</w:t>
      </w:r>
      <w:r w:rsidR="00C20C4B" w:rsidRPr="00944371">
        <w:rPr>
          <w:szCs w:val="24"/>
          <w:u w:val="single"/>
          <w:lang w:val="es-ES_tradnl"/>
        </w:rPr>
        <w:t xml:space="preserve"> las recomendaciones del Plan Comercial de Conformidad e Interoperabilidad para la aplicación a largo plazo del programa </w:t>
      </w:r>
      <w:r w:rsidR="00464FB5" w:rsidRPr="00944371">
        <w:rPr>
          <w:szCs w:val="24"/>
          <w:u w:val="single"/>
          <w:lang w:val="es-ES_tradnl"/>
        </w:rPr>
        <w:t>C&amp;I.</w:t>
      </w:r>
    </w:p>
    <w:p w:rsidR="00464FB5" w:rsidRPr="00944371" w:rsidRDefault="00C20C4B" w:rsidP="00196851">
      <w:pPr>
        <w:spacing w:before="80"/>
        <w:rPr>
          <w:color w:val="000000"/>
          <w:szCs w:val="24"/>
          <w:u w:val="single"/>
          <w:lang w:val="es-ES_tradnl" w:eastAsia="de-DE"/>
        </w:rPr>
      </w:pPr>
      <w:r w:rsidRPr="00944371">
        <w:rPr>
          <w:color w:val="000000"/>
          <w:szCs w:val="24"/>
          <w:u w:val="single"/>
          <w:lang w:val="es-ES_tradnl" w:eastAsia="de-DE"/>
        </w:rPr>
        <w:t>El UIT-</w:t>
      </w:r>
      <w:r w:rsidR="00464FB5" w:rsidRPr="00944371">
        <w:rPr>
          <w:color w:val="000000"/>
          <w:szCs w:val="24"/>
          <w:u w:val="single"/>
          <w:lang w:val="es-ES_tradnl" w:eastAsia="de-DE"/>
        </w:rPr>
        <w:t xml:space="preserve">T </w:t>
      </w:r>
      <w:r w:rsidRPr="00944371">
        <w:rPr>
          <w:color w:val="000000"/>
          <w:szCs w:val="24"/>
          <w:u w:val="single"/>
          <w:lang w:val="es-ES_tradnl" w:eastAsia="de-DE"/>
        </w:rPr>
        <w:t xml:space="preserve">está preparando numerosas Recomendaciones. Para </w:t>
      </w:r>
      <w:r w:rsidR="00196851" w:rsidRPr="00944371">
        <w:rPr>
          <w:color w:val="000000"/>
          <w:szCs w:val="24"/>
          <w:u w:val="single"/>
          <w:lang w:val="es-ES_tradnl" w:eastAsia="de-DE"/>
        </w:rPr>
        <w:t>lograr la</w:t>
      </w:r>
      <w:r w:rsidRPr="00944371">
        <w:rPr>
          <w:color w:val="000000"/>
          <w:szCs w:val="24"/>
          <w:u w:val="single"/>
          <w:lang w:val="es-ES_tradnl" w:eastAsia="de-DE"/>
        </w:rPr>
        <w:t xml:space="preserve"> conformidad </w:t>
      </w:r>
      <w:r w:rsidR="000B2155" w:rsidRPr="00944371">
        <w:rPr>
          <w:color w:val="000000"/>
          <w:szCs w:val="24"/>
          <w:u w:val="single"/>
          <w:lang w:val="es-ES_tradnl" w:eastAsia="de-DE"/>
        </w:rPr>
        <w:t xml:space="preserve">e </w:t>
      </w:r>
      <w:r w:rsidRPr="00944371">
        <w:rPr>
          <w:color w:val="000000"/>
          <w:szCs w:val="24"/>
          <w:u w:val="single"/>
          <w:lang w:val="es-ES_tradnl" w:eastAsia="de-DE"/>
        </w:rPr>
        <w:t>interoperabilidad, uno de los aspectos importantes del Program</w:t>
      </w:r>
      <w:r w:rsidR="00D31630" w:rsidRPr="00944371">
        <w:rPr>
          <w:color w:val="000000"/>
          <w:szCs w:val="24"/>
          <w:u w:val="single"/>
          <w:lang w:val="es-ES_tradnl" w:eastAsia="de-DE"/>
        </w:rPr>
        <w:t xml:space="preserve">a </w:t>
      </w:r>
      <w:r w:rsidRPr="00944371">
        <w:rPr>
          <w:color w:val="000000"/>
          <w:szCs w:val="24"/>
          <w:u w:val="single"/>
          <w:lang w:val="es-ES_tradnl" w:eastAsia="de-DE"/>
        </w:rPr>
        <w:t xml:space="preserve">de </w:t>
      </w:r>
      <w:r w:rsidR="00464FB5" w:rsidRPr="00944371">
        <w:rPr>
          <w:color w:val="000000"/>
          <w:szCs w:val="24"/>
          <w:u w:val="single"/>
          <w:lang w:val="es-ES_tradnl" w:eastAsia="de-DE"/>
        </w:rPr>
        <w:t xml:space="preserve">C&amp;I </w:t>
      </w:r>
      <w:r w:rsidR="00D31630" w:rsidRPr="00944371">
        <w:rPr>
          <w:color w:val="000000"/>
          <w:szCs w:val="24"/>
          <w:u w:val="single"/>
          <w:lang w:val="es-ES_tradnl" w:eastAsia="de-DE"/>
        </w:rPr>
        <w:t>de la UIT se refiere al desarrollo y mantenimiento de marcos y metodologías de prueba</w:t>
      </w:r>
      <w:r w:rsidR="00512FCB" w:rsidRPr="00944371">
        <w:rPr>
          <w:color w:val="000000"/>
          <w:szCs w:val="24"/>
          <w:u w:val="single"/>
          <w:lang w:val="es-ES_tradnl" w:eastAsia="de-DE"/>
        </w:rPr>
        <w:t>s</w:t>
      </w:r>
      <w:r w:rsidR="00464FB5" w:rsidRPr="00944371">
        <w:rPr>
          <w:color w:val="000000"/>
          <w:szCs w:val="24"/>
          <w:u w:val="single"/>
          <w:lang w:val="es-ES_tradnl" w:eastAsia="de-DE"/>
        </w:rPr>
        <w:t>.</w:t>
      </w:r>
    </w:p>
    <w:p w:rsidR="00464FB5" w:rsidRPr="00944371" w:rsidRDefault="00196851" w:rsidP="00196851">
      <w:pPr>
        <w:spacing w:before="80"/>
        <w:rPr>
          <w:color w:val="000000"/>
          <w:szCs w:val="24"/>
          <w:u w:val="single"/>
          <w:lang w:val="es-ES_tradnl" w:eastAsia="de-DE"/>
        </w:rPr>
      </w:pPr>
      <w:r w:rsidRPr="00944371">
        <w:rPr>
          <w:u w:val="single"/>
          <w:lang w:val="es-ES_tradnl"/>
        </w:rPr>
        <w:t>Es</w:t>
      </w:r>
      <w:r w:rsidR="00D31630" w:rsidRPr="00944371">
        <w:rPr>
          <w:u w:val="single"/>
          <w:lang w:val="es-ES_tradnl"/>
        </w:rPr>
        <w:t xml:space="preserve"> esencial que las metodologías de pruebas de conformidad e interoperabilidad utilizadas por todas las Comisiones de Estudio que realizan pruebas estén armonizadas y sean coherentes entre sí. Para lograr</w:t>
      </w:r>
      <w:r w:rsidRPr="00944371">
        <w:rPr>
          <w:u w:val="single"/>
          <w:lang w:val="es-ES_tradnl"/>
        </w:rPr>
        <w:t xml:space="preserve"> la</w:t>
      </w:r>
      <w:r w:rsidR="00D31630" w:rsidRPr="00944371">
        <w:rPr>
          <w:u w:val="single"/>
          <w:lang w:val="es-ES_tradnl"/>
        </w:rPr>
        <w:t xml:space="preserve"> </w:t>
      </w:r>
      <w:r w:rsidR="00072A70" w:rsidRPr="00944371">
        <w:rPr>
          <w:u w:val="single"/>
          <w:lang w:val="es-ES_tradnl"/>
        </w:rPr>
        <w:t>interoperabilidad</w:t>
      </w:r>
      <w:r w:rsidR="00D31630" w:rsidRPr="00944371">
        <w:rPr>
          <w:u w:val="single"/>
          <w:lang w:val="es-ES_tradnl"/>
        </w:rPr>
        <w:t xml:space="preserve"> a escala mundial es indispensable que al preparar y actualizar las Recomendaciones se tengan presente</w:t>
      </w:r>
      <w:r w:rsidRPr="00944371">
        <w:rPr>
          <w:u w:val="single"/>
          <w:lang w:val="es-ES_tradnl"/>
        </w:rPr>
        <w:t>s</w:t>
      </w:r>
      <w:r w:rsidR="00D31630" w:rsidRPr="00944371">
        <w:rPr>
          <w:u w:val="single"/>
          <w:lang w:val="es-ES_tradnl"/>
        </w:rPr>
        <w:t xml:space="preserve"> los aspectos relativos a la conformidad y la </w:t>
      </w:r>
      <w:r w:rsidR="00072A70" w:rsidRPr="00944371">
        <w:rPr>
          <w:u w:val="single"/>
          <w:lang w:val="es-ES_tradnl"/>
        </w:rPr>
        <w:t>interoperabilidad</w:t>
      </w:r>
      <w:r w:rsidR="00D31630" w:rsidRPr="00944371">
        <w:rPr>
          <w:u w:val="single"/>
          <w:lang w:val="es-ES_tradnl"/>
        </w:rPr>
        <w:t xml:space="preserve">, con arreglo </w:t>
      </w:r>
      <w:r w:rsidR="007E32F0" w:rsidRPr="00944371">
        <w:rPr>
          <w:u w:val="single"/>
          <w:lang w:val="es-ES_tradnl"/>
        </w:rPr>
        <w:t xml:space="preserve">a </w:t>
      </w:r>
      <w:r w:rsidR="00D31630" w:rsidRPr="00944371">
        <w:rPr>
          <w:u w:val="single"/>
          <w:lang w:val="es-ES_tradnl"/>
        </w:rPr>
        <w:t>la metodología</w:t>
      </w:r>
      <w:r w:rsidR="007E32F0" w:rsidRPr="00944371">
        <w:rPr>
          <w:u w:val="single"/>
          <w:lang w:val="es-ES_tradnl"/>
        </w:rPr>
        <w:t xml:space="preserve"> correspondiente</w:t>
      </w:r>
      <w:r w:rsidR="00464FB5" w:rsidRPr="00944371">
        <w:rPr>
          <w:color w:val="000000"/>
          <w:szCs w:val="24"/>
          <w:u w:val="single"/>
          <w:lang w:val="es-ES_tradnl" w:eastAsia="de-DE"/>
        </w:rPr>
        <w:t>.</w:t>
      </w:r>
    </w:p>
    <w:p w:rsidR="00464FB5" w:rsidRPr="00944371" w:rsidRDefault="007E32F0" w:rsidP="006C10F0">
      <w:pPr>
        <w:spacing w:before="80"/>
        <w:rPr>
          <w:color w:val="000000"/>
          <w:szCs w:val="24"/>
          <w:u w:val="single"/>
          <w:lang w:val="es-ES_tradnl" w:eastAsia="de-DE"/>
        </w:rPr>
      </w:pPr>
      <w:r w:rsidRPr="00944371">
        <w:rPr>
          <w:u w:val="single"/>
          <w:lang w:val="es-ES_tradnl"/>
        </w:rPr>
        <w:t xml:space="preserve">El objetivo de las pruebas de conformidad es determinar </w:t>
      </w:r>
      <w:r w:rsidR="00927236" w:rsidRPr="00944371">
        <w:rPr>
          <w:u w:val="single"/>
          <w:lang w:val="es-ES_tradnl"/>
        </w:rPr>
        <w:t>si</w:t>
      </w:r>
      <w:r w:rsidRPr="00944371">
        <w:rPr>
          <w:u w:val="single"/>
          <w:lang w:val="es-ES_tradnl"/>
        </w:rPr>
        <w:t xml:space="preserve"> los requisitos estipulados en la Recomendación </w:t>
      </w:r>
      <w:r w:rsidR="00927236" w:rsidRPr="00944371">
        <w:rPr>
          <w:u w:val="single"/>
          <w:lang w:val="es-ES_tradnl"/>
        </w:rPr>
        <w:t>se han cumplido de forma correcta y cabal en la aplicación</w:t>
      </w:r>
      <w:r w:rsidRPr="00944371">
        <w:rPr>
          <w:u w:val="single"/>
          <w:lang w:val="es-ES_tradnl"/>
        </w:rPr>
        <w:t xml:space="preserve">. </w:t>
      </w:r>
      <w:r w:rsidR="00927236" w:rsidRPr="00944371">
        <w:rPr>
          <w:u w:val="single"/>
          <w:lang w:val="es-ES_tradnl"/>
        </w:rPr>
        <w:t>Por el contrario, en las pruebas de interoperabilidad el objetivo es determinar si dos o más aplicaciones de la mism</w:t>
      </w:r>
      <w:r w:rsidR="009C2127" w:rsidRPr="00944371">
        <w:rPr>
          <w:u w:val="single"/>
          <w:lang w:val="es-ES_tradnl"/>
        </w:rPr>
        <w:t>a</w:t>
      </w:r>
      <w:r w:rsidR="00927236" w:rsidRPr="00944371">
        <w:rPr>
          <w:u w:val="single"/>
          <w:lang w:val="es-ES_tradnl"/>
        </w:rPr>
        <w:t xml:space="preserve"> Recomendación comunican e intercambian correctamente información entre sí. Por lo general se entiende que se ha probado la conformidad de una aplicación antes de realizar una evaluación de prueba</w:t>
      </w:r>
      <w:r w:rsidR="00512FCB" w:rsidRPr="00944371">
        <w:rPr>
          <w:u w:val="single"/>
          <w:lang w:val="es-ES_tradnl"/>
        </w:rPr>
        <w:t>s</w:t>
      </w:r>
      <w:r w:rsidR="00927236" w:rsidRPr="00944371">
        <w:rPr>
          <w:u w:val="single"/>
          <w:lang w:val="es-ES_tradnl"/>
        </w:rPr>
        <w:t xml:space="preserve"> de interoperabilidad</w:t>
      </w:r>
      <w:r w:rsidR="00464FB5" w:rsidRPr="00944371">
        <w:rPr>
          <w:color w:val="000000"/>
          <w:szCs w:val="24"/>
          <w:u w:val="single"/>
          <w:lang w:val="es-ES_tradnl" w:eastAsia="de-DE"/>
        </w:rPr>
        <w:t>.</w:t>
      </w:r>
    </w:p>
    <w:p w:rsidR="00464FB5" w:rsidRPr="003A05CD" w:rsidRDefault="00927236" w:rsidP="00196851">
      <w:pPr>
        <w:spacing w:before="80"/>
        <w:rPr>
          <w:color w:val="000000"/>
          <w:szCs w:val="24"/>
          <w:lang w:val="es-ES_tradnl" w:eastAsia="de-DE"/>
        </w:rPr>
      </w:pPr>
      <w:r w:rsidRPr="00944371">
        <w:rPr>
          <w:color w:val="000000"/>
          <w:szCs w:val="24"/>
          <w:u w:val="single"/>
          <w:lang w:val="es-ES_tradnl" w:eastAsia="de-DE"/>
        </w:rPr>
        <w:t xml:space="preserve">Los expertos en metodología de esta Cuestión deben colaborar estrechamente con expertos de otras Comisiones de Estudio </w:t>
      </w:r>
      <w:r w:rsidR="00196851" w:rsidRPr="00944371">
        <w:rPr>
          <w:color w:val="000000"/>
          <w:szCs w:val="24"/>
          <w:u w:val="single"/>
          <w:lang w:val="es-ES_tradnl" w:eastAsia="de-DE"/>
        </w:rPr>
        <w:t xml:space="preserve">que </w:t>
      </w:r>
      <w:r w:rsidRPr="00944371">
        <w:rPr>
          <w:color w:val="000000"/>
          <w:szCs w:val="24"/>
          <w:u w:val="single"/>
          <w:lang w:val="es-ES_tradnl" w:eastAsia="de-DE"/>
        </w:rPr>
        <w:t>elabora</w:t>
      </w:r>
      <w:r w:rsidR="00196851" w:rsidRPr="00944371">
        <w:rPr>
          <w:color w:val="000000"/>
          <w:szCs w:val="24"/>
          <w:u w:val="single"/>
          <w:lang w:val="es-ES_tradnl" w:eastAsia="de-DE"/>
        </w:rPr>
        <w:t>n</w:t>
      </w:r>
      <w:r w:rsidRPr="00944371">
        <w:rPr>
          <w:color w:val="000000"/>
          <w:szCs w:val="24"/>
          <w:u w:val="single"/>
          <w:lang w:val="es-ES_tradnl" w:eastAsia="de-DE"/>
        </w:rPr>
        <w:t xml:space="preserve"> especificaciones de pruebas en </w:t>
      </w:r>
      <w:r w:rsidR="009C2127" w:rsidRPr="00944371">
        <w:rPr>
          <w:color w:val="000000"/>
          <w:szCs w:val="24"/>
          <w:u w:val="single"/>
          <w:lang w:val="es-ES_tradnl" w:eastAsia="de-DE"/>
        </w:rPr>
        <w:t xml:space="preserve">sus </w:t>
      </w:r>
      <w:r w:rsidRPr="00944371">
        <w:rPr>
          <w:color w:val="000000"/>
          <w:szCs w:val="24"/>
          <w:u w:val="single"/>
          <w:lang w:val="es-ES_tradnl" w:eastAsia="de-DE"/>
        </w:rPr>
        <w:t>respectivas esferas de competencia</w:t>
      </w:r>
      <w:r w:rsidR="00464FB5" w:rsidRPr="00944371">
        <w:rPr>
          <w:color w:val="000000"/>
          <w:szCs w:val="24"/>
          <w:u w:val="single"/>
          <w:lang w:val="es-ES_tradnl" w:eastAsia="de-DE"/>
        </w:rPr>
        <w:t>.</w:t>
      </w:r>
    </w:p>
    <w:p w:rsidR="00846087" w:rsidRPr="003A05CD" w:rsidRDefault="00846087" w:rsidP="006C10F0">
      <w:pPr>
        <w:rPr>
          <w:lang w:val="es-ES_tradnl"/>
        </w:rPr>
      </w:pPr>
      <w:r w:rsidRPr="003A05CD">
        <w:rPr>
          <w:lang w:val="es-ES_tradnl"/>
        </w:rPr>
        <w:lastRenderedPageBreak/>
        <w:t xml:space="preserve">En las condiciones que caracterizan la transición de las redes de telecomunicaciones públicas, es decir el paso de redes digitales con conmutación de circuitos </w:t>
      </w:r>
      <w:r w:rsidR="002E4C9E" w:rsidRPr="003A05CD">
        <w:rPr>
          <w:lang w:val="es-ES_tradnl"/>
        </w:rPr>
        <w:t>a</w:t>
      </w:r>
      <w:r w:rsidRPr="003A05CD">
        <w:rPr>
          <w:lang w:val="es-ES_tradnl"/>
        </w:rPr>
        <w:t xml:space="preserve"> redes con conmutación de paquetes, además de resolver los problemas que plantea la construcción de una arquitectura de red, la calidad de servicio, la gestión de la red, etc., están adquiriendo una importancia cardinal las cuestiones relacionadas con el ensayo de equipos NGN para determinar la </w:t>
      </w:r>
      <w:r w:rsidR="00072A70" w:rsidRPr="003A05CD">
        <w:rPr>
          <w:lang w:val="es-ES_tradnl"/>
        </w:rPr>
        <w:t>interoperabilidad</w:t>
      </w:r>
      <w:r w:rsidRPr="003A05CD">
        <w:rPr>
          <w:lang w:val="es-ES_tradnl"/>
        </w:rPr>
        <w:t xml:space="preserve"> entre los diversos fabricantes y la </w:t>
      </w:r>
      <w:r w:rsidR="00072A70" w:rsidRPr="003A05CD">
        <w:rPr>
          <w:lang w:val="es-ES_tradnl"/>
        </w:rPr>
        <w:t xml:space="preserve">interoperabilidad </w:t>
      </w:r>
      <w:r w:rsidRPr="003A05CD">
        <w:rPr>
          <w:lang w:val="es-ES_tradnl"/>
        </w:rPr>
        <w:t>de los nuevos servicios con los servicios existentes utilizando equipos NGN. Esto es aún más importante para el paradigma de la interconexión de redes ubicuas.</w:t>
      </w:r>
    </w:p>
    <w:p w:rsidR="00846087" w:rsidRPr="003A05CD" w:rsidRDefault="00846087" w:rsidP="006C10F0">
      <w:pPr>
        <w:rPr>
          <w:lang w:val="es-ES_tradnl"/>
        </w:rPr>
      </w:pPr>
      <w:r w:rsidRPr="003A05CD">
        <w:rPr>
          <w:lang w:val="es-ES_tradnl"/>
        </w:rPr>
        <w:t>Varios factores están contribuyendo simultáneamente a ese proceso:</w:t>
      </w:r>
    </w:p>
    <w:p w:rsidR="00846087" w:rsidRPr="003A05CD" w:rsidRDefault="00846087" w:rsidP="00196851">
      <w:pPr>
        <w:pStyle w:val="enumlev1"/>
        <w:ind w:left="794" w:hanging="794"/>
        <w:rPr>
          <w:lang w:val="es-ES_tradnl"/>
        </w:rPr>
      </w:pPr>
      <w:r w:rsidRPr="003A05CD">
        <w:rPr>
          <w:lang w:val="es-ES_tradnl"/>
        </w:rPr>
        <w:t>1)</w:t>
      </w:r>
      <w:r w:rsidRPr="003A05CD">
        <w:rPr>
          <w:lang w:val="es-ES_tradnl"/>
        </w:rPr>
        <w:tab/>
        <w:t xml:space="preserve">El aumento del número de fabricantes de equipos, consecuencia </w:t>
      </w:r>
      <w:r w:rsidR="00196851">
        <w:rPr>
          <w:lang w:val="es-ES_tradnl"/>
        </w:rPr>
        <w:t xml:space="preserve">del incremento </w:t>
      </w:r>
      <w:r w:rsidRPr="003A05CD">
        <w:rPr>
          <w:lang w:val="es-ES_tradnl"/>
        </w:rPr>
        <w:t>de la proporción de programas informáticos entre los medios técnicos utilizados para la implantación de las telecomunicaciones, así como una mayor apertura del mercado.</w:t>
      </w:r>
    </w:p>
    <w:p w:rsidR="00846087" w:rsidRPr="003A05CD" w:rsidRDefault="00846087" w:rsidP="006C10F0">
      <w:pPr>
        <w:pStyle w:val="enumlev1"/>
        <w:rPr>
          <w:lang w:val="es-ES_tradnl"/>
        </w:rPr>
      </w:pPr>
      <w:r w:rsidRPr="003A05CD">
        <w:rPr>
          <w:lang w:val="es-ES_tradnl"/>
        </w:rPr>
        <w:t>2)</w:t>
      </w:r>
      <w:r w:rsidRPr="003A05CD">
        <w:rPr>
          <w:lang w:val="es-ES_tradnl"/>
        </w:rPr>
        <w:tab/>
        <w:t>La reducción del periodo de creación e introducción de nuevos servicios.</w:t>
      </w:r>
    </w:p>
    <w:p w:rsidR="00177AE7" w:rsidRDefault="00846087" w:rsidP="00196851">
      <w:pPr>
        <w:pStyle w:val="enumlev1"/>
        <w:ind w:left="794" w:hanging="794"/>
        <w:rPr>
          <w:lang w:val="es-ES_tradnl"/>
        </w:rPr>
      </w:pPr>
      <w:r w:rsidRPr="003A05CD">
        <w:rPr>
          <w:lang w:val="es-ES_tradnl"/>
        </w:rPr>
        <w:t>3)</w:t>
      </w:r>
      <w:r w:rsidRPr="003A05CD">
        <w:rPr>
          <w:lang w:val="es-ES_tradnl"/>
        </w:rPr>
        <w:tab/>
        <w:t>El aumento del cost</w:t>
      </w:r>
      <w:r w:rsidR="009D5104" w:rsidRPr="003A05CD">
        <w:rPr>
          <w:lang w:val="es-ES_tradnl"/>
        </w:rPr>
        <w:t>e</w:t>
      </w:r>
      <w:r w:rsidRPr="003A05CD">
        <w:rPr>
          <w:lang w:val="es-ES_tradnl"/>
        </w:rPr>
        <w:t xml:space="preserve"> de las pruebas, en comparación con</w:t>
      </w:r>
      <w:r w:rsidR="009D5104" w:rsidRPr="003A05CD">
        <w:rPr>
          <w:lang w:val="es-ES_tradnl"/>
        </w:rPr>
        <w:t xml:space="preserve"> el coste de probar</w:t>
      </w:r>
      <w:r w:rsidRPr="003A05CD">
        <w:rPr>
          <w:lang w:val="es-ES_tradnl"/>
        </w:rPr>
        <w:t xml:space="preserve"> redes con conmutación de circuitos, como resultado de la mayor funcionalidad de los equipos.</w:t>
      </w:r>
    </w:p>
    <w:p w:rsidR="00846087" w:rsidRPr="00177AE7" w:rsidRDefault="00846087" w:rsidP="00177AE7">
      <w:pPr>
        <w:tabs>
          <w:tab w:val="clear" w:pos="794"/>
          <w:tab w:val="clear" w:pos="1191"/>
          <w:tab w:val="clear" w:pos="1588"/>
          <w:tab w:val="clear" w:pos="1985"/>
          <w:tab w:val="left" w:pos="720"/>
          <w:tab w:val="left" w:pos="1440"/>
        </w:tabs>
        <w:rPr>
          <w:lang w:val="es-ES_tradnl"/>
        </w:rPr>
      </w:pPr>
    </w:p>
    <w:p w:rsidR="00846087" w:rsidRPr="003A05CD" w:rsidRDefault="00846087" w:rsidP="006C10F0">
      <w:pPr>
        <w:rPr>
          <w:lang w:val="es-ES_tradnl"/>
        </w:rPr>
      </w:pPr>
      <w:r w:rsidRPr="003A05CD">
        <w:rPr>
          <w:lang w:val="es-ES_tradnl"/>
        </w:rPr>
        <w:t>Todos estos factores hacen que la realización de pruebas con redes modelo sea una forma eficaz de ensayo.</w:t>
      </w:r>
    </w:p>
    <w:p w:rsidR="00846087" w:rsidRPr="003A05CD" w:rsidRDefault="00846087" w:rsidP="006C10F0">
      <w:pPr>
        <w:rPr>
          <w:lang w:val="es-ES_tradnl"/>
        </w:rPr>
      </w:pPr>
      <w:r w:rsidRPr="003A05CD">
        <w:rPr>
          <w:lang w:val="es-ES_tradnl"/>
        </w:rPr>
        <w:t xml:space="preserve">Actualmente numerosas organizaciones están realizando pruebas de </w:t>
      </w:r>
      <w:r w:rsidR="002B1766" w:rsidRPr="003A05CD">
        <w:rPr>
          <w:lang w:val="es-ES_tradnl"/>
        </w:rPr>
        <w:t>redes</w:t>
      </w:r>
      <w:r w:rsidRPr="003A05CD">
        <w:rPr>
          <w:lang w:val="es-ES_tradnl"/>
        </w:rPr>
        <w:t>.</w:t>
      </w:r>
    </w:p>
    <w:p w:rsidR="00464FB5" w:rsidRPr="003A05CD" w:rsidRDefault="00846087" w:rsidP="006C10F0">
      <w:pPr>
        <w:tabs>
          <w:tab w:val="clear" w:pos="794"/>
          <w:tab w:val="clear" w:pos="1191"/>
          <w:tab w:val="clear" w:pos="1588"/>
          <w:tab w:val="clear" w:pos="1985"/>
        </w:tabs>
        <w:overflowPunct/>
        <w:autoSpaceDE/>
        <w:autoSpaceDN/>
        <w:adjustRightInd/>
        <w:textAlignment w:val="auto"/>
        <w:rPr>
          <w:szCs w:val="24"/>
          <w:lang w:val="es-ES_tradnl"/>
        </w:rPr>
      </w:pPr>
      <w:r w:rsidRPr="003A05CD">
        <w:rPr>
          <w:lang w:val="es-ES_tradnl"/>
        </w:rPr>
        <w:t>La CE11 elaboró las Recomendaciones UIT-T sobre el concepto de red modelo a lo largo de los periodos de estudio</w:t>
      </w:r>
      <w:r w:rsidR="0041667D" w:rsidRPr="003A05CD">
        <w:rPr>
          <w:lang w:val="es-ES_tradnl"/>
        </w:rPr>
        <w:t>s</w:t>
      </w:r>
      <w:r w:rsidRPr="003A05CD">
        <w:rPr>
          <w:lang w:val="es-ES_tradnl"/>
        </w:rPr>
        <w:t xml:space="preserve"> 2005-2008 y 2009-2012</w:t>
      </w:r>
      <w:r w:rsidR="00464FB5" w:rsidRPr="003A05CD">
        <w:rPr>
          <w:szCs w:val="24"/>
          <w:lang w:val="es-ES_tradnl"/>
        </w:rPr>
        <w:t>.</w:t>
      </w:r>
    </w:p>
    <w:p w:rsidR="00846087" w:rsidRPr="003A05CD" w:rsidRDefault="00846087" w:rsidP="006C10F0">
      <w:pPr>
        <w:rPr>
          <w:lang w:val="es-ES_tradnl"/>
        </w:rPr>
      </w:pPr>
      <w:r w:rsidRPr="003A05CD">
        <w:rPr>
          <w:lang w:val="es-ES_tradnl"/>
        </w:rPr>
        <w:t xml:space="preserve">La parte más importante del concepto de pruebas con redes modelo es la red de ensayo (NUT). De acuerdo con la experiencia de los centros internacionales de pruebas creados bajo la supervisión del UIT-D, la NUT es el mejor instrumento para realizar pruebas de </w:t>
      </w:r>
      <w:r w:rsidR="00072A70" w:rsidRPr="003A05CD">
        <w:rPr>
          <w:lang w:val="es-ES_tradnl"/>
        </w:rPr>
        <w:t>interoperabilidad</w:t>
      </w:r>
      <w:r w:rsidRPr="003A05CD">
        <w:rPr>
          <w:lang w:val="es-ES_tradnl"/>
        </w:rPr>
        <w:t>.</w:t>
      </w:r>
    </w:p>
    <w:p w:rsidR="00464FB5" w:rsidRPr="003A05CD" w:rsidRDefault="00846087" w:rsidP="006C10F0">
      <w:pPr>
        <w:rPr>
          <w:lang w:val="es-ES_tradnl"/>
        </w:rPr>
      </w:pPr>
      <w:r w:rsidRPr="003A05CD">
        <w:rPr>
          <w:lang w:val="es-ES_tradnl"/>
        </w:rPr>
        <w:t xml:space="preserve">Sin embargo, las NGN están en la actualidad mucho más </w:t>
      </w:r>
      <w:r w:rsidR="00FB4F3C" w:rsidRPr="003A05CD">
        <w:rPr>
          <w:lang w:val="es-ES_tradnl"/>
        </w:rPr>
        <w:t>implantadas</w:t>
      </w:r>
      <w:r w:rsidRPr="003A05CD">
        <w:rPr>
          <w:lang w:val="es-ES_tradnl"/>
        </w:rPr>
        <w:t xml:space="preserve">. Las tecnologías DSN están </w:t>
      </w:r>
      <w:r w:rsidR="00FB4F3C" w:rsidRPr="003A05CD">
        <w:rPr>
          <w:lang w:val="es-ES_tradnl"/>
        </w:rPr>
        <w:t xml:space="preserve">siempre </w:t>
      </w:r>
      <w:r w:rsidRPr="003A05CD">
        <w:rPr>
          <w:lang w:val="es-ES_tradnl"/>
        </w:rPr>
        <w:t xml:space="preserve">disponibles, IPv6 sustituye a IPv4, la red doméstica (HN) es parte de la red. Además, </w:t>
      </w:r>
      <w:r w:rsidR="00FB4F3C" w:rsidRPr="003A05CD">
        <w:rPr>
          <w:lang w:val="es-ES_tradnl"/>
        </w:rPr>
        <w:t>la</w:t>
      </w:r>
      <w:r w:rsidRPr="003A05CD">
        <w:rPr>
          <w:lang w:val="es-ES_tradnl"/>
        </w:rPr>
        <w:t xml:space="preserve"> Internet de las cosas (</w:t>
      </w:r>
      <w:proofErr w:type="spellStart"/>
      <w:r w:rsidRPr="003A05CD">
        <w:rPr>
          <w:lang w:val="es-ES_tradnl"/>
        </w:rPr>
        <w:t>IoT</w:t>
      </w:r>
      <w:proofErr w:type="spellEnd"/>
      <w:r w:rsidRPr="003A05CD">
        <w:rPr>
          <w:lang w:val="es-ES_tradnl"/>
        </w:rPr>
        <w:t>), la web de las cosas (</w:t>
      </w:r>
      <w:proofErr w:type="spellStart"/>
      <w:r w:rsidRPr="003A05CD">
        <w:rPr>
          <w:lang w:val="es-ES_tradnl"/>
        </w:rPr>
        <w:t>WoT</w:t>
      </w:r>
      <w:proofErr w:type="spellEnd"/>
      <w:r w:rsidRPr="003A05CD">
        <w:rPr>
          <w:lang w:val="es-ES_tradnl"/>
        </w:rPr>
        <w:t xml:space="preserve">), las redes de sensores ubicuos (USN), VANET, etc., son los nuevos desafíos </w:t>
      </w:r>
      <w:r w:rsidR="00FB4F3C" w:rsidRPr="003A05CD">
        <w:rPr>
          <w:lang w:val="es-ES_tradnl"/>
        </w:rPr>
        <w:t xml:space="preserve">para </w:t>
      </w:r>
      <w:r w:rsidRPr="003A05CD">
        <w:rPr>
          <w:lang w:val="es-ES_tradnl"/>
        </w:rPr>
        <w:t xml:space="preserve">la investigación sobre pruebas. </w:t>
      </w:r>
      <w:proofErr w:type="spellStart"/>
      <w:r w:rsidRPr="003A05CD">
        <w:rPr>
          <w:lang w:val="es-ES_tradnl"/>
        </w:rPr>
        <w:t>IoT</w:t>
      </w:r>
      <w:proofErr w:type="spellEnd"/>
      <w:r w:rsidRPr="003A05CD">
        <w:rPr>
          <w:lang w:val="es-ES_tradnl"/>
        </w:rPr>
        <w:t xml:space="preserve">, </w:t>
      </w:r>
      <w:proofErr w:type="spellStart"/>
      <w:r w:rsidRPr="003A05CD">
        <w:rPr>
          <w:lang w:val="es-ES_tradnl"/>
        </w:rPr>
        <w:t>WoT</w:t>
      </w:r>
      <w:proofErr w:type="spellEnd"/>
      <w:r w:rsidRPr="003A05CD">
        <w:rPr>
          <w:lang w:val="es-ES_tradnl"/>
        </w:rPr>
        <w:t xml:space="preserve"> </w:t>
      </w:r>
      <w:r w:rsidRPr="003A05CD">
        <w:rPr>
          <w:lang w:val="es-ES_tradnl"/>
        </w:rPr>
        <w:lastRenderedPageBreak/>
        <w:t>y USN se estudiarán en el marco de la C</w:t>
      </w:r>
      <w:r w:rsidR="009E6838" w:rsidRPr="003A05CD">
        <w:rPr>
          <w:lang w:val="es-ES_tradnl"/>
        </w:rPr>
        <w:t>12</w:t>
      </w:r>
      <w:r w:rsidRPr="003A05CD">
        <w:rPr>
          <w:lang w:val="es-ES_tradnl"/>
        </w:rPr>
        <w:t>/11. Las pruebas de VANET serán responsabilidad de la C</w:t>
      </w:r>
      <w:r w:rsidR="009E6838" w:rsidRPr="003A05CD">
        <w:rPr>
          <w:lang w:val="es-ES_tradnl"/>
        </w:rPr>
        <w:t>11</w:t>
      </w:r>
      <w:r w:rsidRPr="003A05CD">
        <w:rPr>
          <w:lang w:val="es-ES_tradnl"/>
        </w:rPr>
        <w:t>/11</w:t>
      </w:r>
      <w:r w:rsidR="00464FB5" w:rsidRPr="003A05CD">
        <w:rPr>
          <w:szCs w:val="24"/>
          <w:lang w:val="es-ES_tradnl"/>
        </w:rPr>
        <w:t>.</w:t>
      </w:r>
    </w:p>
    <w:p w:rsidR="00464FB5" w:rsidRPr="00944371" w:rsidRDefault="00846087" w:rsidP="00196851">
      <w:pPr>
        <w:tabs>
          <w:tab w:val="clear" w:pos="794"/>
          <w:tab w:val="clear" w:pos="1191"/>
          <w:tab w:val="clear" w:pos="1588"/>
          <w:tab w:val="clear" w:pos="1985"/>
        </w:tabs>
        <w:overflowPunct/>
        <w:autoSpaceDE/>
        <w:autoSpaceDN/>
        <w:adjustRightInd/>
        <w:textAlignment w:val="auto"/>
        <w:rPr>
          <w:color w:val="000000"/>
          <w:szCs w:val="24"/>
          <w:u w:val="single"/>
          <w:lang w:val="es-ES_tradnl"/>
        </w:rPr>
      </w:pPr>
      <w:r w:rsidRPr="00944371">
        <w:rPr>
          <w:color w:val="000000"/>
          <w:szCs w:val="24"/>
          <w:u w:val="single"/>
          <w:lang w:val="es-ES_tradnl"/>
        </w:rPr>
        <w:t xml:space="preserve">Esta Cuestión </w:t>
      </w:r>
      <w:r w:rsidR="00196851" w:rsidRPr="00944371">
        <w:rPr>
          <w:color w:val="000000"/>
          <w:szCs w:val="24"/>
          <w:u w:val="single"/>
          <w:lang w:val="es-ES_tradnl"/>
        </w:rPr>
        <w:t xml:space="preserve">es </w:t>
      </w:r>
      <w:r w:rsidRPr="00944371">
        <w:rPr>
          <w:color w:val="000000"/>
          <w:szCs w:val="24"/>
          <w:u w:val="single"/>
          <w:lang w:val="es-ES_tradnl"/>
        </w:rPr>
        <w:t xml:space="preserve">responsable de la serie </w:t>
      </w:r>
      <w:r w:rsidR="00464FB5" w:rsidRPr="00944371">
        <w:rPr>
          <w:color w:val="000000"/>
          <w:szCs w:val="24"/>
          <w:u w:val="single"/>
          <w:lang w:val="es-ES_tradnl"/>
        </w:rPr>
        <w:t>Q.39xx (</w:t>
      </w:r>
      <w:r w:rsidRPr="00944371">
        <w:rPr>
          <w:color w:val="000000"/>
          <w:szCs w:val="24"/>
          <w:u w:val="single"/>
          <w:lang w:val="es-ES_tradnl"/>
        </w:rPr>
        <w:t>pruebas para redes de la próxima generación</w:t>
      </w:r>
      <w:r w:rsidR="00464FB5" w:rsidRPr="00944371">
        <w:rPr>
          <w:color w:val="000000"/>
          <w:szCs w:val="24"/>
          <w:u w:val="single"/>
          <w:lang w:val="es-ES_tradnl"/>
        </w:rPr>
        <w:t xml:space="preserve">), </w:t>
      </w:r>
      <w:r w:rsidR="009E6838" w:rsidRPr="00944371">
        <w:rPr>
          <w:color w:val="000000"/>
          <w:szCs w:val="24"/>
          <w:u w:val="single"/>
          <w:lang w:val="es-ES_tradnl"/>
        </w:rPr>
        <w:t xml:space="preserve">la </w:t>
      </w:r>
      <w:r w:rsidRPr="00944371">
        <w:rPr>
          <w:color w:val="000000"/>
          <w:szCs w:val="24"/>
          <w:u w:val="single"/>
          <w:lang w:val="es-ES_tradnl"/>
        </w:rPr>
        <w:t xml:space="preserve">serie </w:t>
      </w:r>
      <w:r w:rsidR="00464FB5" w:rsidRPr="00944371">
        <w:rPr>
          <w:color w:val="000000"/>
          <w:szCs w:val="24"/>
          <w:u w:val="single"/>
          <w:lang w:val="es-ES_tradnl"/>
        </w:rPr>
        <w:t xml:space="preserve">Q.1912.x, </w:t>
      </w:r>
      <w:r w:rsidR="009E6838" w:rsidRPr="00944371">
        <w:rPr>
          <w:color w:val="000000"/>
          <w:szCs w:val="24"/>
          <w:u w:val="single"/>
          <w:lang w:val="es-ES_tradnl"/>
        </w:rPr>
        <w:t xml:space="preserve">la </w:t>
      </w:r>
      <w:r w:rsidRPr="00944371">
        <w:rPr>
          <w:color w:val="000000"/>
          <w:szCs w:val="24"/>
          <w:u w:val="single"/>
          <w:lang w:val="es-ES_tradnl"/>
        </w:rPr>
        <w:t xml:space="preserve">serie </w:t>
      </w:r>
      <w:r w:rsidR="00464FB5" w:rsidRPr="00944371">
        <w:rPr>
          <w:color w:val="000000"/>
          <w:szCs w:val="24"/>
          <w:u w:val="single"/>
          <w:lang w:val="es-ES_tradnl"/>
        </w:rPr>
        <w:t>X.290 (except</w:t>
      </w:r>
      <w:r w:rsidRPr="00944371">
        <w:rPr>
          <w:color w:val="000000"/>
          <w:szCs w:val="24"/>
          <w:u w:val="single"/>
          <w:lang w:val="es-ES_tradnl"/>
        </w:rPr>
        <w:t>o</w:t>
      </w:r>
      <w:r w:rsidR="00464FB5" w:rsidRPr="00944371">
        <w:rPr>
          <w:color w:val="000000"/>
          <w:szCs w:val="24"/>
          <w:u w:val="single"/>
          <w:lang w:val="es-ES_tradnl"/>
        </w:rPr>
        <w:t xml:space="preserve"> X.292), X.Supl.4,</w:t>
      </w:r>
      <w:r w:rsidR="007B6A59" w:rsidRPr="00944371">
        <w:rPr>
          <w:color w:val="000000"/>
          <w:szCs w:val="24"/>
          <w:u w:val="single"/>
          <w:lang w:val="es-ES_tradnl"/>
        </w:rPr>
        <w:t xml:space="preserve"> </w:t>
      </w:r>
      <w:r w:rsidR="00464FB5" w:rsidRPr="00944371">
        <w:rPr>
          <w:color w:val="000000"/>
          <w:szCs w:val="24"/>
          <w:u w:val="single"/>
          <w:lang w:val="es-ES_tradnl"/>
        </w:rPr>
        <w:t xml:space="preserve">X.Supl.5 </w:t>
      </w:r>
      <w:r w:rsidRPr="00944371">
        <w:rPr>
          <w:color w:val="000000"/>
          <w:szCs w:val="24"/>
          <w:u w:val="single"/>
          <w:lang w:val="es-ES_tradnl"/>
        </w:rPr>
        <w:t xml:space="preserve">y </w:t>
      </w:r>
      <w:r w:rsidR="00464FB5" w:rsidRPr="00944371">
        <w:rPr>
          <w:color w:val="000000"/>
          <w:szCs w:val="24"/>
          <w:u w:val="single"/>
          <w:lang w:val="es-ES_tradnl"/>
        </w:rPr>
        <w:t>Z.500.</w:t>
      </w:r>
    </w:p>
    <w:p w:rsidR="00464FB5" w:rsidRPr="003A05CD" w:rsidRDefault="00464FB5" w:rsidP="006C10F0">
      <w:pPr>
        <w:keepNext/>
        <w:keepLines/>
        <w:tabs>
          <w:tab w:val="clear" w:pos="794"/>
          <w:tab w:val="clear" w:pos="1191"/>
          <w:tab w:val="clear" w:pos="1588"/>
          <w:tab w:val="clear" w:pos="1985"/>
        </w:tabs>
        <w:overflowPunct/>
        <w:autoSpaceDE/>
        <w:autoSpaceDN/>
        <w:adjustRightInd/>
        <w:spacing w:before="240"/>
        <w:textAlignment w:val="auto"/>
        <w:outlineLvl w:val="2"/>
        <w:rPr>
          <w:b/>
          <w:bCs/>
          <w:szCs w:val="24"/>
          <w:lang w:val="es-ES_tradnl"/>
        </w:rPr>
      </w:pPr>
      <w:r w:rsidRPr="003A05CD">
        <w:rPr>
          <w:b/>
          <w:bCs/>
          <w:szCs w:val="24"/>
          <w:lang w:val="es-ES_tradnl"/>
        </w:rPr>
        <w:t>2</w:t>
      </w:r>
      <w:r w:rsidRPr="003A05CD">
        <w:rPr>
          <w:b/>
          <w:bCs/>
          <w:szCs w:val="24"/>
          <w:lang w:val="es-ES_tradnl"/>
        </w:rPr>
        <w:tab/>
      </w:r>
      <w:r w:rsidR="00846087" w:rsidRPr="003A05CD">
        <w:rPr>
          <w:b/>
          <w:bCs/>
          <w:szCs w:val="24"/>
          <w:lang w:val="es-ES_tradnl"/>
        </w:rPr>
        <w:t>Cuestión</w:t>
      </w:r>
    </w:p>
    <w:p w:rsidR="00464FB5" w:rsidRPr="003A05CD" w:rsidRDefault="00846087" w:rsidP="006C10F0">
      <w:pPr>
        <w:tabs>
          <w:tab w:val="clear" w:pos="794"/>
          <w:tab w:val="clear" w:pos="1191"/>
          <w:tab w:val="clear" w:pos="1588"/>
          <w:tab w:val="clear" w:pos="1985"/>
        </w:tabs>
        <w:overflowPunct/>
        <w:autoSpaceDE/>
        <w:autoSpaceDN/>
        <w:adjustRightInd/>
        <w:textAlignment w:val="auto"/>
        <w:rPr>
          <w:szCs w:val="24"/>
          <w:lang w:val="es-ES_tradnl"/>
        </w:rPr>
      </w:pPr>
      <w:r w:rsidRPr="003A05CD">
        <w:rPr>
          <w:szCs w:val="24"/>
          <w:lang w:val="es-ES_tradnl"/>
        </w:rPr>
        <w:t>Los temas de estudio que deben examinarse son, entre otros, los siguientes</w:t>
      </w:r>
      <w:r w:rsidR="00464FB5" w:rsidRPr="003A05CD">
        <w:rPr>
          <w:szCs w:val="24"/>
          <w:lang w:val="es-ES_tradnl"/>
        </w:rPr>
        <w:t>:</w:t>
      </w:r>
    </w:p>
    <w:p w:rsidR="00464FB5" w:rsidRPr="00944371" w:rsidRDefault="00464FB5" w:rsidP="00196851">
      <w:pPr>
        <w:spacing w:before="80"/>
        <w:ind w:left="794" w:hanging="794"/>
        <w:rPr>
          <w:color w:val="000000"/>
          <w:szCs w:val="24"/>
          <w:u w:val="single"/>
          <w:lang w:val="es-ES_tradnl" w:eastAsia="de-DE"/>
        </w:rPr>
      </w:pPr>
      <w:r w:rsidRPr="00944371">
        <w:rPr>
          <w:color w:val="000000"/>
          <w:szCs w:val="24"/>
          <w:u w:val="single"/>
          <w:lang w:val="es-ES_tradnl"/>
        </w:rPr>
        <w:t>–</w:t>
      </w:r>
      <w:r w:rsidRPr="00944371">
        <w:rPr>
          <w:color w:val="000000"/>
          <w:szCs w:val="24"/>
          <w:u w:val="single"/>
          <w:lang w:val="es-ES_tradnl"/>
        </w:rPr>
        <w:tab/>
      </w:r>
      <w:r w:rsidR="00846087" w:rsidRPr="00944371">
        <w:rPr>
          <w:color w:val="000000"/>
          <w:szCs w:val="24"/>
          <w:u w:val="single"/>
          <w:lang w:val="es-ES_tradnl" w:eastAsia="de-DE"/>
        </w:rPr>
        <w:t xml:space="preserve">¿Qué extensiones o mejoras </w:t>
      </w:r>
      <w:r w:rsidR="00196851" w:rsidRPr="00944371">
        <w:rPr>
          <w:color w:val="000000"/>
          <w:szCs w:val="24"/>
          <w:u w:val="single"/>
          <w:lang w:val="es-ES_tradnl" w:eastAsia="de-DE"/>
        </w:rPr>
        <w:t>de</w:t>
      </w:r>
      <w:r w:rsidR="00846087" w:rsidRPr="00944371">
        <w:rPr>
          <w:color w:val="000000"/>
          <w:szCs w:val="24"/>
          <w:u w:val="single"/>
          <w:lang w:val="es-ES_tradnl" w:eastAsia="de-DE"/>
        </w:rPr>
        <w:t xml:space="preserve"> las Recomendaciones existentes son necesarias para conseguir </w:t>
      </w:r>
      <w:r w:rsidR="00196851" w:rsidRPr="00944371">
        <w:rPr>
          <w:color w:val="000000"/>
          <w:szCs w:val="24"/>
          <w:u w:val="single"/>
          <w:lang w:val="es-ES_tradnl" w:eastAsia="de-DE"/>
        </w:rPr>
        <w:t xml:space="preserve">la </w:t>
      </w:r>
      <w:r w:rsidR="00846087" w:rsidRPr="00944371">
        <w:rPr>
          <w:color w:val="000000"/>
          <w:szCs w:val="24"/>
          <w:u w:val="single"/>
          <w:lang w:val="es-ES_tradnl" w:eastAsia="de-DE"/>
        </w:rPr>
        <w:t>conformidad e interoperabilidad</w:t>
      </w:r>
      <w:r w:rsidRPr="00944371">
        <w:rPr>
          <w:color w:val="000000"/>
          <w:szCs w:val="24"/>
          <w:u w:val="single"/>
          <w:lang w:val="es-ES_tradnl" w:eastAsia="de-DE"/>
        </w:rPr>
        <w:t>?</w:t>
      </w:r>
    </w:p>
    <w:p w:rsidR="00464FB5" w:rsidRPr="00944371" w:rsidRDefault="00464FB5" w:rsidP="006C10F0">
      <w:pPr>
        <w:spacing w:before="80"/>
        <w:ind w:left="794" w:hanging="794"/>
        <w:rPr>
          <w:color w:val="000000"/>
          <w:szCs w:val="24"/>
          <w:u w:val="single"/>
          <w:lang w:val="es-ES_tradnl" w:eastAsia="de-DE"/>
        </w:rPr>
      </w:pPr>
      <w:r w:rsidRPr="00944371">
        <w:rPr>
          <w:rFonts w:eastAsia="Malgun Gothic"/>
          <w:color w:val="000000"/>
          <w:szCs w:val="24"/>
          <w:u w:val="single"/>
          <w:lang w:val="es-ES_tradnl" w:eastAsia="ko-KR"/>
        </w:rPr>
        <w:t>–</w:t>
      </w:r>
      <w:r w:rsidRPr="00944371">
        <w:rPr>
          <w:rFonts w:eastAsia="Malgun Gothic"/>
          <w:color w:val="000000"/>
          <w:szCs w:val="24"/>
          <w:u w:val="single"/>
          <w:lang w:val="es-ES_tradnl" w:eastAsia="ko-KR"/>
        </w:rPr>
        <w:tab/>
      </w:r>
      <w:r w:rsidR="00846087" w:rsidRPr="00944371">
        <w:rPr>
          <w:rFonts w:eastAsia="Malgun Gothic"/>
          <w:color w:val="000000"/>
          <w:szCs w:val="24"/>
          <w:u w:val="single"/>
          <w:lang w:val="es-ES_tradnl" w:eastAsia="ko-KR"/>
        </w:rPr>
        <w:t xml:space="preserve">¿Cuáles de las tecnologías que se están desarrollando para el mercado de </w:t>
      </w:r>
      <w:r w:rsidR="00196851" w:rsidRPr="00944371">
        <w:rPr>
          <w:rFonts w:eastAsia="Malgun Gothic"/>
          <w:color w:val="000000"/>
          <w:szCs w:val="24"/>
          <w:u w:val="single"/>
          <w:lang w:val="es-ES_tradnl" w:eastAsia="ko-KR"/>
        </w:rPr>
        <w:t xml:space="preserve">las </w:t>
      </w:r>
      <w:r w:rsidR="00846087" w:rsidRPr="00944371">
        <w:rPr>
          <w:rFonts w:eastAsia="Malgun Gothic"/>
          <w:color w:val="000000"/>
          <w:szCs w:val="24"/>
          <w:u w:val="single"/>
          <w:lang w:val="es-ES_tradnl" w:eastAsia="ko-KR"/>
        </w:rPr>
        <w:t xml:space="preserve">TIC necesitan pruebas de conformidad e interoperabilidad </w:t>
      </w:r>
      <w:r w:rsidRPr="00944371">
        <w:rPr>
          <w:color w:val="000000"/>
          <w:szCs w:val="24"/>
          <w:u w:val="single"/>
          <w:lang w:val="es-ES_tradnl" w:eastAsia="de-DE"/>
        </w:rPr>
        <w:t>(</w:t>
      </w:r>
      <w:r w:rsidR="00846087" w:rsidRPr="00944371">
        <w:rPr>
          <w:color w:val="000000"/>
          <w:szCs w:val="24"/>
          <w:u w:val="single"/>
          <w:lang w:val="es-ES_tradnl" w:eastAsia="de-DE"/>
        </w:rPr>
        <w:t>teniendo en cuenta las necesidades del mercado</w:t>
      </w:r>
      <w:r w:rsidRPr="00944371">
        <w:rPr>
          <w:color w:val="000000"/>
          <w:szCs w:val="24"/>
          <w:u w:val="single"/>
          <w:lang w:val="es-ES_tradnl" w:eastAsia="de-DE"/>
        </w:rPr>
        <w:t>)?</w:t>
      </w:r>
    </w:p>
    <w:p w:rsidR="00464FB5" w:rsidRPr="00944371" w:rsidRDefault="00464FB5" w:rsidP="006C10F0">
      <w:pPr>
        <w:spacing w:before="80"/>
        <w:ind w:left="794" w:hanging="794"/>
        <w:rPr>
          <w:rFonts w:eastAsia="Malgun Gothic"/>
          <w:color w:val="000000"/>
          <w:szCs w:val="24"/>
          <w:u w:val="single"/>
          <w:lang w:val="es-ES_tradnl" w:eastAsia="ko-KR"/>
        </w:rPr>
      </w:pPr>
      <w:r w:rsidRPr="00944371">
        <w:rPr>
          <w:rFonts w:eastAsia="Malgun Gothic"/>
          <w:color w:val="000000"/>
          <w:szCs w:val="24"/>
          <w:u w:val="single"/>
          <w:lang w:val="es-ES_tradnl" w:eastAsia="ko-KR"/>
        </w:rPr>
        <w:t>–</w:t>
      </w:r>
      <w:r w:rsidRPr="00944371">
        <w:rPr>
          <w:rFonts w:eastAsia="Malgun Gothic"/>
          <w:color w:val="000000"/>
          <w:szCs w:val="24"/>
          <w:u w:val="single"/>
          <w:lang w:val="es-ES_tradnl" w:eastAsia="ko-KR"/>
        </w:rPr>
        <w:tab/>
      </w:r>
      <w:r w:rsidR="00590FDE" w:rsidRPr="00944371">
        <w:rPr>
          <w:rFonts w:eastAsia="Malgun Gothic"/>
          <w:color w:val="000000"/>
          <w:szCs w:val="24"/>
          <w:u w:val="single"/>
          <w:lang w:val="es-ES_tradnl" w:eastAsia="ko-KR"/>
        </w:rPr>
        <w:t>¿</w:t>
      </w:r>
      <w:r w:rsidR="00256536" w:rsidRPr="00944371">
        <w:rPr>
          <w:rFonts w:eastAsia="Malgun Gothic"/>
          <w:color w:val="000000"/>
          <w:szCs w:val="24"/>
          <w:u w:val="single"/>
          <w:lang w:val="es-ES_tradnl" w:eastAsia="ko-KR"/>
        </w:rPr>
        <w:t>Cuáles son, de haberlos, los nuevo</w:t>
      </w:r>
      <w:r w:rsidR="00590FDE" w:rsidRPr="00944371">
        <w:rPr>
          <w:rFonts w:eastAsia="Malgun Gothic"/>
          <w:color w:val="000000"/>
          <w:szCs w:val="24"/>
          <w:u w:val="single"/>
          <w:lang w:val="es-ES_tradnl" w:eastAsia="ko-KR"/>
        </w:rPr>
        <w:t>s Suplementos</w:t>
      </w:r>
      <w:r w:rsidR="00256536" w:rsidRPr="00944371">
        <w:rPr>
          <w:rFonts w:eastAsia="Malgun Gothic"/>
          <w:color w:val="000000"/>
          <w:szCs w:val="24"/>
          <w:u w:val="single"/>
          <w:lang w:val="es-ES_tradnl" w:eastAsia="ko-KR"/>
        </w:rPr>
        <w:t>, Recomendaciones</w:t>
      </w:r>
      <w:r w:rsidR="00590FDE" w:rsidRPr="00944371">
        <w:rPr>
          <w:rFonts w:eastAsia="Malgun Gothic"/>
          <w:color w:val="000000"/>
          <w:szCs w:val="24"/>
          <w:u w:val="single"/>
          <w:lang w:val="es-ES_tradnl" w:eastAsia="ko-KR"/>
        </w:rPr>
        <w:t xml:space="preserve"> o disposiciones </w:t>
      </w:r>
      <w:r w:rsidR="00256536" w:rsidRPr="00944371">
        <w:rPr>
          <w:rFonts w:eastAsia="Malgun Gothic"/>
          <w:color w:val="000000"/>
          <w:szCs w:val="24"/>
          <w:u w:val="single"/>
          <w:lang w:val="es-ES_tradnl" w:eastAsia="ko-KR"/>
        </w:rPr>
        <w:t xml:space="preserve">necesarios </w:t>
      </w:r>
      <w:r w:rsidR="00590FDE" w:rsidRPr="00944371">
        <w:rPr>
          <w:rFonts w:eastAsia="Malgun Gothic"/>
          <w:color w:val="000000"/>
          <w:szCs w:val="24"/>
          <w:u w:val="single"/>
          <w:lang w:val="es-ES_tradnl" w:eastAsia="ko-KR"/>
        </w:rPr>
        <w:t xml:space="preserve">para definir o </w:t>
      </w:r>
      <w:r w:rsidR="00512FCB" w:rsidRPr="00944371">
        <w:rPr>
          <w:rFonts w:eastAsia="Malgun Gothic"/>
          <w:color w:val="000000"/>
          <w:szCs w:val="24"/>
          <w:u w:val="single"/>
          <w:lang w:val="es-ES_tradnl" w:eastAsia="ko-KR"/>
        </w:rPr>
        <w:t xml:space="preserve">revisar las definiciones de los marcos </w:t>
      </w:r>
      <w:r w:rsidR="00590FDE" w:rsidRPr="00944371">
        <w:rPr>
          <w:rFonts w:eastAsia="Malgun Gothic"/>
          <w:color w:val="000000"/>
          <w:szCs w:val="24"/>
          <w:u w:val="single"/>
          <w:lang w:val="es-ES_tradnl" w:eastAsia="ko-KR"/>
        </w:rPr>
        <w:t xml:space="preserve">y </w:t>
      </w:r>
      <w:r w:rsidR="00512FCB" w:rsidRPr="00944371">
        <w:rPr>
          <w:rFonts w:eastAsia="Malgun Gothic"/>
          <w:color w:val="000000"/>
          <w:szCs w:val="24"/>
          <w:u w:val="single"/>
          <w:lang w:val="es-ES_tradnl" w:eastAsia="ko-KR"/>
        </w:rPr>
        <w:t xml:space="preserve">metodologías </w:t>
      </w:r>
      <w:r w:rsidR="00590FDE" w:rsidRPr="00944371">
        <w:rPr>
          <w:rFonts w:eastAsia="Malgun Gothic"/>
          <w:color w:val="000000"/>
          <w:szCs w:val="24"/>
          <w:u w:val="single"/>
          <w:lang w:val="es-ES_tradnl" w:eastAsia="ko-KR"/>
        </w:rPr>
        <w:t>de prueba</w:t>
      </w:r>
      <w:r w:rsidR="00512FCB" w:rsidRPr="00944371">
        <w:rPr>
          <w:rFonts w:eastAsia="Malgun Gothic"/>
          <w:color w:val="000000"/>
          <w:szCs w:val="24"/>
          <w:u w:val="single"/>
          <w:lang w:val="es-ES_tradnl" w:eastAsia="ko-KR"/>
        </w:rPr>
        <w:t>s</w:t>
      </w:r>
      <w:r w:rsidRPr="00944371">
        <w:rPr>
          <w:color w:val="000000"/>
          <w:szCs w:val="24"/>
          <w:u w:val="single"/>
          <w:lang w:val="es-ES_tradnl" w:eastAsia="de-DE"/>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590FDE" w:rsidRPr="003A05CD">
        <w:rPr>
          <w:szCs w:val="24"/>
          <w:lang w:val="es-ES_tradnl"/>
        </w:rPr>
        <w:t>¿Qué tipos de protocolos necesitan una descripción de pruebas</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590FDE" w:rsidRPr="003A05CD">
        <w:rPr>
          <w:szCs w:val="24"/>
          <w:lang w:val="es-ES_tradnl"/>
        </w:rPr>
        <w:t>¿Cuáles son las especificaciones de pruebas para protocolos de señalización y datos</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590FDE" w:rsidRPr="003A05CD">
        <w:rPr>
          <w:szCs w:val="24"/>
          <w:lang w:val="es-ES_tradnl"/>
        </w:rPr>
        <w:t xml:space="preserve">¿Debería modernizarse la arquitectura de redes modelo </w:t>
      </w:r>
      <w:r w:rsidRPr="003A05CD">
        <w:rPr>
          <w:szCs w:val="24"/>
          <w:lang w:val="es-ES_tradnl"/>
        </w:rPr>
        <w:t xml:space="preserve">(Q.3900) </w:t>
      </w:r>
      <w:r w:rsidR="00590FDE" w:rsidRPr="003A05CD">
        <w:rPr>
          <w:szCs w:val="24"/>
          <w:lang w:val="es-ES_tradnl"/>
        </w:rPr>
        <w:t xml:space="preserve">para efectuar las pruebas de </w:t>
      </w:r>
      <w:r w:rsidRPr="003A05CD">
        <w:rPr>
          <w:szCs w:val="24"/>
          <w:lang w:val="es-ES_tradnl"/>
        </w:rPr>
        <w:t>DSN, VANET, HN</w:t>
      </w:r>
      <w:r w:rsidR="00590FDE" w:rsidRPr="003A05CD">
        <w:rPr>
          <w:szCs w:val="24"/>
          <w:lang w:val="es-ES_tradnl"/>
        </w:rPr>
        <w:t xml:space="preserve"> e</w:t>
      </w:r>
      <w:r w:rsidRPr="003A05CD">
        <w:rPr>
          <w:szCs w:val="24"/>
          <w:lang w:val="es-ES_tradnl"/>
        </w:rPr>
        <w:t xml:space="preserve"> IPv6 NUT?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F50049" w:rsidRPr="003A05CD">
        <w:rPr>
          <w:lang w:val="es-ES_tradnl"/>
        </w:rPr>
        <w:t xml:space="preserve">¿Cuáles son </w:t>
      </w:r>
      <w:r w:rsidR="00D548CA" w:rsidRPr="003A05CD">
        <w:rPr>
          <w:lang w:val="es-ES_tradnl"/>
        </w:rPr>
        <w:t xml:space="preserve">la lista y los tipos de pruebas </w:t>
      </w:r>
      <w:r w:rsidR="00F50049" w:rsidRPr="003A05CD">
        <w:rPr>
          <w:lang w:val="es-ES_tradnl"/>
        </w:rPr>
        <w:t>de pruebas DSN para NUT</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F50049" w:rsidRPr="003A05CD">
        <w:rPr>
          <w:lang w:val="es-ES_tradnl"/>
        </w:rPr>
        <w:t xml:space="preserve">¿Cuáles son </w:t>
      </w:r>
      <w:r w:rsidR="00D548CA" w:rsidRPr="003A05CD">
        <w:rPr>
          <w:lang w:val="es-ES_tradnl"/>
        </w:rPr>
        <w:t xml:space="preserve">la lista y los tipos de pruebas </w:t>
      </w:r>
      <w:r w:rsidR="00F50049" w:rsidRPr="003A05CD">
        <w:rPr>
          <w:lang w:val="es-ES_tradnl"/>
        </w:rPr>
        <w:t xml:space="preserve">de pruebas VANET para </w:t>
      </w:r>
      <w:r w:rsidRPr="003A05CD">
        <w:rPr>
          <w:szCs w:val="24"/>
          <w:lang w:val="es-ES_tradnl"/>
        </w:rPr>
        <w:t>NUT?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F50049" w:rsidRPr="003A05CD">
        <w:rPr>
          <w:lang w:val="es-ES_tradnl"/>
        </w:rPr>
        <w:t xml:space="preserve">¿Cuáles son </w:t>
      </w:r>
      <w:r w:rsidR="00D548CA" w:rsidRPr="003A05CD">
        <w:rPr>
          <w:lang w:val="es-ES_tradnl"/>
        </w:rPr>
        <w:t xml:space="preserve">la lista y los tipos de pruebas </w:t>
      </w:r>
      <w:r w:rsidR="00F50049" w:rsidRPr="003A05CD">
        <w:rPr>
          <w:lang w:val="es-ES_tradnl"/>
        </w:rPr>
        <w:t>HN para NUT</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F50049" w:rsidRPr="003A05CD">
        <w:rPr>
          <w:lang w:val="es-ES_tradnl"/>
        </w:rPr>
        <w:t xml:space="preserve">¿Cuáles son </w:t>
      </w:r>
      <w:r w:rsidR="00D548CA" w:rsidRPr="003A05CD">
        <w:rPr>
          <w:lang w:val="es-ES_tradnl"/>
        </w:rPr>
        <w:t xml:space="preserve">la lista y los tipos </w:t>
      </w:r>
      <w:r w:rsidR="00F50049" w:rsidRPr="003A05CD">
        <w:rPr>
          <w:lang w:val="es-ES_tradnl"/>
        </w:rPr>
        <w:t>de pruebas IPv6 para NUT</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3B3282" w:rsidRPr="003A05CD">
        <w:rPr>
          <w:szCs w:val="24"/>
          <w:lang w:val="es-ES_tradnl"/>
        </w:rPr>
        <w:t>¿Cuáles son las modalidades de prueba</w:t>
      </w:r>
      <w:r w:rsidR="00512FCB" w:rsidRPr="003A05CD">
        <w:rPr>
          <w:szCs w:val="24"/>
          <w:lang w:val="es-ES_tradnl"/>
        </w:rPr>
        <w:t>s</w:t>
      </w:r>
      <w:r w:rsidR="003B3282" w:rsidRPr="003A05CD">
        <w:rPr>
          <w:szCs w:val="24"/>
          <w:lang w:val="es-ES_tradnl"/>
        </w:rPr>
        <w:t xml:space="preserve"> </w:t>
      </w:r>
      <w:r w:rsidRPr="003A05CD">
        <w:rPr>
          <w:szCs w:val="24"/>
          <w:lang w:val="es-ES_tradnl"/>
        </w:rPr>
        <w:t xml:space="preserve">NUT </w:t>
      </w:r>
      <w:r w:rsidR="003B3282" w:rsidRPr="003A05CD">
        <w:rPr>
          <w:szCs w:val="24"/>
          <w:lang w:val="es-ES_tradnl"/>
        </w:rPr>
        <w:t xml:space="preserve">para </w:t>
      </w:r>
      <w:r w:rsidRPr="003A05CD">
        <w:rPr>
          <w:szCs w:val="24"/>
          <w:lang w:val="es-ES_tradnl"/>
        </w:rPr>
        <w:t>DSN?</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3B3282" w:rsidRPr="003A05CD">
        <w:rPr>
          <w:szCs w:val="24"/>
          <w:lang w:val="es-ES_tradnl"/>
        </w:rPr>
        <w:t>¿Cuáles son las modalidades de prueba</w:t>
      </w:r>
      <w:r w:rsidR="00512FCB" w:rsidRPr="003A05CD">
        <w:rPr>
          <w:szCs w:val="24"/>
          <w:lang w:val="es-ES_tradnl"/>
        </w:rPr>
        <w:t>s</w:t>
      </w:r>
      <w:r w:rsidR="003B3282" w:rsidRPr="003A05CD">
        <w:rPr>
          <w:szCs w:val="24"/>
          <w:lang w:val="es-ES_tradnl"/>
        </w:rPr>
        <w:t xml:space="preserve"> NUT para </w:t>
      </w:r>
      <w:r w:rsidRPr="003A05CD">
        <w:rPr>
          <w:szCs w:val="24"/>
          <w:lang w:val="es-ES_tradnl"/>
        </w:rPr>
        <w:t>VANET?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3B3282" w:rsidRPr="003A05CD">
        <w:rPr>
          <w:szCs w:val="24"/>
          <w:lang w:val="es-ES_tradnl"/>
        </w:rPr>
        <w:t>¿Cuáles son las modalidades de prueba</w:t>
      </w:r>
      <w:r w:rsidR="00512FCB" w:rsidRPr="003A05CD">
        <w:rPr>
          <w:szCs w:val="24"/>
          <w:lang w:val="es-ES_tradnl"/>
        </w:rPr>
        <w:t>s</w:t>
      </w:r>
      <w:r w:rsidR="003B3282" w:rsidRPr="003A05CD">
        <w:rPr>
          <w:szCs w:val="24"/>
          <w:lang w:val="es-ES_tradnl"/>
        </w:rPr>
        <w:t xml:space="preserve"> NUT para </w:t>
      </w:r>
      <w:r w:rsidRPr="003A05CD">
        <w:rPr>
          <w:szCs w:val="24"/>
          <w:lang w:val="es-ES_tradnl"/>
        </w:rPr>
        <w:t>HN?</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3B3282" w:rsidRPr="003A05CD">
        <w:rPr>
          <w:szCs w:val="24"/>
          <w:lang w:val="es-ES_tradnl"/>
        </w:rPr>
        <w:t>¿Cuáles son las modalidades de prueba</w:t>
      </w:r>
      <w:r w:rsidR="00512FCB" w:rsidRPr="003A05CD">
        <w:rPr>
          <w:szCs w:val="24"/>
          <w:lang w:val="es-ES_tradnl"/>
        </w:rPr>
        <w:t>s</w:t>
      </w:r>
      <w:r w:rsidR="003B3282" w:rsidRPr="003A05CD">
        <w:rPr>
          <w:szCs w:val="24"/>
          <w:lang w:val="es-ES_tradnl"/>
        </w:rPr>
        <w:t xml:space="preserve"> NUT para </w:t>
      </w:r>
      <w:r w:rsidRPr="003A05CD">
        <w:rPr>
          <w:szCs w:val="24"/>
          <w:lang w:val="es-ES_tradnl"/>
        </w:rPr>
        <w:t>IPv6?</w:t>
      </w:r>
    </w:p>
    <w:p w:rsidR="00464FB5" w:rsidRPr="003A05CD" w:rsidRDefault="00464FB5" w:rsidP="006C10F0">
      <w:pPr>
        <w:ind w:left="794" w:hanging="794"/>
        <w:rPr>
          <w:szCs w:val="24"/>
          <w:lang w:val="es-ES_tradnl"/>
        </w:rPr>
      </w:pPr>
      <w:r w:rsidRPr="003A05CD">
        <w:rPr>
          <w:szCs w:val="24"/>
          <w:lang w:val="es-ES_tradnl"/>
        </w:rPr>
        <w:lastRenderedPageBreak/>
        <w:t>–</w:t>
      </w:r>
      <w:r w:rsidRPr="003A05CD">
        <w:rPr>
          <w:szCs w:val="24"/>
          <w:lang w:val="es-ES_tradnl"/>
        </w:rPr>
        <w:tab/>
      </w:r>
      <w:r w:rsidR="003B3282" w:rsidRPr="003A05CD">
        <w:rPr>
          <w:lang w:val="es-ES_tradnl"/>
        </w:rPr>
        <w:t xml:space="preserve">¿Cuáles son los procedimientos </w:t>
      </w:r>
      <w:r w:rsidR="00D548CA" w:rsidRPr="003A05CD">
        <w:rPr>
          <w:lang w:val="es-ES_tradnl"/>
        </w:rPr>
        <w:t xml:space="preserve">generales </w:t>
      </w:r>
      <w:r w:rsidR="003B3282" w:rsidRPr="003A05CD">
        <w:rPr>
          <w:lang w:val="es-ES_tradnl"/>
        </w:rPr>
        <w:t>de prueba para pruebas de conformidad</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3B3282" w:rsidRPr="003A05CD">
        <w:rPr>
          <w:lang w:val="es-ES_tradnl"/>
        </w:rPr>
        <w:t>¿</w:t>
      </w:r>
      <w:r w:rsidR="00447F2B" w:rsidRPr="003A05CD">
        <w:rPr>
          <w:lang w:val="es-ES_tradnl"/>
        </w:rPr>
        <w:t>Qué</w:t>
      </w:r>
      <w:r w:rsidR="003B3282" w:rsidRPr="003A05CD">
        <w:rPr>
          <w:lang w:val="es-ES_tradnl"/>
        </w:rPr>
        <w:t xml:space="preserve"> Recomendaciones existentes incluyen series de pruebas</w:t>
      </w:r>
      <w:r w:rsidRPr="003A05CD">
        <w:rPr>
          <w:szCs w:val="24"/>
          <w:lang w:val="es-ES_tradnl"/>
        </w:rPr>
        <w:t>?</w:t>
      </w:r>
    </w:p>
    <w:p w:rsidR="00464FB5" w:rsidRPr="003A05CD" w:rsidRDefault="00464FB5" w:rsidP="00196851">
      <w:pPr>
        <w:keepNext/>
        <w:keepLines/>
        <w:tabs>
          <w:tab w:val="clear" w:pos="794"/>
          <w:tab w:val="clear" w:pos="1191"/>
          <w:tab w:val="clear" w:pos="1588"/>
          <w:tab w:val="clear" w:pos="1985"/>
        </w:tabs>
        <w:overflowPunct/>
        <w:autoSpaceDE/>
        <w:autoSpaceDN/>
        <w:adjustRightInd/>
        <w:spacing w:before="240"/>
        <w:textAlignment w:val="auto"/>
        <w:outlineLvl w:val="2"/>
        <w:rPr>
          <w:b/>
          <w:bCs/>
          <w:szCs w:val="24"/>
          <w:lang w:val="es-ES_tradnl"/>
        </w:rPr>
      </w:pPr>
      <w:r w:rsidRPr="003A05CD">
        <w:rPr>
          <w:b/>
          <w:bCs/>
          <w:szCs w:val="24"/>
          <w:lang w:val="es-ES_tradnl"/>
        </w:rPr>
        <w:t>3</w:t>
      </w:r>
      <w:r w:rsidRPr="003A05CD">
        <w:rPr>
          <w:b/>
          <w:bCs/>
          <w:szCs w:val="24"/>
          <w:lang w:val="es-ES_tradnl"/>
        </w:rPr>
        <w:tab/>
      </w:r>
      <w:r w:rsidR="00512FCB" w:rsidRPr="003A05CD">
        <w:rPr>
          <w:b/>
          <w:bCs/>
          <w:szCs w:val="24"/>
          <w:lang w:val="es-ES_tradnl"/>
        </w:rPr>
        <w:t>Tareas</w:t>
      </w:r>
    </w:p>
    <w:p w:rsidR="00464FB5" w:rsidRPr="003A05CD" w:rsidRDefault="003B3282" w:rsidP="00196851">
      <w:pPr>
        <w:keepNext/>
        <w:keepLines/>
        <w:tabs>
          <w:tab w:val="clear" w:pos="794"/>
          <w:tab w:val="clear" w:pos="1191"/>
          <w:tab w:val="clear" w:pos="1588"/>
          <w:tab w:val="clear" w:pos="1985"/>
        </w:tabs>
        <w:overflowPunct/>
        <w:autoSpaceDE/>
        <w:autoSpaceDN/>
        <w:adjustRightInd/>
        <w:textAlignment w:val="auto"/>
        <w:rPr>
          <w:szCs w:val="24"/>
          <w:lang w:val="es-ES_tradnl"/>
        </w:rPr>
      </w:pPr>
      <w:r w:rsidRPr="003A05CD">
        <w:rPr>
          <w:szCs w:val="24"/>
          <w:lang w:val="es-ES_tradnl"/>
        </w:rPr>
        <w:t>Las tareas son, entre otras</w:t>
      </w:r>
      <w:r w:rsidR="00464FB5" w:rsidRPr="003A05CD">
        <w:rPr>
          <w:szCs w:val="24"/>
          <w:lang w:val="es-ES_tradnl"/>
        </w:rPr>
        <w:t>:</w:t>
      </w:r>
    </w:p>
    <w:p w:rsidR="00464FB5" w:rsidRPr="00944371" w:rsidRDefault="00464FB5" w:rsidP="00196851">
      <w:pPr>
        <w:spacing w:before="80"/>
        <w:ind w:left="794" w:hanging="794"/>
        <w:rPr>
          <w:color w:val="000000"/>
          <w:szCs w:val="24"/>
          <w:u w:val="single"/>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E</w:t>
      </w:r>
      <w:r w:rsidR="003B3282" w:rsidRPr="00944371">
        <w:rPr>
          <w:color w:val="000000"/>
          <w:szCs w:val="24"/>
          <w:u w:val="single"/>
          <w:lang w:val="es-ES_tradnl"/>
        </w:rPr>
        <w:t xml:space="preserve">laborar marcos </w:t>
      </w:r>
      <w:r w:rsidR="00512FCB" w:rsidRPr="00944371">
        <w:rPr>
          <w:color w:val="000000"/>
          <w:szCs w:val="24"/>
          <w:u w:val="single"/>
          <w:lang w:val="es-ES_tradnl"/>
        </w:rPr>
        <w:t xml:space="preserve">y metodologías </w:t>
      </w:r>
      <w:r w:rsidR="003B3282" w:rsidRPr="00944371">
        <w:rPr>
          <w:color w:val="000000"/>
          <w:szCs w:val="24"/>
          <w:u w:val="single"/>
          <w:lang w:val="es-ES_tradnl"/>
        </w:rPr>
        <w:t xml:space="preserve">de </w:t>
      </w:r>
      <w:r w:rsidR="00512FCB" w:rsidRPr="00944371">
        <w:rPr>
          <w:color w:val="000000"/>
          <w:szCs w:val="24"/>
          <w:u w:val="single"/>
          <w:lang w:val="es-ES_tradnl"/>
        </w:rPr>
        <w:t>pruebas</w:t>
      </w:r>
      <w:r w:rsidR="003B3282" w:rsidRPr="00944371">
        <w:rPr>
          <w:color w:val="000000"/>
          <w:szCs w:val="24"/>
          <w:u w:val="single"/>
          <w:lang w:val="es-ES_tradnl"/>
        </w:rPr>
        <w:t xml:space="preserve"> de interoperabilidad para uso </w:t>
      </w:r>
      <w:r w:rsidRPr="00944371">
        <w:rPr>
          <w:color w:val="000000"/>
          <w:szCs w:val="24"/>
          <w:u w:val="single"/>
          <w:lang w:val="es-ES_tradnl"/>
        </w:rPr>
        <w:t xml:space="preserve">general, </w:t>
      </w:r>
      <w:r w:rsidR="003B3282" w:rsidRPr="00944371">
        <w:rPr>
          <w:color w:val="000000"/>
          <w:szCs w:val="24"/>
          <w:u w:val="single"/>
          <w:lang w:val="es-ES_tradnl"/>
        </w:rPr>
        <w:t>teniendo en cu</w:t>
      </w:r>
      <w:r w:rsidR="007B5A22" w:rsidRPr="00944371">
        <w:rPr>
          <w:color w:val="000000"/>
          <w:szCs w:val="24"/>
          <w:u w:val="single"/>
          <w:lang w:val="es-ES_tradnl"/>
        </w:rPr>
        <w:t>e</w:t>
      </w:r>
      <w:r w:rsidR="003B3282" w:rsidRPr="00944371">
        <w:rPr>
          <w:color w:val="000000"/>
          <w:szCs w:val="24"/>
          <w:u w:val="single"/>
          <w:lang w:val="es-ES_tradnl"/>
        </w:rPr>
        <w:t xml:space="preserve">nta las pruebas realizadas </w:t>
      </w:r>
      <w:r w:rsidR="00196851" w:rsidRPr="00944371">
        <w:rPr>
          <w:color w:val="000000"/>
          <w:szCs w:val="24"/>
          <w:u w:val="single"/>
          <w:lang w:val="es-ES_tradnl"/>
        </w:rPr>
        <w:t>de</w:t>
      </w:r>
      <w:r w:rsidR="003B3282" w:rsidRPr="00944371">
        <w:rPr>
          <w:color w:val="000000"/>
          <w:szCs w:val="24"/>
          <w:u w:val="single"/>
          <w:lang w:val="es-ES_tradnl"/>
        </w:rPr>
        <w:t xml:space="preserve"> redes existentes y emergentes </w:t>
      </w:r>
      <w:r w:rsidRPr="00944371">
        <w:rPr>
          <w:color w:val="000000"/>
          <w:szCs w:val="24"/>
          <w:u w:val="single"/>
          <w:lang w:val="es-ES_tradnl"/>
        </w:rPr>
        <w:t>(</w:t>
      </w:r>
      <w:r w:rsidR="003B3282" w:rsidRPr="00944371">
        <w:rPr>
          <w:color w:val="000000"/>
          <w:szCs w:val="24"/>
          <w:u w:val="single"/>
          <w:lang w:val="es-ES_tradnl"/>
        </w:rPr>
        <w:t>por ejemplo,</w:t>
      </w:r>
      <w:r w:rsidR="007B6A59" w:rsidRPr="00944371">
        <w:rPr>
          <w:color w:val="000000"/>
          <w:szCs w:val="24"/>
          <w:u w:val="single"/>
          <w:lang w:val="es-ES_tradnl"/>
        </w:rPr>
        <w:t xml:space="preserve"> </w:t>
      </w:r>
      <w:r w:rsidRPr="00944371">
        <w:rPr>
          <w:color w:val="000000"/>
          <w:szCs w:val="24"/>
          <w:u w:val="single"/>
          <w:lang w:val="es-ES_tradnl"/>
        </w:rPr>
        <w:t>NGN</w:t>
      </w:r>
      <w:r w:rsidR="003B3282" w:rsidRPr="00944371">
        <w:rPr>
          <w:color w:val="000000"/>
          <w:szCs w:val="24"/>
          <w:u w:val="single"/>
          <w:lang w:val="es-ES_tradnl"/>
        </w:rPr>
        <w:t xml:space="preserve"> o FN</w:t>
      </w:r>
      <w:r w:rsidRPr="00944371">
        <w:rPr>
          <w:color w:val="000000"/>
          <w:szCs w:val="24"/>
          <w:u w:val="single"/>
          <w:lang w:val="es-ES_tradnl"/>
        </w:rPr>
        <w:t xml:space="preserve">) </w:t>
      </w:r>
      <w:r w:rsidR="003B3282" w:rsidRPr="00944371">
        <w:rPr>
          <w:color w:val="000000"/>
          <w:szCs w:val="24"/>
          <w:u w:val="single"/>
          <w:lang w:val="es-ES_tradnl"/>
        </w:rPr>
        <w:t>así como componentes</w:t>
      </w:r>
      <w:r w:rsidR="00430756" w:rsidRPr="00944371">
        <w:rPr>
          <w:color w:val="000000"/>
          <w:szCs w:val="24"/>
          <w:u w:val="single"/>
          <w:lang w:val="es-ES_tradnl"/>
        </w:rPr>
        <w:t xml:space="preserve"> informáticos comerciales</w:t>
      </w:r>
      <w:r w:rsidRPr="00944371">
        <w:rPr>
          <w:color w:val="000000"/>
          <w:szCs w:val="24"/>
          <w:u w:val="single"/>
          <w:lang w:val="es-ES_tradnl"/>
        </w:rPr>
        <w:t>;</w:t>
      </w:r>
    </w:p>
    <w:p w:rsidR="00464FB5" w:rsidRPr="00944371" w:rsidRDefault="00464FB5" w:rsidP="006C10F0">
      <w:pPr>
        <w:spacing w:before="80"/>
        <w:ind w:left="794" w:hanging="794"/>
        <w:rPr>
          <w:color w:val="000000"/>
          <w:szCs w:val="24"/>
          <w:u w:val="single"/>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C</w:t>
      </w:r>
      <w:r w:rsidR="00430756" w:rsidRPr="00944371">
        <w:rPr>
          <w:color w:val="000000"/>
          <w:szCs w:val="24"/>
          <w:u w:val="single"/>
          <w:lang w:val="es-ES_tradnl"/>
        </w:rPr>
        <w:t xml:space="preserve">oordinar las actividades de pruebas de conformidad e interoperabilidad con </w:t>
      </w:r>
      <w:r w:rsidR="00196851" w:rsidRPr="00944371">
        <w:rPr>
          <w:color w:val="000000"/>
          <w:szCs w:val="24"/>
          <w:u w:val="single"/>
          <w:lang w:val="es-ES_tradnl"/>
        </w:rPr>
        <w:t xml:space="preserve">todas </w:t>
      </w:r>
      <w:r w:rsidR="00430756" w:rsidRPr="00944371">
        <w:rPr>
          <w:color w:val="000000"/>
          <w:szCs w:val="24"/>
          <w:u w:val="single"/>
          <w:lang w:val="es-ES_tradnl"/>
        </w:rPr>
        <w:t>las demás Comisiones de Estudio del UIT</w:t>
      </w:r>
      <w:r w:rsidRPr="00944371">
        <w:rPr>
          <w:color w:val="000000"/>
          <w:szCs w:val="24"/>
          <w:u w:val="single"/>
          <w:lang w:val="es-ES_tradnl"/>
        </w:rPr>
        <w:t xml:space="preserve">-T </w:t>
      </w:r>
      <w:r w:rsidR="00430756" w:rsidRPr="00944371">
        <w:rPr>
          <w:color w:val="000000"/>
          <w:szCs w:val="24"/>
          <w:u w:val="single"/>
          <w:lang w:val="es-ES_tradnl"/>
        </w:rPr>
        <w:t xml:space="preserve">y la </w:t>
      </w:r>
      <w:r w:rsidRPr="00944371">
        <w:rPr>
          <w:color w:val="000000"/>
          <w:szCs w:val="24"/>
          <w:u w:val="single"/>
          <w:lang w:val="es-ES_tradnl"/>
        </w:rPr>
        <w:t>JCA-CIT;</w:t>
      </w:r>
    </w:p>
    <w:p w:rsidR="00464FB5" w:rsidRPr="00944371" w:rsidRDefault="00464FB5" w:rsidP="006C10F0">
      <w:pPr>
        <w:spacing w:before="80"/>
        <w:ind w:left="794" w:hanging="794"/>
        <w:rPr>
          <w:color w:val="000000"/>
          <w:szCs w:val="24"/>
          <w:u w:val="single"/>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A</w:t>
      </w:r>
      <w:r w:rsidR="00430756" w:rsidRPr="00944371">
        <w:rPr>
          <w:color w:val="000000"/>
          <w:szCs w:val="24"/>
          <w:u w:val="single"/>
          <w:lang w:val="es-ES_tradnl"/>
        </w:rPr>
        <w:t>yudar a los redactores de Recomendaciones de las demás Comisiones de Estudio a aplicar la metodología de pruebas de conformidad e interoperabilidad a sus necesidades específicas</w:t>
      </w:r>
      <w:r w:rsidRPr="00944371">
        <w:rPr>
          <w:color w:val="000000"/>
          <w:szCs w:val="24"/>
          <w:u w:val="single"/>
          <w:lang w:val="es-ES_tradnl"/>
        </w:rPr>
        <w:t>;</w:t>
      </w:r>
    </w:p>
    <w:p w:rsidR="00464FB5" w:rsidRPr="00944371" w:rsidRDefault="00464FB5" w:rsidP="00196851">
      <w:pPr>
        <w:spacing w:before="80"/>
        <w:ind w:left="794" w:hanging="794"/>
        <w:rPr>
          <w:color w:val="000000"/>
          <w:szCs w:val="24"/>
          <w:u w:val="single"/>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E</w:t>
      </w:r>
      <w:r w:rsidR="00E437CC" w:rsidRPr="00944371">
        <w:rPr>
          <w:color w:val="000000"/>
          <w:szCs w:val="24"/>
          <w:u w:val="single"/>
          <w:lang w:val="es-ES_tradnl"/>
        </w:rPr>
        <w:t xml:space="preserve">laborar y actualizar una lista </w:t>
      </w:r>
      <w:r w:rsidR="00196851" w:rsidRPr="00944371">
        <w:rPr>
          <w:color w:val="000000"/>
          <w:szCs w:val="24"/>
          <w:u w:val="single"/>
          <w:lang w:val="es-ES_tradnl"/>
        </w:rPr>
        <w:t>evolutiva</w:t>
      </w:r>
      <w:r w:rsidR="00E437CC" w:rsidRPr="00944371">
        <w:rPr>
          <w:color w:val="000000"/>
          <w:szCs w:val="24"/>
          <w:u w:val="single"/>
          <w:lang w:val="es-ES_tradnl"/>
        </w:rPr>
        <w:t xml:space="preserve"> de </w:t>
      </w:r>
      <w:r w:rsidR="00196851" w:rsidRPr="00944371">
        <w:rPr>
          <w:color w:val="000000"/>
          <w:szCs w:val="24"/>
          <w:u w:val="single"/>
          <w:lang w:val="es-ES_tradnl"/>
        </w:rPr>
        <w:t xml:space="preserve">las </w:t>
      </w:r>
      <w:r w:rsidR="00E437CC" w:rsidRPr="00944371">
        <w:rPr>
          <w:color w:val="000000"/>
          <w:szCs w:val="24"/>
          <w:u w:val="single"/>
          <w:lang w:val="es-ES_tradnl"/>
        </w:rPr>
        <w:t>tecnologías que deb</w:t>
      </w:r>
      <w:r w:rsidR="00196851" w:rsidRPr="00944371">
        <w:rPr>
          <w:color w:val="000000"/>
          <w:szCs w:val="24"/>
          <w:u w:val="single"/>
          <w:lang w:val="es-ES_tradnl"/>
        </w:rPr>
        <w:t>a</w:t>
      </w:r>
      <w:r w:rsidR="00E437CC" w:rsidRPr="00944371">
        <w:rPr>
          <w:color w:val="000000"/>
          <w:szCs w:val="24"/>
          <w:u w:val="single"/>
          <w:lang w:val="es-ES_tradnl"/>
        </w:rPr>
        <w:t>n ser sometidas a pruebas de conformidad e interoperabilidad</w:t>
      </w:r>
      <w:r w:rsidRPr="00944371">
        <w:rPr>
          <w:color w:val="000000"/>
          <w:szCs w:val="24"/>
          <w:u w:val="single"/>
          <w:lang w:val="es-ES_tradnl"/>
        </w:rPr>
        <w:t>;</w:t>
      </w:r>
    </w:p>
    <w:p w:rsidR="00464FB5" w:rsidRPr="00944371" w:rsidRDefault="00464FB5" w:rsidP="006C10F0">
      <w:pPr>
        <w:spacing w:before="80"/>
        <w:ind w:left="794" w:hanging="794"/>
        <w:rPr>
          <w:color w:val="000000"/>
          <w:szCs w:val="24"/>
          <w:u w:val="single"/>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P</w:t>
      </w:r>
      <w:r w:rsidR="00776A36" w:rsidRPr="00944371">
        <w:rPr>
          <w:color w:val="000000"/>
          <w:szCs w:val="24"/>
          <w:u w:val="single"/>
          <w:lang w:val="es-ES_tradnl"/>
        </w:rPr>
        <w:t>reparar material didáctico sobre marcos y metodologías de pruebas de conformidad e interoperabilidad</w:t>
      </w:r>
      <w:r w:rsidRPr="00944371">
        <w:rPr>
          <w:color w:val="000000"/>
          <w:szCs w:val="24"/>
          <w:u w:val="single"/>
          <w:lang w:val="es-ES_tradnl"/>
        </w:rPr>
        <w:t>;</w:t>
      </w:r>
    </w:p>
    <w:p w:rsidR="00464FB5" w:rsidRPr="003A05CD" w:rsidRDefault="00464FB5" w:rsidP="006C10F0">
      <w:pPr>
        <w:spacing w:before="80"/>
        <w:ind w:left="794" w:hanging="794"/>
        <w:rPr>
          <w:color w:val="000000"/>
          <w:szCs w:val="24"/>
          <w:lang w:val="es-ES_tradnl"/>
        </w:rPr>
      </w:pPr>
      <w:r w:rsidRPr="00944371">
        <w:rPr>
          <w:color w:val="000000"/>
          <w:szCs w:val="24"/>
          <w:u w:val="single"/>
          <w:lang w:val="es-ES_tradnl"/>
        </w:rPr>
        <w:t>–</w:t>
      </w:r>
      <w:r w:rsidRPr="00944371">
        <w:rPr>
          <w:color w:val="000000"/>
          <w:szCs w:val="24"/>
          <w:u w:val="single"/>
          <w:lang w:val="es-ES_tradnl"/>
        </w:rPr>
        <w:tab/>
      </w:r>
      <w:r w:rsidR="007B5A22" w:rsidRPr="00944371">
        <w:rPr>
          <w:color w:val="000000"/>
          <w:szCs w:val="24"/>
          <w:u w:val="single"/>
          <w:lang w:val="es-ES_tradnl"/>
        </w:rPr>
        <w:t>I</w:t>
      </w:r>
      <w:r w:rsidR="00612676" w:rsidRPr="00944371">
        <w:rPr>
          <w:color w:val="000000"/>
          <w:szCs w:val="24"/>
          <w:u w:val="single"/>
          <w:lang w:val="es-ES_tradnl"/>
        </w:rPr>
        <w:t xml:space="preserve">dentificar caso por caso la mejor forma </w:t>
      </w:r>
      <w:r w:rsidRPr="00944371">
        <w:rPr>
          <w:color w:val="000000"/>
          <w:szCs w:val="24"/>
          <w:u w:val="single"/>
          <w:lang w:val="es-ES_tradnl"/>
        </w:rPr>
        <w:t>(</w:t>
      </w:r>
      <w:r w:rsidR="00612676" w:rsidRPr="00944371">
        <w:rPr>
          <w:color w:val="000000"/>
          <w:szCs w:val="24"/>
          <w:u w:val="single"/>
          <w:lang w:val="es-ES_tradnl"/>
        </w:rPr>
        <w:t xml:space="preserve">por ejemplo, utilizando lenguaje </w:t>
      </w:r>
      <w:r w:rsidRPr="00944371">
        <w:rPr>
          <w:color w:val="000000"/>
          <w:szCs w:val="24"/>
          <w:u w:val="single"/>
          <w:lang w:val="es-ES_tradnl"/>
        </w:rPr>
        <w:t xml:space="preserve">TTCN-3) </w:t>
      </w:r>
      <w:r w:rsidR="00612676" w:rsidRPr="00944371">
        <w:rPr>
          <w:color w:val="000000"/>
          <w:szCs w:val="24"/>
          <w:u w:val="single"/>
          <w:lang w:val="es-ES_tradnl"/>
        </w:rPr>
        <w:t xml:space="preserve">de </w:t>
      </w:r>
      <w:r w:rsidR="007B5A22" w:rsidRPr="00944371">
        <w:rPr>
          <w:color w:val="000000"/>
          <w:szCs w:val="24"/>
          <w:u w:val="single"/>
          <w:lang w:val="es-ES_tradnl"/>
        </w:rPr>
        <w:t>elaborar</w:t>
      </w:r>
      <w:r w:rsidR="00612676" w:rsidRPr="00944371">
        <w:rPr>
          <w:color w:val="000000"/>
          <w:szCs w:val="24"/>
          <w:u w:val="single"/>
          <w:lang w:val="es-ES_tradnl"/>
        </w:rPr>
        <w:t xml:space="preserve"> especificaciones de prueba</w:t>
      </w:r>
      <w:r w:rsidR="00512FCB" w:rsidRPr="00944371">
        <w:rPr>
          <w:color w:val="000000"/>
          <w:szCs w:val="24"/>
          <w:u w:val="single"/>
          <w:lang w:val="es-ES_tradnl"/>
        </w:rPr>
        <w:t>s</w:t>
      </w:r>
      <w:r w:rsidR="00612676" w:rsidRPr="00944371">
        <w:rPr>
          <w:color w:val="000000"/>
          <w:szCs w:val="24"/>
          <w:u w:val="single"/>
          <w:lang w:val="es-ES_tradnl"/>
        </w:rPr>
        <w:t xml:space="preserve"> para Recomendaciones del UIT-T existentes</w:t>
      </w:r>
      <w:r w:rsidRPr="00944371">
        <w:rPr>
          <w:color w:val="000000"/>
          <w:szCs w:val="24"/>
          <w:u w:val="single"/>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A</w:t>
      </w:r>
      <w:r w:rsidR="00C6268C" w:rsidRPr="003A05CD">
        <w:rPr>
          <w:lang w:val="es-ES_tradnl"/>
        </w:rPr>
        <w:t xml:space="preserve">nalizar cómo se puede utilizar la arquitectura de red modelo, conforme </w:t>
      </w:r>
      <w:r w:rsidR="007B5A22" w:rsidRPr="003A05CD">
        <w:rPr>
          <w:lang w:val="es-ES_tradnl"/>
        </w:rPr>
        <w:t>a</w:t>
      </w:r>
      <w:r w:rsidR="00C6268C" w:rsidRPr="003A05CD">
        <w:rPr>
          <w:lang w:val="es-ES_tradnl"/>
        </w:rPr>
        <w:t xml:space="preserve"> Q.3900, para realizar las pruebas de DSN, VANET, HN, IPv6 y diversos protocolos de telecomunicaciones</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I</w:t>
      </w:r>
      <w:r w:rsidR="00C6268C" w:rsidRPr="003A05CD">
        <w:rPr>
          <w:lang w:val="es-ES_tradnl"/>
        </w:rPr>
        <w:t>dentificar la lista y tipos de pruebas para los protocolos de señalización y datos</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szCs w:val="24"/>
          <w:lang w:val="es-ES_tradnl"/>
        </w:rPr>
        <w:t>I</w:t>
      </w:r>
      <w:r w:rsidR="00C6268C" w:rsidRPr="003A05CD">
        <w:rPr>
          <w:lang w:val="es-ES_tradnl"/>
        </w:rPr>
        <w:t>dentificar la lista y tipos de pruebas NUT para DSN</w:t>
      </w:r>
      <w:r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I</w:t>
      </w:r>
      <w:r w:rsidR="00C6268C" w:rsidRPr="003A05CD">
        <w:rPr>
          <w:lang w:val="es-ES_tradnl"/>
        </w:rPr>
        <w:t xml:space="preserve">dentificar la lista y tipos de pruebas NUT para </w:t>
      </w:r>
      <w:r w:rsidRPr="003A05CD">
        <w:rPr>
          <w:szCs w:val="24"/>
          <w:lang w:val="es-ES_tradnl"/>
        </w:rPr>
        <w:t>VANET;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I</w:t>
      </w:r>
      <w:r w:rsidR="00C6268C" w:rsidRPr="003A05CD">
        <w:rPr>
          <w:lang w:val="es-ES_tradnl"/>
        </w:rPr>
        <w:t xml:space="preserve">dentificar la lista y tipos de pruebas NUT para </w:t>
      </w:r>
      <w:r w:rsidRPr="003A05CD">
        <w:rPr>
          <w:szCs w:val="24"/>
          <w:lang w:val="es-ES_tradnl"/>
        </w:rPr>
        <w:t>HN;</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I</w:t>
      </w:r>
      <w:r w:rsidR="00C6268C" w:rsidRPr="003A05CD">
        <w:rPr>
          <w:lang w:val="es-ES_tradnl"/>
        </w:rPr>
        <w:t xml:space="preserve">dentificar la lista y tipos de pruebas NUT para </w:t>
      </w:r>
      <w:r w:rsidRPr="003A05CD">
        <w:rPr>
          <w:szCs w:val="24"/>
          <w:lang w:val="es-ES_tradnl"/>
        </w:rPr>
        <w:t>IPv6;</w:t>
      </w:r>
    </w:p>
    <w:p w:rsidR="0073537F" w:rsidRPr="003A05CD" w:rsidRDefault="00464FB5" w:rsidP="006C10F0">
      <w:pPr>
        <w:pStyle w:val="enumlev1"/>
        <w:rPr>
          <w:lang w:val="es-ES_tradnl"/>
        </w:rPr>
      </w:pPr>
      <w:r w:rsidRPr="003A05CD">
        <w:rPr>
          <w:szCs w:val="24"/>
          <w:lang w:val="es-ES_tradnl"/>
        </w:rPr>
        <w:t>–</w:t>
      </w:r>
      <w:r w:rsidRPr="003A05CD">
        <w:rPr>
          <w:szCs w:val="24"/>
          <w:lang w:val="es-ES_tradnl"/>
        </w:rPr>
        <w:tab/>
      </w:r>
      <w:r w:rsidR="0073537F" w:rsidRPr="003A05CD">
        <w:rPr>
          <w:lang w:val="es-ES_tradnl"/>
        </w:rPr>
        <w:t>Elaborar el programa y las especificaciones de pruebas NUT para DSN.</w:t>
      </w:r>
    </w:p>
    <w:p w:rsidR="0073537F" w:rsidRPr="003A05CD" w:rsidRDefault="0073537F" w:rsidP="006C10F0">
      <w:pPr>
        <w:pStyle w:val="enumlev1"/>
        <w:rPr>
          <w:lang w:val="es-ES_tradnl"/>
        </w:rPr>
      </w:pPr>
      <w:r w:rsidRPr="003A05CD">
        <w:rPr>
          <w:lang w:val="es-ES_tradnl"/>
        </w:rPr>
        <w:t>–</w:t>
      </w:r>
      <w:r w:rsidRPr="003A05CD">
        <w:rPr>
          <w:lang w:val="es-ES_tradnl"/>
        </w:rPr>
        <w:tab/>
        <w:t>Elaborar el programa y las especificaciones de pruebas NUT para VANET.</w:t>
      </w:r>
    </w:p>
    <w:p w:rsidR="0073537F" w:rsidRPr="003A05CD" w:rsidRDefault="0073537F" w:rsidP="006C10F0">
      <w:pPr>
        <w:pStyle w:val="enumlev1"/>
        <w:rPr>
          <w:lang w:val="es-ES_tradnl"/>
        </w:rPr>
      </w:pPr>
      <w:r w:rsidRPr="003A05CD">
        <w:rPr>
          <w:lang w:val="es-ES_tradnl"/>
        </w:rPr>
        <w:lastRenderedPageBreak/>
        <w:t>–</w:t>
      </w:r>
      <w:r w:rsidRPr="003A05CD">
        <w:rPr>
          <w:lang w:val="es-ES_tradnl"/>
        </w:rPr>
        <w:tab/>
        <w:t>Elaborar el programa y las especificaciones de pruebas NUT para HN.</w:t>
      </w:r>
    </w:p>
    <w:p w:rsidR="00464FB5" w:rsidRPr="003A05CD" w:rsidRDefault="0073537F" w:rsidP="006C10F0">
      <w:pPr>
        <w:ind w:left="794" w:hanging="794"/>
        <w:rPr>
          <w:szCs w:val="24"/>
          <w:lang w:val="es-ES_tradnl"/>
        </w:rPr>
      </w:pPr>
      <w:r w:rsidRPr="003A05CD">
        <w:rPr>
          <w:lang w:val="es-ES_tradnl"/>
        </w:rPr>
        <w:t>–</w:t>
      </w:r>
      <w:r w:rsidRPr="003A05CD">
        <w:rPr>
          <w:lang w:val="es-ES_tradnl"/>
        </w:rPr>
        <w:tab/>
        <w:t>Elaborar el programa y las especificaciones de pruebas de interoperabilidad de redes IPv4/IPv6</w:t>
      </w:r>
      <w:r w:rsidR="00464FB5" w:rsidRPr="003A05CD">
        <w:rPr>
          <w:szCs w:val="24"/>
          <w:lang w:val="es-ES_tradnl"/>
        </w:rPr>
        <w:t>;</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7B5A22" w:rsidRPr="003A05CD">
        <w:rPr>
          <w:lang w:val="es-ES_tradnl"/>
        </w:rPr>
        <w:t xml:space="preserve">Determinar </w:t>
      </w:r>
      <w:r w:rsidR="0073537F" w:rsidRPr="003A05CD">
        <w:rPr>
          <w:lang w:val="es-ES_tradnl"/>
        </w:rPr>
        <w:t>metodologías generales para las pruebas de conformidad de equipos con las Recomendaciones del Sector de Normalización de las Telecomunicaciones de la UIT (UIT</w:t>
      </w:r>
      <w:r w:rsidR="0073537F" w:rsidRPr="003A05CD">
        <w:rPr>
          <w:lang w:val="es-ES_tradnl"/>
        </w:rPr>
        <w:noBreakHyphen/>
        <w:t>T)</w:t>
      </w:r>
      <w:r w:rsidRPr="003A05CD">
        <w:rPr>
          <w:szCs w:val="24"/>
          <w:lang w:val="es-ES_tradnl"/>
        </w:rPr>
        <w:t>.</w:t>
      </w:r>
    </w:p>
    <w:p w:rsidR="00464FB5" w:rsidRPr="003A05CD" w:rsidRDefault="00C6268C" w:rsidP="006C10F0">
      <w:pPr>
        <w:tabs>
          <w:tab w:val="clear" w:pos="794"/>
          <w:tab w:val="clear" w:pos="1191"/>
          <w:tab w:val="clear" w:pos="1588"/>
          <w:tab w:val="clear" w:pos="1985"/>
        </w:tabs>
        <w:overflowPunct/>
        <w:autoSpaceDE/>
        <w:autoSpaceDN/>
        <w:adjustRightInd/>
        <w:textAlignment w:val="auto"/>
        <w:rPr>
          <w:szCs w:val="24"/>
          <w:lang w:val="es-ES_tradnl"/>
        </w:rPr>
      </w:pPr>
      <w:r w:rsidRPr="003A05CD">
        <w:rPr>
          <w:szCs w:val="24"/>
          <w:lang w:val="es-ES_tradnl"/>
        </w:rPr>
        <w:t>El programa de trabajo actualizado sobre esta Cuestión figura en el program</w:t>
      </w:r>
      <w:bookmarkStart w:id="4" w:name="_GoBack"/>
      <w:bookmarkEnd w:id="4"/>
      <w:r w:rsidRPr="003A05CD">
        <w:rPr>
          <w:szCs w:val="24"/>
          <w:lang w:val="es-ES_tradnl"/>
        </w:rPr>
        <w:t>a de trabajo de la CE</w:t>
      </w:r>
      <w:r w:rsidR="007B5A22" w:rsidRPr="003A05CD">
        <w:rPr>
          <w:szCs w:val="24"/>
          <w:lang w:val="es-ES_tradnl"/>
        </w:rPr>
        <w:t xml:space="preserve">11 </w:t>
      </w:r>
      <w:r w:rsidR="00464FB5" w:rsidRPr="003A05CD">
        <w:rPr>
          <w:szCs w:val="24"/>
          <w:lang w:val="es-ES_tradnl"/>
        </w:rPr>
        <w:t>(</w:t>
      </w:r>
      <w:hyperlink r:id="rId10" w:history="1">
        <w:r w:rsidR="00464FB5" w:rsidRPr="00196851">
          <w:rPr>
            <w:rStyle w:val="Hyperlink"/>
            <w:szCs w:val="24"/>
            <w:lang w:val="es-ES_tradnl"/>
          </w:rPr>
          <w:t>http://itu.int/ITU-T/workprog/wp_search.asp</w:t>
        </w:r>
        <w:r w:rsidR="00464FB5" w:rsidRPr="00196851">
          <w:rPr>
            <w:rStyle w:val="Hyperlink"/>
            <w:szCs w:val="24"/>
            <w:lang w:val="es-ES_tradnl"/>
          </w:rPr>
          <w:t>x</w:t>
        </w:r>
        <w:r w:rsidR="00464FB5" w:rsidRPr="00196851">
          <w:rPr>
            <w:rStyle w:val="Hyperlink"/>
            <w:szCs w:val="24"/>
            <w:lang w:val="es-ES_tradnl"/>
          </w:rPr>
          <w:t>?Q=11/11</w:t>
        </w:r>
      </w:hyperlink>
      <w:r w:rsidR="00464FB5" w:rsidRPr="003A05CD">
        <w:rPr>
          <w:szCs w:val="24"/>
          <w:lang w:val="es-ES_tradnl"/>
        </w:rPr>
        <w:t>)</w:t>
      </w:r>
      <w:r w:rsidRPr="003A05CD">
        <w:rPr>
          <w:szCs w:val="24"/>
          <w:lang w:val="es-ES_tradnl"/>
        </w:rPr>
        <w:t>.</w:t>
      </w:r>
    </w:p>
    <w:p w:rsidR="00464FB5" w:rsidRPr="00196851" w:rsidRDefault="00464FB5" w:rsidP="00196851">
      <w:pPr>
        <w:pStyle w:val="Heading1"/>
        <w:numPr>
          <w:ilvl w:val="0"/>
          <w:numId w:val="0"/>
        </w:numPr>
        <w:rPr>
          <w:sz w:val="24"/>
          <w:szCs w:val="24"/>
          <w:lang w:val="es-ES_tradnl"/>
        </w:rPr>
      </w:pPr>
      <w:r w:rsidRPr="00196851">
        <w:rPr>
          <w:sz w:val="24"/>
          <w:szCs w:val="24"/>
          <w:lang w:val="es-ES_tradnl"/>
        </w:rPr>
        <w:t>4</w:t>
      </w:r>
      <w:r w:rsidRPr="00196851">
        <w:rPr>
          <w:sz w:val="24"/>
          <w:szCs w:val="24"/>
          <w:lang w:val="es-ES_tradnl"/>
        </w:rPr>
        <w:tab/>
      </w:r>
      <w:r w:rsidR="00612676" w:rsidRPr="00196851">
        <w:rPr>
          <w:sz w:val="24"/>
          <w:szCs w:val="24"/>
          <w:lang w:val="es-ES_tradnl"/>
        </w:rPr>
        <w:t>Relaciones</w:t>
      </w:r>
    </w:p>
    <w:p w:rsidR="00464FB5" w:rsidRPr="003A05CD" w:rsidRDefault="00612676" w:rsidP="006C10F0">
      <w:pPr>
        <w:keepNext/>
        <w:rPr>
          <w:b/>
          <w:szCs w:val="24"/>
          <w:lang w:val="es-ES_tradnl"/>
        </w:rPr>
      </w:pPr>
      <w:r w:rsidRPr="003A05CD">
        <w:rPr>
          <w:b/>
          <w:szCs w:val="24"/>
          <w:lang w:val="es-ES_tradnl"/>
        </w:rPr>
        <w:t>Recomendaciones</w:t>
      </w:r>
    </w:p>
    <w:p w:rsidR="00464FB5" w:rsidRPr="003A05CD" w:rsidRDefault="00464FB5" w:rsidP="006C10F0">
      <w:pPr>
        <w:ind w:left="794" w:hanging="794"/>
        <w:rPr>
          <w:szCs w:val="24"/>
          <w:lang w:val="es-ES_tradnl"/>
        </w:rPr>
      </w:pPr>
      <w:r w:rsidRPr="003A05CD">
        <w:rPr>
          <w:szCs w:val="24"/>
          <w:lang w:val="es-ES_tradnl"/>
        </w:rPr>
        <w:t>–</w:t>
      </w:r>
      <w:r w:rsidRPr="003A05CD">
        <w:rPr>
          <w:szCs w:val="24"/>
          <w:lang w:val="es-ES_tradnl"/>
        </w:rPr>
        <w:tab/>
      </w:r>
      <w:r w:rsidR="00612676" w:rsidRPr="003A05CD">
        <w:rPr>
          <w:szCs w:val="24"/>
          <w:lang w:val="es-ES_tradnl"/>
        </w:rPr>
        <w:t xml:space="preserve">Series </w:t>
      </w:r>
      <w:r w:rsidRPr="003A05CD">
        <w:rPr>
          <w:szCs w:val="24"/>
          <w:lang w:val="es-ES_tradnl"/>
        </w:rPr>
        <w:t>Q, Y, H, G, I, M</w:t>
      </w:r>
      <w:r w:rsidRPr="00944371">
        <w:rPr>
          <w:szCs w:val="24"/>
          <w:u w:val="single"/>
          <w:lang w:val="es-ES_tradnl"/>
        </w:rPr>
        <w:t>, X, Z</w:t>
      </w:r>
      <w:r w:rsidRPr="003A05CD">
        <w:rPr>
          <w:szCs w:val="24"/>
          <w:lang w:val="es-ES_tradnl"/>
        </w:rPr>
        <w:t xml:space="preserve"> </w:t>
      </w:r>
      <w:r w:rsidR="00612676" w:rsidRPr="003A05CD">
        <w:rPr>
          <w:szCs w:val="24"/>
          <w:lang w:val="es-ES_tradnl"/>
        </w:rPr>
        <w:t>y</w:t>
      </w:r>
      <w:r w:rsidRPr="003A05CD">
        <w:rPr>
          <w:szCs w:val="24"/>
          <w:lang w:val="es-ES_tradnl"/>
        </w:rPr>
        <w:t xml:space="preserve"> F</w:t>
      </w:r>
    </w:p>
    <w:p w:rsidR="00464FB5" w:rsidRPr="003A05CD" w:rsidRDefault="00612676" w:rsidP="006C10F0">
      <w:pPr>
        <w:keepNext/>
        <w:rPr>
          <w:b/>
          <w:szCs w:val="24"/>
          <w:lang w:val="es-ES_tradnl"/>
        </w:rPr>
      </w:pPr>
      <w:r w:rsidRPr="003A05CD">
        <w:rPr>
          <w:b/>
          <w:szCs w:val="24"/>
          <w:lang w:val="es-ES_tradnl"/>
        </w:rPr>
        <w:t>Cuestiones</w:t>
      </w:r>
    </w:p>
    <w:p w:rsidR="00464FB5" w:rsidRPr="003A05CD" w:rsidRDefault="00464FB5" w:rsidP="00196851">
      <w:pPr>
        <w:ind w:left="794" w:hanging="794"/>
        <w:rPr>
          <w:color w:val="000000"/>
          <w:szCs w:val="24"/>
          <w:lang w:val="es-ES_tradnl"/>
        </w:rPr>
      </w:pPr>
      <w:r w:rsidRPr="003A05CD">
        <w:rPr>
          <w:color w:val="000000"/>
          <w:szCs w:val="24"/>
          <w:lang w:val="es-ES_tradnl"/>
        </w:rPr>
        <w:t>–</w:t>
      </w:r>
      <w:r w:rsidRPr="003A05CD">
        <w:rPr>
          <w:color w:val="000000"/>
          <w:szCs w:val="24"/>
          <w:lang w:val="es-ES_tradnl"/>
        </w:rPr>
        <w:tab/>
      </w:r>
      <w:r w:rsidR="00944371" w:rsidRPr="00944371">
        <w:rPr>
          <w:strike/>
          <w:color w:val="000000"/>
          <w:szCs w:val="24"/>
          <w:lang w:val="es-ES_tradnl"/>
        </w:rPr>
        <w:t>3/11, 8/11, 10/11 y 12/11</w:t>
      </w:r>
      <w:r w:rsidR="00612676" w:rsidRPr="00944371">
        <w:rPr>
          <w:color w:val="000000"/>
          <w:szCs w:val="24"/>
          <w:u w:val="single"/>
          <w:lang w:val="es-ES_tradnl"/>
        </w:rPr>
        <w:t>Todas las Cuestiones de la CE11</w:t>
      </w:r>
    </w:p>
    <w:p w:rsidR="00464FB5" w:rsidRPr="003A05CD" w:rsidRDefault="00612676" w:rsidP="003560FE">
      <w:pPr>
        <w:pStyle w:val="Headingb"/>
        <w:rPr>
          <w:lang w:val="es-ES_tradnl"/>
        </w:rPr>
      </w:pPr>
      <w:r w:rsidRPr="003A05CD">
        <w:rPr>
          <w:lang w:val="es-ES_tradnl"/>
        </w:rPr>
        <w:t>Comisiones de Estudio</w:t>
      </w:r>
    </w:p>
    <w:p w:rsidR="00464FB5" w:rsidRPr="003A05CD" w:rsidRDefault="00464FB5" w:rsidP="003560FE">
      <w:pPr>
        <w:pStyle w:val="enumlev1"/>
        <w:rPr>
          <w:lang w:val="es-ES_tradnl"/>
        </w:rPr>
      </w:pPr>
      <w:r w:rsidRPr="003A05CD">
        <w:rPr>
          <w:lang w:val="es-ES_tradnl"/>
        </w:rPr>
        <w:t>–</w:t>
      </w:r>
      <w:r w:rsidRPr="003A05CD">
        <w:rPr>
          <w:lang w:val="es-ES_tradnl"/>
        </w:rPr>
        <w:tab/>
      </w:r>
      <w:r w:rsidR="00612676" w:rsidRPr="003A05CD">
        <w:rPr>
          <w:lang w:val="es-ES_tradnl"/>
        </w:rPr>
        <w:t xml:space="preserve">CE13 del UIT-T sobre </w:t>
      </w:r>
      <w:r w:rsidR="00512FCB" w:rsidRPr="003A05CD">
        <w:rPr>
          <w:lang w:val="es-ES_tradnl"/>
        </w:rPr>
        <w:t>arquitectura</w:t>
      </w:r>
      <w:r w:rsidR="00612676" w:rsidRPr="003A05CD">
        <w:rPr>
          <w:lang w:val="es-ES_tradnl"/>
        </w:rPr>
        <w:t xml:space="preserve"> </w:t>
      </w:r>
      <w:r w:rsidRPr="003A05CD">
        <w:rPr>
          <w:lang w:val="es-ES_tradnl"/>
        </w:rPr>
        <w:t xml:space="preserve">NGN </w:t>
      </w:r>
      <w:r w:rsidR="00612676" w:rsidRPr="003A05CD">
        <w:rPr>
          <w:lang w:val="es-ES_tradnl"/>
        </w:rPr>
        <w:t xml:space="preserve">e </w:t>
      </w:r>
      <w:proofErr w:type="spellStart"/>
      <w:r w:rsidRPr="003A05CD">
        <w:rPr>
          <w:lang w:val="es-ES_tradnl"/>
        </w:rPr>
        <w:t>IoT</w:t>
      </w:r>
      <w:proofErr w:type="spellEnd"/>
      <w:r w:rsidRPr="003A05CD">
        <w:rPr>
          <w:lang w:val="es-ES_tradnl"/>
        </w:rPr>
        <w:t>, USN, VANET</w:t>
      </w:r>
      <w:r w:rsidR="009C3C5C" w:rsidRPr="003A05CD">
        <w:rPr>
          <w:lang w:val="es-ES_tradnl"/>
        </w:rPr>
        <w:t xml:space="preserve"> e</w:t>
      </w:r>
      <w:r w:rsidRPr="003A05CD">
        <w:rPr>
          <w:lang w:val="es-ES_tradnl"/>
        </w:rPr>
        <w:t xml:space="preserve"> IPv6</w:t>
      </w:r>
    </w:p>
    <w:p w:rsidR="00464FB5" w:rsidRPr="003A05CD" w:rsidRDefault="00464FB5" w:rsidP="003560FE">
      <w:pPr>
        <w:pStyle w:val="enumlev1"/>
        <w:rPr>
          <w:lang w:val="es-ES_tradnl"/>
        </w:rPr>
      </w:pPr>
      <w:r w:rsidRPr="003A05CD">
        <w:rPr>
          <w:lang w:val="es-ES_tradnl"/>
        </w:rPr>
        <w:t>–</w:t>
      </w:r>
      <w:r w:rsidRPr="003A05CD">
        <w:rPr>
          <w:lang w:val="es-ES_tradnl"/>
        </w:rPr>
        <w:tab/>
      </w:r>
      <w:r w:rsidR="00612676" w:rsidRPr="003A05CD">
        <w:rPr>
          <w:lang w:val="es-ES_tradnl"/>
        </w:rPr>
        <w:t>CE16 del UIT</w:t>
      </w:r>
      <w:r w:rsidRPr="003A05CD">
        <w:rPr>
          <w:lang w:val="es-ES_tradnl"/>
        </w:rPr>
        <w:noBreakHyphen/>
        <w:t xml:space="preserve">T </w:t>
      </w:r>
      <w:r w:rsidR="00612676" w:rsidRPr="003A05CD">
        <w:rPr>
          <w:lang w:val="es-ES_tradnl"/>
        </w:rPr>
        <w:t>sobre servicios y aplicaciones multimedios</w:t>
      </w:r>
    </w:p>
    <w:p w:rsidR="00464FB5" w:rsidRPr="006A13F7" w:rsidRDefault="00464FB5" w:rsidP="003560FE">
      <w:pPr>
        <w:pStyle w:val="enumlev1"/>
        <w:rPr>
          <w:color w:val="000000"/>
          <w:u w:val="single"/>
          <w:lang w:val="es-ES_tradnl" w:eastAsia="de-DE"/>
        </w:rPr>
      </w:pPr>
      <w:r w:rsidRPr="006A13F7">
        <w:rPr>
          <w:color w:val="000000"/>
          <w:u w:val="single"/>
          <w:lang w:val="es-ES_tradnl"/>
        </w:rPr>
        <w:t>–</w:t>
      </w:r>
      <w:r w:rsidRPr="006A13F7">
        <w:rPr>
          <w:color w:val="000000"/>
          <w:u w:val="single"/>
          <w:lang w:val="es-ES_tradnl"/>
        </w:rPr>
        <w:tab/>
      </w:r>
      <w:r w:rsidR="009C3C5C" w:rsidRPr="006A13F7">
        <w:rPr>
          <w:color w:val="000000"/>
          <w:u w:val="single"/>
          <w:lang w:val="es-ES_tradnl"/>
        </w:rPr>
        <w:t>CE17 del UIT</w:t>
      </w:r>
      <w:r w:rsidRPr="006A13F7">
        <w:rPr>
          <w:color w:val="000000"/>
          <w:u w:val="single"/>
          <w:lang w:val="es-ES_tradnl"/>
        </w:rPr>
        <w:t>-T</w:t>
      </w:r>
      <w:r w:rsidR="009C3C5C" w:rsidRPr="006A13F7">
        <w:rPr>
          <w:color w:val="000000"/>
          <w:u w:val="single"/>
          <w:lang w:val="es-ES_tradnl" w:eastAsia="de-DE"/>
        </w:rPr>
        <w:t>, encargada de lenguajes y técnicas de descripción</w:t>
      </w:r>
      <w:r w:rsidRPr="006A13F7">
        <w:rPr>
          <w:color w:val="000000"/>
          <w:u w:val="single"/>
          <w:lang w:val="es-ES_tradnl" w:eastAsia="de-DE"/>
        </w:rPr>
        <w:t xml:space="preserve">, </w:t>
      </w:r>
      <w:r w:rsidR="009C3C5C" w:rsidRPr="006A13F7">
        <w:rPr>
          <w:color w:val="000000"/>
          <w:u w:val="single"/>
          <w:lang w:val="es-ES_tradnl" w:eastAsia="de-DE"/>
        </w:rPr>
        <w:t xml:space="preserve">como </w:t>
      </w:r>
      <w:r w:rsidRPr="006A13F7">
        <w:rPr>
          <w:color w:val="000000"/>
          <w:u w:val="single"/>
          <w:lang w:val="es-ES_tradnl" w:eastAsia="de-DE"/>
        </w:rPr>
        <w:t>TTCN-3</w:t>
      </w:r>
    </w:p>
    <w:p w:rsidR="00464FB5" w:rsidRPr="003A05CD" w:rsidRDefault="00464FB5" w:rsidP="003560FE">
      <w:pPr>
        <w:pStyle w:val="enumlev1"/>
        <w:rPr>
          <w:color w:val="000000"/>
          <w:lang w:val="es-ES_tradnl"/>
        </w:rPr>
      </w:pPr>
      <w:r w:rsidRPr="006A13F7">
        <w:rPr>
          <w:color w:val="000000"/>
          <w:u w:val="single"/>
          <w:lang w:val="es-ES_tradnl"/>
        </w:rPr>
        <w:t>–</w:t>
      </w:r>
      <w:r w:rsidRPr="006A13F7">
        <w:rPr>
          <w:color w:val="000000"/>
          <w:u w:val="single"/>
          <w:lang w:val="es-ES_tradnl"/>
        </w:rPr>
        <w:tab/>
      </w:r>
      <w:r w:rsidR="00612676" w:rsidRPr="006A13F7">
        <w:rPr>
          <w:color w:val="000000"/>
          <w:u w:val="single"/>
          <w:lang w:val="es-ES_tradnl" w:eastAsia="de-DE"/>
        </w:rPr>
        <w:t>Las demás CE del UIT</w:t>
      </w:r>
      <w:r w:rsidRPr="006A13F7">
        <w:rPr>
          <w:color w:val="000000"/>
          <w:u w:val="single"/>
          <w:lang w:val="es-ES_tradnl" w:eastAsia="de-DE"/>
        </w:rPr>
        <w:t xml:space="preserve">-T </w:t>
      </w:r>
      <w:r w:rsidR="00612676" w:rsidRPr="006A13F7">
        <w:rPr>
          <w:color w:val="000000"/>
          <w:u w:val="single"/>
          <w:lang w:val="es-ES_tradnl" w:eastAsia="de-DE"/>
        </w:rPr>
        <w:t xml:space="preserve">que participan en actividades de </w:t>
      </w:r>
      <w:r w:rsidRPr="006A13F7">
        <w:rPr>
          <w:color w:val="000000"/>
          <w:u w:val="single"/>
          <w:lang w:val="es-ES_tradnl" w:eastAsia="de-DE"/>
        </w:rPr>
        <w:t>C&amp;I</w:t>
      </w:r>
      <w:r w:rsidRPr="003A05CD">
        <w:rPr>
          <w:color w:val="000000"/>
          <w:lang w:val="es-ES_tradnl" w:eastAsia="de-DE"/>
        </w:rPr>
        <w:t xml:space="preserve"> </w:t>
      </w:r>
    </w:p>
    <w:p w:rsidR="00464FB5" w:rsidRPr="003A05CD" w:rsidRDefault="009C3C5C" w:rsidP="003560FE">
      <w:pPr>
        <w:pStyle w:val="Headingb"/>
        <w:rPr>
          <w:lang w:val="es-ES_tradnl"/>
        </w:rPr>
      </w:pPr>
      <w:r w:rsidRPr="003A05CD">
        <w:rPr>
          <w:lang w:val="es-ES_tradnl"/>
        </w:rPr>
        <w:t>Organismos de normalización</w:t>
      </w:r>
    </w:p>
    <w:p w:rsidR="00464FB5" w:rsidRPr="003A05CD" w:rsidRDefault="00464FB5" w:rsidP="003560FE">
      <w:pPr>
        <w:pStyle w:val="enumlev1"/>
        <w:rPr>
          <w:lang w:val="es-ES_tradnl"/>
        </w:rPr>
      </w:pPr>
      <w:r w:rsidRPr="003A05CD">
        <w:rPr>
          <w:lang w:val="es-ES_tradnl"/>
        </w:rPr>
        <w:t>–</w:t>
      </w:r>
      <w:r w:rsidRPr="003A05CD">
        <w:rPr>
          <w:lang w:val="es-ES_tradnl"/>
        </w:rPr>
        <w:tab/>
        <w:t xml:space="preserve">IETF, ETSI, IEEE </w:t>
      </w:r>
    </w:p>
    <w:p w:rsidR="00464FB5" w:rsidRDefault="00464FB5" w:rsidP="003560FE">
      <w:pPr>
        <w:pStyle w:val="enumlev1"/>
        <w:rPr>
          <w:lang w:val="es-ES_tradnl"/>
        </w:rPr>
      </w:pPr>
      <w:r w:rsidRPr="003A05CD">
        <w:rPr>
          <w:lang w:val="es-ES_tradnl"/>
        </w:rPr>
        <w:t>–</w:t>
      </w:r>
      <w:r w:rsidRPr="003A05CD">
        <w:rPr>
          <w:lang w:val="es-ES_tradnl"/>
        </w:rPr>
        <w:tab/>
      </w:r>
      <w:r w:rsidR="009C3C5C" w:rsidRPr="003A05CD">
        <w:rPr>
          <w:lang w:val="es-ES_tradnl"/>
        </w:rPr>
        <w:t xml:space="preserve">Organismos regionales de normalización y otras organizaciones que trabajan con </w:t>
      </w:r>
      <w:r w:rsidRPr="003A05CD">
        <w:rPr>
          <w:lang w:val="es-ES_tradnl"/>
        </w:rPr>
        <w:t xml:space="preserve">NGN, </w:t>
      </w:r>
      <w:proofErr w:type="spellStart"/>
      <w:r w:rsidRPr="003A05CD">
        <w:rPr>
          <w:lang w:val="es-ES_tradnl"/>
        </w:rPr>
        <w:t>IoT</w:t>
      </w:r>
      <w:proofErr w:type="spellEnd"/>
      <w:r w:rsidRPr="003A05CD">
        <w:rPr>
          <w:lang w:val="es-ES_tradnl"/>
        </w:rPr>
        <w:t xml:space="preserve">, USN </w:t>
      </w:r>
      <w:r w:rsidR="009C3C5C" w:rsidRPr="003A05CD">
        <w:rPr>
          <w:lang w:val="es-ES_tradnl"/>
        </w:rPr>
        <w:t xml:space="preserve">y </w:t>
      </w:r>
      <w:r w:rsidRPr="003A05CD">
        <w:rPr>
          <w:lang w:val="es-ES_tradnl"/>
        </w:rPr>
        <w:t>VANET</w:t>
      </w:r>
    </w:p>
    <w:p w:rsidR="00196851" w:rsidRDefault="00196851" w:rsidP="006C10F0">
      <w:pPr>
        <w:ind w:left="794" w:hanging="794"/>
        <w:rPr>
          <w:szCs w:val="24"/>
          <w:lang w:val="es-ES_tradnl"/>
        </w:rPr>
      </w:pPr>
    </w:p>
    <w:p w:rsidR="00BB5703" w:rsidRPr="00944371" w:rsidRDefault="00BB5703" w:rsidP="0032202E">
      <w:pPr>
        <w:pStyle w:val="Reasons"/>
        <w:rPr>
          <w:lang w:val="es-ES_tradnl"/>
        </w:rPr>
      </w:pPr>
    </w:p>
    <w:p w:rsidR="00BB5703" w:rsidRDefault="00BB5703">
      <w:pPr>
        <w:jc w:val="center"/>
      </w:pPr>
      <w:r>
        <w:t>______________</w:t>
      </w:r>
    </w:p>
    <w:p w:rsidR="00196851" w:rsidRPr="003A05CD" w:rsidRDefault="00196851" w:rsidP="006C10F0">
      <w:pPr>
        <w:ind w:left="794" w:hanging="794"/>
        <w:rPr>
          <w:szCs w:val="24"/>
          <w:lang w:val="es-ES_tradnl"/>
        </w:rPr>
      </w:pPr>
    </w:p>
    <w:sectPr w:rsidR="00196851" w:rsidRPr="003A05CD" w:rsidSect="003560FE">
      <w:headerReference w:type="default" r:id="rId11"/>
      <w:footerReference w:type="default" r:id="rId12"/>
      <w:headerReference w:type="first" r:id="rId13"/>
      <w:footerReference w:type="first" r:id="rId14"/>
      <w:type w:val="oddPage"/>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63" w:rsidRDefault="00EB2B63">
      <w:r>
        <w:separator/>
      </w:r>
    </w:p>
  </w:endnote>
  <w:endnote w:type="continuationSeparator" w:id="0">
    <w:p w:rsidR="00EB2B63" w:rsidRDefault="00EB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D1" w:rsidRPr="00196AB1" w:rsidRDefault="009F4BD1" w:rsidP="009F4BD1">
    <w:pPr>
      <w:pStyle w:val="Footer"/>
      <w:tabs>
        <w:tab w:val="clear" w:pos="794"/>
        <w:tab w:val="clear" w:pos="1191"/>
        <w:tab w:val="clear" w:pos="1588"/>
        <w:tab w:val="clear" w:pos="1985"/>
      </w:tabs>
      <w:rPr>
        <w:lang w:val="fr-CH"/>
      </w:rPr>
    </w:pPr>
    <w:r>
      <w:rPr>
        <w:lang w:val="fr-CH"/>
      </w:rPr>
      <w:t>ITU-T\BUREAU\CIRC\109</w:t>
    </w:r>
    <w:r>
      <w:rPr>
        <w:lang w:val="fr-CH"/>
      </w:rPr>
      <w:t>S</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30742" w:rsidRDefault="00430742" w:rsidP="00430742">
    <w:pPr>
      <w:pStyle w:val="FirstFooter"/>
      <w:ind w:left="-397" w:right="-397"/>
      <w:jc w:val="center"/>
      <w:rPr>
        <w:lang w:val="es-ES_tradnl"/>
      </w:rPr>
    </w:pPr>
    <w:r w:rsidRPr="00430742">
      <w:rPr>
        <w:sz w:val="18"/>
        <w:szCs w:val="18"/>
        <w:lang w:val="es-ES_tradnl"/>
      </w:rPr>
      <w:t>Unión Internacional de Telecomunicaciones</w:t>
    </w:r>
    <w:r w:rsidR="004E3CF9" w:rsidRPr="00430742">
      <w:rPr>
        <w:sz w:val="18"/>
        <w:szCs w:val="18"/>
        <w:lang w:val="es-ES_tradnl"/>
      </w:rPr>
      <w:t xml:space="preserve"> • Place des </w:t>
    </w:r>
    <w:proofErr w:type="spellStart"/>
    <w:r w:rsidR="004E3CF9" w:rsidRPr="00430742">
      <w:rPr>
        <w:sz w:val="18"/>
        <w:szCs w:val="18"/>
        <w:lang w:val="es-ES_tradnl"/>
      </w:rPr>
      <w:t>Nations</w:t>
    </w:r>
    <w:proofErr w:type="spellEnd"/>
    <w:r w:rsidR="004E3CF9" w:rsidRPr="00430742">
      <w:rPr>
        <w:sz w:val="18"/>
        <w:szCs w:val="18"/>
        <w:lang w:val="es-ES_tradnl"/>
      </w:rPr>
      <w:t xml:space="preserve"> • CH</w:t>
    </w:r>
    <w:r w:rsidR="004E3CF9" w:rsidRPr="00430742">
      <w:rPr>
        <w:sz w:val="18"/>
        <w:szCs w:val="18"/>
        <w:lang w:val="es-ES_tradnl"/>
      </w:rPr>
      <w:noBreakHyphen/>
      <w:t xml:space="preserve">1211 </w:t>
    </w:r>
    <w:r>
      <w:rPr>
        <w:sz w:val="18"/>
        <w:szCs w:val="18"/>
        <w:lang w:val="es-ES_tradnl"/>
      </w:rPr>
      <w:t>Ginebra</w:t>
    </w:r>
    <w:r w:rsidR="004E3CF9" w:rsidRPr="00430742">
      <w:rPr>
        <w:sz w:val="18"/>
        <w:szCs w:val="18"/>
        <w:lang w:val="es-ES_tradnl"/>
      </w:rPr>
      <w:t xml:space="preserve"> 20 • S</w:t>
    </w:r>
    <w:r>
      <w:rPr>
        <w:sz w:val="18"/>
        <w:szCs w:val="18"/>
        <w:lang w:val="es-ES_tradnl"/>
      </w:rPr>
      <w:t>uiza</w:t>
    </w:r>
    <w:r w:rsidR="004E3CF9" w:rsidRPr="00430742">
      <w:rPr>
        <w:sz w:val="18"/>
        <w:szCs w:val="18"/>
        <w:lang w:val="es-ES_tradnl"/>
      </w:rPr>
      <w:t xml:space="preserve"> </w:t>
    </w:r>
    <w:r w:rsidR="004E3CF9" w:rsidRPr="00430742">
      <w:rPr>
        <w:sz w:val="18"/>
        <w:szCs w:val="18"/>
        <w:lang w:val="es-ES_tradnl"/>
      </w:rPr>
      <w:br/>
      <w:t xml:space="preserve">Tel: +41 22 730 5111 • Fax: +41 22 733 7256 • </w:t>
    </w:r>
    <w:r>
      <w:rPr>
        <w:sz w:val="18"/>
        <w:szCs w:val="18"/>
        <w:lang w:val="es-ES_tradnl"/>
      </w:rPr>
      <w:t>Correo-e</w:t>
    </w:r>
    <w:r w:rsidR="004E3CF9" w:rsidRPr="00430742">
      <w:rPr>
        <w:sz w:val="18"/>
        <w:szCs w:val="18"/>
        <w:lang w:val="es-ES_tradnl"/>
      </w:rPr>
      <w:t xml:space="preserve">: </w:t>
    </w:r>
    <w:hyperlink r:id="rId1" w:history="1">
      <w:r w:rsidR="004E3CF9" w:rsidRPr="00430742">
        <w:rPr>
          <w:rStyle w:val="Hyperlink"/>
          <w:sz w:val="18"/>
          <w:szCs w:val="18"/>
          <w:lang w:val="es-ES_tradnl"/>
        </w:rPr>
        <w:t>itumail@itu.int</w:t>
      </w:r>
    </w:hyperlink>
    <w:r w:rsidR="004E3CF9" w:rsidRPr="00430742">
      <w:rPr>
        <w:sz w:val="18"/>
        <w:szCs w:val="18"/>
        <w:lang w:val="es-ES_tradnl"/>
      </w:rPr>
      <w:t xml:space="preserve"> • </w:t>
    </w:r>
    <w:hyperlink r:id="rId2" w:history="1">
      <w:r w:rsidR="004E3CF9" w:rsidRPr="00430742">
        <w:rPr>
          <w:rStyle w:val="Hyperlink"/>
          <w:sz w:val="18"/>
          <w:szCs w:val="18"/>
          <w:lang w:val="es-ES_tradnl"/>
        </w:rPr>
        <w:t>www.itu.int</w:t>
      </w:r>
    </w:hyperlink>
    <w:r w:rsidR="004E3CF9" w:rsidRPr="00430742">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63" w:rsidRDefault="00EB2B63">
      <w:r>
        <w:t>____________________</w:t>
      </w:r>
    </w:p>
  </w:footnote>
  <w:footnote w:type="continuationSeparator" w:id="0">
    <w:p w:rsidR="00EB2B63" w:rsidRDefault="00EB2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9F4BD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42" w:rsidRDefault="00430742" w:rsidP="006C10F0">
    <w:pPr>
      <w:pStyle w:val="Header"/>
    </w:pPr>
  </w:p>
  <w:p w:rsidR="00430742" w:rsidRDefault="00430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67DCC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ACC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435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EB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19AA14B2"/>
    <w:lvl w:ilvl="0">
      <w:start w:val="1"/>
      <w:numFmt w:val="bullet"/>
      <w:lvlText w:val=""/>
      <w:lvlJc w:val="left"/>
      <w:pPr>
        <w:tabs>
          <w:tab w:val="num" w:pos="360"/>
        </w:tabs>
        <w:ind w:left="360" w:hanging="360"/>
      </w:pPr>
      <w:rPr>
        <w:rFonts w:ascii="Symbol" w:hAnsi="Symbol" w:hint="default"/>
      </w:rPr>
    </w:lvl>
  </w:abstractNum>
  <w:abstractNum w:abstractNumId="10">
    <w:nsid w:val="23302467"/>
    <w:multiLevelType w:val="multilevel"/>
    <w:tmpl w:val="55C856AC"/>
    <w:lvl w:ilvl="0">
      <w:start w:val="1"/>
      <w:numFmt w:val="decimal"/>
      <w:lvlText w:val="%1"/>
      <w:lvlJc w:val="left"/>
      <w:pPr>
        <w:tabs>
          <w:tab w:val="num" w:pos="1850"/>
        </w:tabs>
        <w:ind w:left="1985"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0B774FA"/>
    <w:multiLevelType w:val="hybridMultilevel"/>
    <w:tmpl w:val="D42AD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E00BBF"/>
    <w:multiLevelType w:val="multilevel"/>
    <w:tmpl w:val="92B0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05B6C2B"/>
    <w:multiLevelType w:val="multilevel"/>
    <w:tmpl w:val="249C00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pStyle w:val="Head3mod"/>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649E55C4"/>
    <w:multiLevelType w:val="multilevel"/>
    <w:tmpl w:val="A2865CC4"/>
    <w:lvl w:ilvl="0">
      <w:start w:val="1"/>
      <w:numFmt w:val="decimal"/>
      <w:lvlText w:val="%1"/>
      <w:lvlJc w:val="left"/>
      <w:pPr>
        <w:ind w:left="4188"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5">
    <w:nsid w:val="6E1D140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63"/>
    <w:rsid w:val="000069D4"/>
    <w:rsid w:val="000174AD"/>
    <w:rsid w:val="000305E1"/>
    <w:rsid w:val="00072A70"/>
    <w:rsid w:val="000754EE"/>
    <w:rsid w:val="000A7D55"/>
    <w:rsid w:val="000B2155"/>
    <w:rsid w:val="000B46FB"/>
    <w:rsid w:val="000C2E8E"/>
    <w:rsid w:val="000D49FB"/>
    <w:rsid w:val="000E0E7C"/>
    <w:rsid w:val="000F021E"/>
    <w:rsid w:val="000F0AFB"/>
    <w:rsid w:val="000F0E37"/>
    <w:rsid w:val="000F1B4B"/>
    <w:rsid w:val="0012744F"/>
    <w:rsid w:val="00141344"/>
    <w:rsid w:val="00156DFF"/>
    <w:rsid w:val="00156F66"/>
    <w:rsid w:val="00173D32"/>
    <w:rsid w:val="00177AE7"/>
    <w:rsid w:val="0018136D"/>
    <w:rsid w:val="00182528"/>
    <w:rsid w:val="0018500B"/>
    <w:rsid w:val="00196851"/>
    <w:rsid w:val="00196A19"/>
    <w:rsid w:val="00196AB1"/>
    <w:rsid w:val="001D3DD3"/>
    <w:rsid w:val="00202DC1"/>
    <w:rsid w:val="002116EE"/>
    <w:rsid w:val="002309D8"/>
    <w:rsid w:val="002468E6"/>
    <w:rsid w:val="00256536"/>
    <w:rsid w:val="00264D90"/>
    <w:rsid w:val="00287BF1"/>
    <w:rsid w:val="0029792F"/>
    <w:rsid w:val="002A7FE2"/>
    <w:rsid w:val="002B1766"/>
    <w:rsid w:val="002B711C"/>
    <w:rsid w:val="002E1B4F"/>
    <w:rsid w:val="002E4C9E"/>
    <w:rsid w:val="002F2E67"/>
    <w:rsid w:val="002F6530"/>
    <w:rsid w:val="00315546"/>
    <w:rsid w:val="00330567"/>
    <w:rsid w:val="0034558B"/>
    <w:rsid w:val="00351DA5"/>
    <w:rsid w:val="003560FE"/>
    <w:rsid w:val="00383598"/>
    <w:rsid w:val="00386A9D"/>
    <w:rsid w:val="00391081"/>
    <w:rsid w:val="003A05CD"/>
    <w:rsid w:val="003A381B"/>
    <w:rsid w:val="003B2789"/>
    <w:rsid w:val="003B3282"/>
    <w:rsid w:val="003C13CE"/>
    <w:rsid w:val="003E2518"/>
    <w:rsid w:val="0041667D"/>
    <w:rsid w:val="00430742"/>
    <w:rsid w:val="00430756"/>
    <w:rsid w:val="004314A2"/>
    <w:rsid w:val="00447F2B"/>
    <w:rsid w:val="00453356"/>
    <w:rsid w:val="00464FB5"/>
    <w:rsid w:val="004B1EF7"/>
    <w:rsid w:val="004B3FAD"/>
    <w:rsid w:val="004B6F55"/>
    <w:rsid w:val="004C6E76"/>
    <w:rsid w:val="004E3CF9"/>
    <w:rsid w:val="00501DCA"/>
    <w:rsid w:val="00512FCB"/>
    <w:rsid w:val="00513A47"/>
    <w:rsid w:val="005223A5"/>
    <w:rsid w:val="005408DF"/>
    <w:rsid w:val="0055318D"/>
    <w:rsid w:val="00573344"/>
    <w:rsid w:val="00583F9B"/>
    <w:rsid w:val="00584AFA"/>
    <w:rsid w:val="00590FDE"/>
    <w:rsid w:val="005C08FC"/>
    <w:rsid w:val="005E1223"/>
    <w:rsid w:val="005E5C10"/>
    <w:rsid w:val="005F2C78"/>
    <w:rsid w:val="00612676"/>
    <w:rsid w:val="0061378C"/>
    <w:rsid w:val="006144E4"/>
    <w:rsid w:val="00624555"/>
    <w:rsid w:val="00650299"/>
    <w:rsid w:val="00655FC5"/>
    <w:rsid w:val="0067277B"/>
    <w:rsid w:val="006A13F7"/>
    <w:rsid w:val="006C10F0"/>
    <w:rsid w:val="006F0C90"/>
    <w:rsid w:val="00715E81"/>
    <w:rsid w:val="0073537F"/>
    <w:rsid w:val="007560A1"/>
    <w:rsid w:val="00776A36"/>
    <w:rsid w:val="007B5A22"/>
    <w:rsid w:val="007B6A59"/>
    <w:rsid w:val="007D2F64"/>
    <w:rsid w:val="007E32F0"/>
    <w:rsid w:val="00801031"/>
    <w:rsid w:val="00802953"/>
    <w:rsid w:val="00807FF1"/>
    <w:rsid w:val="00821C4B"/>
    <w:rsid w:val="00822581"/>
    <w:rsid w:val="008309DD"/>
    <w:rsid w:val="0083227A"/>
    <w:rsid w:val="00846087"/>
    <w:rsid w:val="00857C67"/>
    <w:rsid w:val="00866900"/>
    <w:rsid w:val="00870336"/>
    <w:rsid w:val="0087300D"/>
    <w:rsid w:val="00881BA1"/>
    <w:rsid w:val="008A0A55"/>
    <w:rsid w:val="008C26B8"/>
    <w:rsid w:val="008F42E4"/>
    <w:rsid w:val="00927236"/>
    <w:rsid w:val="009273EC"/>
    <w:rsid w:val="00932E45"/>
    <w:rsid w:val="00944371"/>
    <w:rsid w:val="00951309"/>
    <w:rsid w:val="00964CF0"/>
    <w:rsid w:val="00982084"/>
    <w:rsid w:val="00991A72"/>
    <w:rsid w:val="00995963"/>
    <w:rsid w:val="009A3E36"/>
    <w:rsid w:val="009A54D9"/>
    <w:rsid w:val="009B550B"/>
    <w:rsid w:val="009B61EB"/>
    <w:rsid w:val="009B6449"/>
    <w:rsid w:val="009C2064"/>
    <w:rsid w:val="009C2127"/>
    <w:rsid w:val="009C3C5C"/>
    <w:rsid w:val="009D1697"/>
    <w:rsid w:val="009D4279"/>
    <w:rsid w:val="009D5104"/>
    <w:rsid w:val="009E6838"/>
    <w:rsid w:val="009F4BD1"/>
    <w:rsid w:val="00A014F8"/>
    <w:rsid w:val="00A11DCA"/>
    <w:rsid w:val="00A5173C"/>
    <w:rsid w:val="00A61AEF"/>
    <w:rsid w:val="00A9652E"/>
    <w:rsid w:val="00AA1543"/>
    <w:rsid w:val="00AA291E"/>
    <w:rsid w:val="00AB0FFD"/>
    <w:rsid w:val="00AD7192"/>
    <w:rsid w:val="00AF10F1"/>
    <w:rsid w:val="00AF173A"/>
    <w:rsid w:val="00B066A4"/>
    <w:rsid w:val="00B07A13"/>
    <w:rsid w:val="00B143E2"/>
    <w:rsid w:val="00B4279B"/>
    <w:rsid w:val="00B45FC9"/>
    <w:rsid w:val="00B76EDB"/>
    <w:rsid w:val="00B83461"/>
    <w:rsid w:val="00BB5703"/>
    <w:rsid w:val="00BC7CCF"/>
    <w:rsid w:val="00BD5B27"/>
    <w:rsid w:val="00BE470B"/>
    <w:rsid w:val="00C018E7"/>
    <w:rsid w:val="00C06194"/>
    <w:rsid w:val="00C136D1"/>
    <w:rsid w:val="00C20C4B"/>
    <w:rsid w:val="00C57A91"/>
    <w:rsid w:val="00C6268C"/>
    <w:rsid w:val="00C740E1"/>
    <w:rsid w:val="00CB43AF"/>
    <w:rsid w:val="00CC01C2"/>
    <w:rsid w:val="00CD0D76"/>
    <w:rsid w:val="00CF00A9"/>
    <w:rsid w:val="00CF21F2"/>
    <w:rsid w:val="00D02712"/>
    <w:rsid w:val="00D214D0"/>
    <w:rsid w:val="00D31630"/>
    <w:rsid w:val="00D548CA"/>
    <w:rsid w:val="00D6546B"/>
    <w:rsid w:val="00D8369C"/>
    <w:rsid w:val="00D877DC"/>
    <w:rsid w:val="00DD4BED"/>
    <w:rsid w:val="00DE39F0"/>
    <w:rsid w:val="00DF0AF3"/>
    <w:rsid w:val="00E17CCC"/>
    <w:rsid w:val="00E27D7E"/>
    <w:rsid w:val="00E34935"/>
    <w:rsid w:val="00E42E13"/>
    <w:rsid w:val="00E437CC"/>
    <w:rsid w:val="00E50C5F"/>
    <w:rsid w:val="00E54C24"/>
    <w:rsid w:val="00E6257C"/>
    <w:rsid w:val="00E63C59"/>
    <w:rsid w:val="00EB2B63"/>
    <w:rsid w:val="00ED0E5D"/>
    <w:rsid w:val="00F13455"/>
    <w:rsid w:val="00F50049"/>
    <w:rsid w:val="00F551D9"/>
    <w:rsid w:val="00FA124A"/>
    <w:rsid w:val="00FB4F3C"/>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enu v:ext="edit" fillcolor="none [3212]"/>
    </o:shapedefaults>
    <o:shapelayout v:ext="edit">
      <o:idmap v:ext="edit" data="1"/>
    </o:shapelayout>
  </w:shapeDefaults>
  <w:decimalSymbol w:val="."/>
  <w:listSeparator w:val=";"/>
  <w15:docId w15:val="{6442D7C2-A293-44B4-AC96-79917F36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1D3DD3"/>
    <w:pPr>
      <w:keepNext/>
      <w:keepLines/>
      <w:numPr>
        <w:numId w:val="11"/>
      </w:numPr>
      <w:spacing w:before="280"/>
      <w:outlineLvl w:val="0"/>
    </w:pPr>
    <w:rPr>
      <w:b/>
      <w:sz w:val="28"/>
    </w:rPr>
  </w:style>
  <w:style w:type="paragraph" w:styleId="Heading2">
    <w:name w:val="heading 2"/>
    <w:basedOn w:val="Heading1"/>
    <w:next w:val="Normal"/>
    <w:qFormat/>
    <w:rsid w:val="001D3DD3"/>
    <w:pPr>
      <w:numPr>
        <w:ilvl w:val="1"/>
      </w:numPr>
      <w:spacing w:before="200"/>
      <w:outlineLvl w:val="1"/>
    </w:pPr>
    <w:rPr>
      <w:sz w:val="24"/>
    </w:rPr>
  </w:style>
  <w:style w:type="paragraph" w:styleId="Heading3">
    <w:name w:val="heading 3"/>
    <w:basedOn w:val="Heading1"/>
    <w:next w:val="Normal"/>
    <w:qFormat/>
    <w:rsid w:val="001D3DD3"/>
    <w:pPr>
      <w:numPr>
        <w:ilvl w:val="2"/>
      </w:numPr>
      <w:spacing w:before="200"/>
      <w:outlineLvl w:val="2"/>
    </w:pPr>
    <w:rPr>
      <w:sz w:val="24"/>
    </w:rPr>
  </w:style>
  <w:style w:type="paragraph" w:styleId="Heading4">
    <w:name w:val="heading 4"/>
    <w:basedOn w:val="Heading3"/>
    <w:next w:val="Normal"/>
    <w:qFormat/>
    <w:rsid w:val="001D3DD3"/>
    <w:pPr>
      <w:numPr>
        <w:ilvl w:val="3"/>
      </w:numPr>
      <w:outlineLvl w:val="3"/>
    </w:pPr>
  </w:style>
  <w:style w:type="paragraph" w:styleId="Heading5">
    <w:name w:val="heading 5"/>
    <w:basedOn w:val="Heading4"/>
    <w:next w:val="Normal"/>
    <w:qFormat/>
    <w:rsid w:val="001D3DD3"/>
    <w:pPr>
      <w:numPr>
        <w:ilvl w:val="4"/>
      </w:numPr>
      <w:outlineLvl w:val="4"/>
    </w:pPr>
  </w:style>
  <w:style w:type="paragraph" w:styleId="Heading6">
    <w:name w:val="heading 6"/>
    <w:basedOn w:val="Heading4"/>
    <w:next w:val="Normal"/>
    <w:qFormat/>
    <w:rsid w:val="001D3DD3"/>
    <w:pPr>
      <w:numPr>
        <w:ilvl w:val="5"/>
      </w:numPr>
      <w:outlineLvl w:val="5"/>
    </w:pPr>
  </w:style>
  <w:style w:type="paragraph" w:styleId="Heading7">
    <w:name w:val="heading 7"/>
    <w:basedOn w:val="Heading6"/>
    <w:next w:val="Normal"/>
    <w:qFormat/>
    <w:rsid w:val="001D3DD3"/>
    <w:pPr>
      <w:numPr>
        <w:ilvl w:val="6"/>
      </w:numPr>
      <w:outlineLvl w:val="6"/>
    </w:pPr>
  </w:style>
  <w:style w:type="paragraph" w:styleId="Heading8">
    <w:name w:val="heading 8"/>
    <w:basedOn w:val="Heading6"/>
    <w:next w:val="Normal"/>
    <w:qFormat/>
    <w:rsid w:val="001D3DD3"/>
    <w:pPr>
      <w:numPr>
        <w:ilvl w:val="7"/>
      </w:numPr>
      <w:outlineLvl w:val="7"/>
    </w:pPr>
  </w:style>
  <w:style w:type="paragraph" w:styleId="Heading9">
    <w:name w:val="heading 9"/>
    <w:basedOn w:val="Heading6"/>
    <w:next w:val="Normal"/>
    <w:qFormat/>
    <w:rsid w:val="001D3D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1D3DD3"/>
    <w:pPr>
      <w:keepNext/>
      <w:keepLines/>
      <w:spacing w:before="20" w:after="20"/>
    </w:pPr>
    <w:rPr>
      <w:sz w:val="20"/>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1D3DD3"/>
    <w:pPr>
      <w:spacing w:after="480"/>
    </w:pPr>
    <w:rPr>
      <w:sz w:val="22"/>
    </w:rPr>
  </w:style>
  <w:style w:type="paragraph" w:customStyle="1" w:styleId="FigureNo">
    <w:name w:val="Figure_No"/>
    <w:basedOn w:val="Normal"/>
    <w:next w:val="Figuretitle"/>
    <w:rsid w:val="001D3DD3"/>
    <w:pPr>
      <w:keepNext/>
      <w:keepLines/>
      <w:spacing w:before="480" w:after="120"/>
      <w:jc w:val="center"/>
    </w:pPr>
    <w:rPr>
      <w:caps/>
      <w:sz w:val="22"/>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FootnoteTextChar">
    <w:name w:val="Footnote Text Char"/>
    <w:link w:val="FootnoteText"/>
    <w:rsid w:val="00E50C5F"/>
    <w:rPr>
      <w:rFonts w:asciiTheme="minorHAnsi" w:hAnsiTheme="minorHAnsi"/>
      <w:sz w:val="24"/>
      <w:lang w:val="en-GB" w:eastAsia="en-US"/>
    </w:rPr>
  </w:style>
  <w:style w:type="paragraph" w:customStyle="1" w:styleId="Docnumber">
    <w:name w:val="Docnumber"/>
    <w:basedOn w:val="Normal"/>
    <w:link w:val="DocnumberChar"/>
    <w:rsid w:val="00E50C5F"/>
    <w:pPr>
      <w:tabs>
        <w:tab w:val="clear" w:pos="794"/>
        <w:tab w:val="clear" w:pos="1191"/>
        <w:tab w:val="clear" w:pos="1588"/>
        <w:tab w:val="clear" w:pos="1985"/>
      </w:tabs>
      <w:overflowPunct/>
      <w:autoSpaceDE/>
      <w:autoSpaceDN/>
      <w:adjustRightInd/>
      <w:jc w:val="right"/>
      <w:textAlignment w:val="auto"/>
    </w:pPr>
    <w:rPr>
      <w:rFonts w:ascii="Times New Roman" w:eastAsia="????" w:hAnsi="Times New Roman"/>
      <w:b/>
      <w:bCs/>
      <w:sz w:val="40"/>
      <w:szCs w:val="24"/>
      <w:lang w:val="it-IT"/>
    </w:rPr>
  </w:style>
  <w:style w:type="character" w:customStyle="1" w:styleId="DocnumberChar">
    <w:name w:val="Docnumber Char"/>
    <w:link w:val="Docnumber"/>
    <w:rsid w:val="00E50C5F"/>
    <w:rPr>
      <w:rFonts w:ascii="Times New Roman" w:eastAsia="????" w:hAnsi="Times New Roman"/>
      <w:b/>
      <w:bCs/>
      <w:sz w:val="40"/>
      <w:szCs w:val="24"/>
      <w:lang w:val="it-IT" w:eastAsia="en-US"/>
    </w:rPr>
  </w:style>
  <w:style w:type="paragraph" w:customStyle="1" w:styleId="Head3mod">
    <w:name w:val="Head3mod"/>
    <w:basedOn w:val="Heading3"/>
    <w:autoRedefine/>
    <w:qFormat/>
    <w:rsid w:val="00E50C5F"/>
    <w:pPr>
      <w:numPr>
        <w:numId w:val="15"/>
      </w:numPr>
      <w:tabs>
        <w:tab w:val="clear" w:pos="794"/>
        <w:tab w:val="clear" w:pos="1191"/>
        <w:tab w:val="clear" w:pos="1588"/>
        <w:tab w:val="clear" w:pos="1985"/>
        <w:tab w:val="num" w:pos="360"/>
      </w:tabs>
      <w:spacing w:before="160"/>
      <w:ind w:left="709" w:hanging="709"/>
      <w:textAlignment w:val="auto"/>
    </w:pPr>
    <w:rPr>
      <w:rFonts w:ascii="Times New Roman" w:hAnsi="Times New Roman"/>
    </w:rPr>
  </w:style>
  <w:style w:type="character" w:customStyle="1" w:styleId="FooterChar">
    <w:name w:val="Footer Char"/>
    <w:basedOn w:val="DefaultParagraphFont"/>
    <w:link w:val="Footer"/>
    <w:uiPriority w:val="99"/>
    <w:rsid w:val="00430742"/>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4484344">
      <w:bodyDiv w:val="1"/>
      <w:marLeft w:val="0"/>
      <w:marRight w:val="0"/>
      <w:marTop w:val="0"/>
      <w:marBottom w:val="0"/>
      <w:divBdr>
        <w:top w:val="none" w:sz="0" w:space="0" w:color="auto"/>
        <w:left w:val="none" w:sz="0" w:space="0" w:color="auto"/>
        <w:bottom w:val="none" w:sz="0" w:space="0" w:color="auto"/>
        <w:right w:val="none" w:sz="0" w:space="0" w:color="auto"/>
      </w:divBdr>
    </w:div>
    <w:div w:id="1664432112">
      <w:bodyDiv w:val="1"/>
      <w:marLeft w:val="0"/>
      <w:marRight w:val="0"/>
      <w:marTop w:val="0"/>
      <w:marBottom w:val="0"/>
      <w:divBdr>
        <w:top w:val="none" w:sz="0" w:space="0" w:color="auto"/>
        <w:left w:val="none" w:sz="0" w:space="0" w:color="auto"/>
        <w:bottom w:val="none" w:sz="0" w:space="0" w:color="auto"/>
        <w:right w:val="none" w:sz="0" w:space="0" w:color="auto"/>
      </w:divBdr>
    </w:div>
    <w:div w:id="1901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tu.int/ITU-T/workprog/wp_search.aspx?Q=11/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APPROV-Q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9835-6EFF-46F6-B32E-07DEEC03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APPROV-QE.dotx</Template>
  <TotalTime>2</TotalTime>
  <Pages>5</Pages>
  <Words>1580</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Aveline, Marion</cp:lastModifiedBy>
  <cp:revision>3</cp:revision>
  <cp:lastPrinted>2014-08-05T12:32:00Z</cp:lastPrinted>
  <dcterms:created xsi:type="dcterms:W3CDTF">2014-08-12T07:57:00Z</dcterms:created>
  <dcterms:modified xsi:type="dcterms:W3CDTF">2014-08-12T07:59:00Z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