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RPr="00CB1970" w:rsidTr="007632B1">
        <w:trPr>
          <w:trHeight w:val="15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:rsidR="00951309" w:rsidRPr="00CB1970" w:rsidRDefault="00951309" w:rsidP="00C347FF">
            <w:pPr>
              <w:pStyle w:val="Tabletext"/>
            </w:pPr>
            <w:r w:rsidRPr="00CB1970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CB1970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 w:rsidRPr="00CB1970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0" b="0"/>
                  <wp:docPr id="1" name="Picture 1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RPr="00CB1970" w:rsidTr="007632B1">
        <w:trPr>
          <w:trHeight w:val="80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</w:tcPr>
          <w:p w:rsidR="000305E1" w:rsidRPr="00CB1970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0305E1" w:rsidRPr="00CB1970" w:rsidRDefault="007908AA" w:rsidP="00CB1970">
            <w:pPr>
              <w:pStyle w:val="Tabletext"/>
              <w:spacing w:before="480" w:after="120"/>
              <w:jc w:val="both"/>
            </w:pPr>
            <w:r w:rsidRPr="00CB1970">
              <w:t xml:space="preserve">Geneva, </w:t>
            </w:r>
            <w:r w:rsidR="008E718D" w:rsidRPr="00AB5DAE">
              <w:t>2</w:t>
            </w:r>
            <w:r w:rsidR="00D37EF3">
              <w:t>7</w:t>
            </w:r>
            <w:r w:rsidRPr="00AB5DAE">
              <w:t xml:space="preserve"> </w:t>
            </w:r>
            <w:r w:rsidR="00940E49" w:rsidRPr="00AB5DAE">
              <w:t>November</w:t>
            </w:r>
            <w:r w:rsidRPr="00AB5DAE">
              <w:t xml:space="preserve"> 2014</w:t>
            </w:r>
          </w:p>
        </w:tc>
      </w:tr>
      <w:tr w:rsidR="00951309" w:rsidRPr="00CB1970" w:rsidTr="007632B1">
        <w:trPr>
          <w:trHeight w:val="408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CB1970">
              <w:t>Ref: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CB1970" w:rsidRDefault="00951309" w:rsidP="00AB5DAE">
            <w:pPr>
              <w:pStyle w:val="Tabletext"/>
              <w:rPr>
                <w:b/>
                <w:bCs/>
              </w:rPr>
            </w:pPr>
            <w:r w:rsidRPr="00CB1970">
              <w:rPr>
                <w:b/>
                <w:bCs/>
              </w:rPr>
              <w:t xml:space="preserve">TSB Circular </w:t>
            </w:r>
            <w:r w:rsidR="00AB5DAE">
              <w:rPr>
                <w:b/>
                <w:bCs/>
              </w:rPr>
              <w:t>127</w:t>
            </w:r>
          </w:p>
          <w:p w:rsidR="00951309" w:rsidRPr="00CB1970" w:rsidRDefault="007908AA" w:rsidP="000305E1">
            <w:pPr>
              <w:pStyle w:val="Tabletext"/>
            </w:pPr>
            <w:r w:rsidRPr="00CB1970">
              <w:t>COM 5/CB</w:t>
            </w:r>
          </w:p>
        </w:tc>
        <w:tc>
          <w:tcPr>
            <w:tcW w:w="4394" w:type="dxa"/>
            <w:vMerge w:val="restart"/>
            <w:tcMar>
              <w:left w:w="0" w:type="dxa"/>
              <w:right w:w="0" w:type="dxa"/>
            </w:tcMar>
          </w:tcPr>
          <w:p w:rsidR="00951309" w:rsidRPr="00CB1970" w:rsidRDefault="00951309" w:rsidP="00CB1970">
            <w:pPr>
              <w:pStyle w:val="Tabletext"/>
              <w:ind w:left="283" w:hanging="283"/>
              <w:jc w:val="both"/>
            </w:pPr>
            <w:r w:rsidRPr="00CB1970">
              <w:t>-</w:t>
            </w:r>
            <w:r w:rsidRPr="00CB1970">
              <w:tab/>
              <w:t>To Administrations of Member States of the Union</w:t>
            </w:r>
          </w:p>
        </w:tc>
      </w:tr>
      <w:bookmarkEnd w:id="1"/>
      <w:tr w:rsidR="00951309" w:rsidRPr="00CB1970" w:rsidTr="007632B1">
        <w:trPr>
          <w:trHeight w:val="28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ind w:left="142" w:hanging="142"/>
            </w:pPr>
          </w:p>
        </w:tc>
      </w:tr>
      <w:tr w:rsidR="00951309" w:rsidRPr="00CB1970" w:rsidTr="007632B1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</w:pPr>
            <w:r w:rsidRPr="00CB1970">
              <w:t>Tel: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rPr>
                <w:b/>
              </w:rPr>
            </w:pPr>
            <w:r w:rsidRPr="00CB1970">
              <w:t>+41 22 730</w:t>
            </w:r>
            <w:r w:rsidR="007908AA" w:rsidRPr="00CB1970">
              <w:t xml:space="preserve"> 6301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ind w:left="142" w:hanging="142"/>
            </w:pPr>
          </w:p>
        </w:tc>
      </w:tr>
      <w:tr w:rsidR="00951309" w:rsidRPr="00CB1970" w:rsidTr="007632B1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</w:pPr>
            <w:r w:rsidRPr="00CB1970">
              <w:t>Fax: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rPr>
                <w:b/>
              </w:rPr>
            </w:pPr>
            <w:r w:rsidRPr="00CB1970">
              <w:t>+41 22 730 5853</w:t>
            </w:r>
          </w:p>
        </w:tc>
        <w:tc>
          <w:tcPr>
            <w:tcW w:w="4394" w:type="dxa"/>
            <w:vMerge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ind w:left="142" w:hanging="142"/>
            </w:pPr>
          </w:p>
        </w:tc>
      </w:tr>
      <w:tr w:rsidR="00951309" w:rsidRPr="00CB1970" w:rsidTr="007632B1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</w:pPr>
            <w:r w:rsidRPr="00CB1970">
              <w:t>E-mail: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951309" w:rsidRPr="00CB1970" w:rsidRDefault="00F9585F" w:rsidP="002F6530">
            <w:pPr>
              <w:pStyle w:val="Tabletext"/>
            </w:pPr>
            <w:hyperlink r:id="rId9" w:history="1">
              <w:r w:rsidR="007908AA" w:rsidRPr="00CB1970">
                <w:rPr>
                  <w:rStyle w:val="Hyperlink"/>
                  <w:szCs w:val="22"/>
                </w:rPr>
                <w:t>tsbsg5@itu.int</w:t>
              </w:r>
            </w:hyperlink>
            <w:r w:rsidR="00951309" w:rsidRPr="00CB1970">
              <w:t xml:space="preserve">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951309" w:rsidRPr="00CB1970" w:rsidRDefault="00951309" w:rsidP="002F6530">
            <w:pPr>
              <w:pStyle w:val="Tabletext"/>
              <w:rPr>
                <w:b/>
              </w:rPr>
            </w:pPr>
            <w:r w:rsidRPr="00CB1970">
              <w:rPr>
                <w:b/>
              </w:rPr>
              <w:t>Copy:</w:t>
            </w:r>
          </w:p>
          <w:p w:rsidR="00951309" w:rsidRPr="00CB1970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CB1970">
              <w:t>-</w:t>
            </w:r>
            <w:r w:rsidRPr="00CB1970">
              <w:tab/>
              <w:t>To ITU-T Sector Members;</w:t>
            </w:r>
          </w:p>
          <w:p w:rsidR="00951309" w:rsidRPr="00CB1970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CB1970">
              <w:t>-</w:t>
            </w:r>
            <w:r w:rsidR="00E17CCC" w:rsidRPr="00CB1970">
              <w:tab/>
            </w:r>
            <w:r w:rsidRPr="00CB1970">
              <w:t>To ITU-T Associates;</w:t>
            </w:r>
          </w:p>
          <w:p w:rsidR="00951309" w:rsidRPr="00CB1970" w:rsidRDefault="00951309" w:rsidP="00AB5DAE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CB1970">
              <w:t>-</w:t>
            </w:r>
            <w:r w:rsidRPr="00CB1970">
              <w:tab/>
              <w:t>To ITU-T Academia;</w:t>
            </w:r>
          </w:p>
          <w:p w:rsidR="00940E49" w:rsidRPr="00CB1970" w:rsidRDefault="00940E49" w:rsidP="00940E49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CB1970">
              <w:t xml:space="preserve">-  </w:t>
            </w:r>
            <w:r w:rsidRPr="00CB1970">
              <w:tab/>
              <w:t xml:space="preserve">To </w:t>
            </w:r>
            <w:r w:rsidR="0033608B">
              <w:t>the Chairmen</w:t>
            </w:r>
            <w:r w:rsidRPr="00CB1970">
              <w:t xml:space="preserve"> and Vice-Chairmen of   all ITU-T Study Groups;</w:t>
            </w:r>
          </w:p>
          <w:p w:rsidR="00951309" w:rsidRPr="00CB1970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CB1970">
              <w:t>-</w:t>
            </w:r>
            <w:r w:rsidRPr="00CB1970">
              <w:tab/>
              <w:t>To the Director of the Telecommunication Development Bureau;</w:t>
            </w:r>
          </w:p>
          <w:p w:rsidR="00951309" w:rsidRPr="00CB1970" w:rsidRDefault="00951309" w:rsidP="00C347F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CB1970">
              <w:t>-</w:t>
            </w:r>
            <w:r w:rsidRPr="00CB1970">
              <w:tab/>
              <w:t xml:space="preserve">To the Director of the </w:t>
            </w:r>
            <w:proofErr w:type="spellStart"/>
            <w:r w:rsidRPr="00CB1970">
              <w:t>Radiocommunication</w:t>
            </w:r>
            <w:proofErr w:type="spellEnd"/>
            <w:r w:rsidRPr="00CB1970">
              <w:t xml:space="preserve"> Bureau</w:t>
            </w:r>
          </w:p>
        </w:tc>
      </w:tr>
      <w:tr w:rsidR="00951309" w:rsidRPr="00CB1970" w:rsidTr="007632B1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CB1970" w:rsidRDefault="00951309" w:rsidP="007908AA">
            <w:pPr>
              <w:pStyle w:val="Tabletext"/>
              <w:spacing w:before="120"/>
            </w:pPr>
            <w:r w:rsidRPr="00CB1970">
              <w:t>Subject:</w:t>
            </w:r>
          </w:p>
        </w:tc>
        <w:tc>
          <w:tcPr>
            <w:tcW w:w="8647" w:type="dxa"/>
            <w:gridSpan w:val="2"/>
            <w:tcMar>
              <w:left w:w="0" w:type="dxa"/>
              <w:right w:w="0" w:type="dxa"/>
            </w:tcMar>
          </w:tcPr>
          <w:p w:rsidR="00951309" w:rsidRPr="00CB1970" w:rsidRDefault="00BB6F35" w:rsidP="007365DE">
            <w:pPr>
              <w:pStyle w:val="Tabletext"/>
              <w:spacing w:before="120"/>
              <w:rPr>
                <w:b/>
                <w:bCs/>
              </w:rPr>
            </w:pPr>
            <w:r w:rsidRPr="00CB1970">
              <w:rPr>
                <w:rFonts w:hint="eastAsia"/>
                <w:b/>
                <w:bCs/>
                <w:lang w:eastAsia="ja-JP"/>
              </w:rPr>
              <w:t>Questionnaire</w:t>
            </w:r>
            <w:r w:rsidR="00FD3302" w:rsidRPr="00CB1970">
              <w:rPr>
                <w:b/>
                <w:bCs/>
                <w:lang w:eastAsia="ja-JP"/>
              </w:rPr>
              <w:t xml:space="preserve"> on electromagnetic interference (EMI) between radio devices and cable or equipment connected to broadband networks</w:t>
            </w:r>
            <w:r w:rsidR="00CB1970">
              <w:rPr>
                <w:b/>
                <w:bCs/>
                <w:lang w:eastAsia="ja-JP"/>
              </w:rPr>
              <w:t xml:space="preserve"> </w:t>
            </w:r>
          </w:p>
        </w:tc>
      </w:tr>
    </w:tbl>
    <w:p w:rsidR="00383598" w:rsidRPr="00CB1970" w:rsidRDefault="00383598" w:rsidP="00BA63F4">
      <w:pPr>
        <w:spacing w:before="360"/>
        <w:rPr>
          <w:szCs w:val="22"/>
        </w:rPr>
      </w:pPr>
      <w:bookmarkStart w:id="2" w:name="StartTyping_E"/>
      <w:bookmarkEnd w:id="2"/>
      <w:r w:rsidRPr="00CB1970">
        <w:rPr>
          <w:szCs w:val="22"/>
        </w:rPr>
        <w:t>Dear Sir/Madam,</w:t>
      </w:r>
    </w:p>
    <w:p w:rsidR="00FD3302" w:rsidRPr="00CB1970" w:rsidRDefault="00A93B3D" w:rsidP="006B31A3">
      <w:pPr>
        <w:jc w:val="both"/>
        <w:rPr>
          <w:lang w:eastAsia="ja-JP"/>
        </w:rPr>
      </w:pPr>
      <w:r w:rsidRPr="00CB1970">
        <w:rPr>
          <w:lang w:eastAsia="ja-JP"/>
        </w:rPr>
        <w:t>During the last meeting of</w:t>
      </w:r>
      <w:r w:rsidR="00D37F36">
        <w:rPr>
          <w:lang w:eastAsia="ja-JP"/>
        </w:rPr>
        <w:t xml:space="preserve"> </w:t>
      </w:r>
      <w:r w:rsidR="006B31A3" w:rsidRPr="00940292">
        <w:t>Working Parties 1 and 2 of Study Group 5</w:t>
      </w:r>
      <w:r w:rsidRPr="00CB1970">
        <w:rPr>
          <w:lang w:eastAsia="ja-JP"/>
        </w:rPr>
        <w:t>, which took place</w:t>
      </w:r>
      <w:r w:rsidR="00FD3302" w:rsidRPr="00CB1970">
        <w:rPr>
          <w:lang w:eastAsia="ja-JP"/>
        </w:rPr>
        <w:t xml:space="preserve"> </w:t>
      </w:r>
      <w:r w:rsidR="0051668D" w:rsidRPr="00CB1970">
        <w:rPr>
          <w:lang w:eastAsia="ja-JP"/>
        </w:rPr>
        <w:t>in</w:t>
      </w:r>
      <w:r w:rsidRPr="00CB1970">
        <w:rPr>
          <w:lang w:eastAsia="ja-JP"/>
        </w:rPr>
        <w:t xml:space="preserve"> </w:t>
      </w:r>
      <w:r w:rsidR="00FD3302" w:rsidRPr="00CB1970">
        <w:rPr>
          <w:lang w:eastAsia="ja-JP"/>
        </w:rPr>
        <w:t>Geneva</w:t>
      </w:r>
      <w:r w:rsidRPr="00CB1970">
        <w:rPr>
          <w:lang w:eastAsia="ja-JP"/>
        </w:rPr>
        <w:t xml:space="preserve"> from</w:t>
      </w:r>
      <w:r w:rsidR="00FD3302" w:rsidRPr="00CB1970">
        <w:rPr>
          <w:lang w:eastAsia="ja-JP"/>
        </w:rPr>
        <w:t xml:space="preserve"> 23</w:t>
      </w:r>
      <w:r w:rsidR="00CB1970">
        <w:rPr>
          <w:lang w:eastAsia="ja-JP"/>
        </w:rPr>
        <w:t xml:space="preserve"> to </w:t>
      </w:r>
      <w:r w:rsidR="00FD3302" w:rsidRPr="00CB1970">
        <w:rPr>
          <w:lang w:eastAsia="ja-JP"/>
        </w:rPr>
        <w:t>29 July 2014</w:t>
      </w:r>
      <w:r w:rsidRPr="00CB1970">
        <w:rPr>
          <w:lang w:eastAsia="ja-JP"/>
        </w:rPr>
        <w:t>, it was</w:t>
      </w:r>
      <w:r w:rsidR="00FD3302" w:rsidRPr="00CB1970">
        <w:rPr>
          <w:rFonts w:hint="eastAsia"/>
          <w:lang w:eastAsia="ja-JP"/>
        </w:rPr>
        <w:t xml:space="preserve"> decided, </w:t>
      </w:r>
      <w:r w:rsidR="00FD3302" w:rsidRPr="00CB1970">
        <w:rPr>
          <w:lang w:eastAsia="ja-JP"/>
        </w:rPr>
        <w:t>within</w:t>
      </w:r>
      <w:r w:rsidR="00FD3302" w:rsidRPr="00CB1970">
        <w:rPr>
          <w:rFonts w:hint="eastAsia"/>
          <w:lang w:eastAsia="ja-JP"/>
        </w:rPr>
        <w:t xml:space="preserve"> the framework of the study conducted under Question 8/5 (</w:t>
      </w:r>
      <w:r w:rsidR="00FD3302" w:rsidRPr="00CB1970">
        <w:rPr>
          <w:i/>
          <w:iCs/>
          <w:lang w:eastAsia="ja-JP"/>
        </w:rPr>
        <w:t>EMC issues in home networks</w:t>
      </w:r>
      <w:r w:rsidR="00FD3302" w:rsidRPr="00CB1970">
        <w:rPr>
          <w:rFonts w:hint="eastAsia"/>
          <w:lang w:eastAsia="ja-JP"/>
        </w:rPr>
        <w:t>), to produce</w:t>
      </w:r>
      <w:r w:rsidR="00B278C5" w:rsidRPr="00CB1970">
        <w:rPr>
          <w:lang w:eastAsia="ja-JP"/>
        </w:rPr>
        <w:t xml:space="preserve"> the </w:t>
      </w:r>
      <w:r w:rsidR="00FD3302" w:rsidRPr="00CB1970">
        <w:rPr>
          <w:rFonts w:hint="eastAsia"/>
          <w:lang w:eastAsia="ja-JP"/>
        </w:rPr>
        <w:t>questionnaire</w:t>
      </w:r>
      <w:r w:rsidR="00B278C5" w:rsidRPr="00CB1970">
        <w:rPr>
          <w:lang w:eastAsia="ja-JP"/>
        </w:rPr>
        <w:t xml:space="preserve"> which is</w:t>
      </w:r>
      <w:r w:rsidR="00FD3302" w:rsidRPr="00CB1970">
        <w:rPr>
          <w:rFonts w:hint="eastAsia"/>
          <w:lang w:eastAsia="ja-JP"/>
        </w:rPr>
        <w:t xml:space="preserve"> described below</w:t>
      </w:r>
      <w:r w:rsidR="00FD3302" w:rsidRPr="00CB1970">
        <w:rPr>
          <w:lang w:eastAsia="ja-JP"/>
        </w:rPr>
        <w:t>:</w:t>
      </w:r>
    </w:p>
    <w:p w:rsidR="00FD3302" w:rsidRPr="00CB1970" w:rsidRDefault="00CB1970" w:rsidP="00CB1970">
      <w:pPr>
        <w:pStyle w:val="Heading1"/>
        <w:spacing w:before="120"/>
        <w:jc w:val="center"/>
        <w:rPr>
          <w:lang w:eastAsia="ja-JP"/>
        </w:rPr>
      </w:pPr>
      <w:r>
        <w:rPr>
          <w:sz w:val="24"/>
          <w:szCs w:val="24"/>
          <w:lang w:eastAsia="ja-JP"/>
        </w:rPr>
        <w:t>“</w:t>
      </w:r>
      <w:r w:rsidR="00D237E7" w:rsidRPr="00CB1970">
        <w:rPr>
          <w:rFonts w:hint="eastAsia"/>
          <w:sz w:val="24"/>
          <w:szCs w:val="24"/>
          <w:lang w:eastAsia="ja-JP"/>
        </w:rPr>
        <w:t>Questionnaire</w:t>
      </w:r>
      <w:r w:rsidR="00FD3302" w:rsidRPr="00CB1970">
        <w:rPr>
          <w:rFonts w:hint="eastAsia"/>
          <w:sz w:val="24"/>
          <w:szCs w:val="24"/>
          <w:lang w:eastAsia="ja-JP"/>
        </w:rPr>
        <w:t xml:space="preserve"> on electromagnetic interference (EMI) between radio devices and cable or equipment</w:t>
      </w:r>
      <w:r>
        <w:rPr>
          <w:rFonts w:hint="eastAsia"/>
          <w:sz w:val="24"/>
          <w:szCs w:val="24"/>
          <w:lang w:eastAsia="ja-JP"/>
        </w:rPr>
        <w:t xml:space="preserve"> connected to broadband network</w:t>
      </w:r>
      <w:r>
        <w:rPr>
          <w:sz w:val="24"/>
          <w:szCs w:val="24"/>
          <w:lang w:eastAsia="ja-JP"/>
        </w:rPr>
        <w:t>s”</w:t>
      </w:r>
    </w:p>
    <w:p w:rsidR="00FD3302" w:rsidRPr="00CB1970" w:rsidRDefault="00FD3302" w:rsidP="009F0FD4">
      <w:pPr>
        <w:jc w:val="both"/>
        <w:rPr>
          <w:lang w:eastAsia="ja-JP"/>
        </w:rPr>
      </w:pPr>
      <w:r w:rsidRPr="00CB1970">
        <w:rPr>
          <w:lang w:eastAsia="ja-JP"/>
        </w:rPr>
        <w:t>This Questionnaire is aiming to collect information about interferences between radio devices and cable or equipment connected to broadband wired networks or cable television networks in ho</w:t>
      </w:r>
      <w:r w:rsidR="00A93B3D" w:rsidRPr="00CB1970">
        <w:rPr>
          <w:lang w:eastAsia="ja-JP"/>
        </w:rPr>
        <w:t>use</w:t>
      </w:r>
      <w:r w:rsidRPr="00CB1970">
        <w:rPr>
          <w:lang w:eastAsia="ja-JP"/>
        </w:rPr>
        <w:t xml:space="preserve">. Collected information will be analysed </w:t>
      </w:r>
      <w:r w:rsidR="009F0FD4">
        <w:rPr>
          <w:lang w:eastAsia="ja-JP"/>
        </w:rPr>
        <w:t>to be used to</w:t>
      </w:r>
      <w:r w:rsidRPr="00CB1970">
        <w:rPr>
          <w:lang w:eastAsia="ja-JP"/>
        </w:rPr>
        <w:t xml:space="preserve"> draft new Recommendation </w:t>
      </w:r>
      <w:r w:rsidR="001137ED" w:rsidRPr="00CB1970">
        <w:rPr>
          <w:lang w:eastAsia="ja-JP"/>
        </w:rPr>
        <w:t xml:space="preserve">ITU-T </w:t>
      </w:r>
      <w:proofErr w:type="spellStart"/>
      <w:r w:rsidRPr="00CB1970">
        <w:rPr>
          <w:lang w:eastAsia="ja-JP"/>
        </w:rPr>
        <w:t>K</w:t>
      </w:r>
      <w:r w:rsidR="001137ED" w:rsidRPr="00CB1970">
        <w:rPr>
          <w:lang w:eastAsia="ja-JP"/>
        </w:rPr>
        <w:t>.</w:t>
      </w:r>
      <w:r w:rsidRPr="00CB1970">
        <w:rPr>
          <w:lang w:eastAsia="ja-JP"/>
        </w:rPr>
        <w:t>mhn</w:t>
      </w:r>
      <w:proofErr w:type="spellEnd"/>
      <w:r w:rsidRPr="00CB1970">
        <w:rPr>
          <w:lang w:eastAsia="ja-JP"/>
        </w:rPr>
        <w:t xml:space="preserve"> “</w:t>
      </w:r>
      <w:r w:rsidRPr="00CB1970">
        <w:rPr>
          <w:rFonts w:eastAsia="SimSun"/>
          <w:lang w:eastAsia="zh-CN"/>
        </w:rPr>
        <w:t>T</w:t>
      </w:r>
      <w:r w:rsidRPr="00CB1970">
        <w:rPr>
          <w:lang w:eastAsia="ja-JP"/>
        </w:rPr>
        <w:t xml:space="preserve">echniques to </w:t>
      </w:r>
      <w:r w:rsidRPr="00CB1970">
        <w:rPr>
          <w:rFonts w:eastAsia="SimSun"/>
          <w:lang w:eastAsia="zh-CN"/>
        </w:rPr>
        <w:t>m</w:t>
      </w:r>
      <w:r w:rsidRPr="00CB1970">
        <w:rPr>
          <w:lang w:eastAsia="ja-JP"/>
        </w:rPr>
        <w:t>itigat</w:t>
      </w:r>
      <w:r w:rsidRPr="00CB1970">
        <w:rPr>
          <w:rFonts w:eastAsia="SimSun"/>
          <w:lang w:eastAsia="zh-CN"/>
        </w:rPr>
        <w:t>e</w:t>
      </w:r>
      <w:r w:rsidRPr="00CB1970">
        <w:rPr>
          <w:lang w:eastAsia="ja-JP"/>
        </w:rPr>
        <w:t xml:space="preserve"> interference between radio</w:t>
      </w:r>
      <w:r w:rsidRPr="00CB1970">
        <w:rPr>
          <w:rFonts w:eastAsia="SimSun"/>
          <w:lang w:eastAsia="zh-CN"/>
        </w:rPr>
        <w:t xml:space="preserve"> devices</w:t>
      </w:r>
      <w:r w:rsidRPr="00CB1970">
        <w:rPr>
          <w:lang w:eastAsia="ja-JP"/>
        </w:rPr>
        <w:t xml:space="preserve"> and cable or equipment connected to </w:t>
      </w:r>
      <w:proofErr w:type="gramStart"/>
      <w:r w:rsidRPr="00CB1970">
        <w:rPr>
          <w:lang w:eastAsia="ja-JP"/>
        </w:rPr>
        <w:t>wired</w:t>
      </w:r>
      <w:proofErr w:type="gramEnd"/>
      <w:r w:rsidRPr="00CB1970">
        <w:rPr>
          <w:lang w:eastAsia="ja-JP"/>
        </w:rPr>
        <w:t xml:space="preserve"> broadband networks and cable television networks”</w:t>
      </w:r>
      <w:r w:rsidR="00782338" w:rsidRPr="00CB1970">
        <w:rPr>
          <w:lang w:eastAsia="ja-JP"/>
        </w:rPr>
        <w:t>.</w:t>
      </w:r>
    </w:p>
    <w:p w:rsidR="009F0FD4" w:rsidRDefault="00FD3302" w:rsidP="009F0FD4">
      <w:pPr>
        <w:jc w:val="both"/>
        <w:rPr>
          <w:lang w:eastAsia="ja-JP"/>
        </w:rPr>
      </w:pPr>
      <w:r w:rsidRPr="00CB1970">
        <w:rPr>
          <w:lang w:eastAsia="ja-JP"/>
        </w:rPr>
        <w:t>Along with the adv</w:t>
      </w:r>
      <w:r w:rsidRPr="00CB1970">
        <w:rPr>
          <w:rFonts w:eastAsia="SimSun"/>
          <w:lang w:eastAsia="zh-CN"/>
        </w:rPr>
        <w:t>a</w:t>
      </w:r>
      <w:r w:rsidRPr="00CB1970">
        <w:rPr>
          <w:lang w:eastAsia="ja-JP"/>
        </w:rPr>
        <w:t>n</w:t>
      </w:r>
      <w:r w:rsidRPr="00CB1970">
        <w:rPr>
          <w:rFonts w:eastAsia="SimSun"/>
          <w:lang w:eastAsia="zh-CN"/>
        </w:rPr>
        <w:t>ces in</w:t>
      </w:r>
      <w:r w:rsidRPr="00CB1970">
        <w:rPr>
          <w:lang w:eastAsia="ja-JP"/>
        </w:rPr>
        <w:t xml:space="preserve"> </w:t>
      </w:r>
      <w:proofErr w:type="spellStart"/>
      <w:r w:rsidR="00AB5DAE">
        <w:rPr>
          <w:lang w:eastAsia="ja-JP"/>
        </w:rPr>
        <w:t>radio</w:t>
      </w:r>
      <w:r w:rsidRPr="00AB5DAE">
        <w:rPr>
          <w:lang w:eastAsia="ja-JP"/>
        </w:rPr>
        <w:t>communication</w:t>
      </w:r>
      <w:proofErr w:type="spellEnd"/>
      <w:r w:rsidRPr="00CB1970">
        <w:rPr>
          <w:lang w:eastAsia="ja-JP"/>
        </w:rPr>
        <w:t xml:space="preserve"> technologies, possible interference between </w:t>
      </w:r>
      <w:r w:rsidR="00014D51">
        <w:rPr>
          <w:lang w:eastAsia="ja-JP"/>
        </w:rPr>
        <w:t xml:space="preserve">in- </w:t>
      </w:r>
      <w:r w:rsidRPr="00CB1970">
        <w:rPr>
          <w:lang w:eastAsia="ja-JP"/>
        </w:rPr>
        <w:t xml:space="preserve">home-use radio devices and cable or equipment connected to </w:t>
      </w:r>
      <w:proofErr w:type="gramStart"/>
      <w:r w:rsidRPr="00CB1970">
        <w:rPr>
          <w:lang w:eastAsia="ja-JP"/>
        </w:rPr>
        <w:t>wired</w:t>
      </w:r>
      <w:proofErr w:type="gramEnd"/>
      <w:r w:rsidRPr="00CB1970">
        <w:rPr>
          <w:lang w:eastAsia="ja-JP"/>
        </w:rPr>
        <w:t xml:space="preserve"> broadband networks and cable television networks</w:t>
      </w:r>
      <w:r w:rsidRPr="00CB1970" w:rsidDel="002F70D4">
        <w:rPr>
          <w:lang w:eastAsia="ja-JP"/>
        </w:rPr>
        <w:t xml:space="preserve"> </w:t>
      </w:r>
      <w:r w:rsidR="00014D51">
        <w:rPr>
          <w:lang w:eastAsia="ja-JP"/>
        </w:rPr>
        <w:t>may create</w:t>
      </w:r>
      <w:r w:rsidR="00014D51" w:rsidRPr="00CB1970">
        <w:rPr>
          <w:lang w:eastAsia="ja-JP"/>
        </w:rPr>
        <w:t xml:space="preserve"> </w:t>
      </w:r>
      <w:r w:rsidR="00CD2FA9" w:rsidRPr="00CB1970">
        <w:rPr>
          <w:lang w:eastAsia="ja-JP"/>
        </w:rPr>
        <w:t>a</w:t>
      </w:r>
      <w:r w:rsidRPr="00CB1970">
        <w:rPr>
          <w:lang w:eastAsia="ja-JP"/>
        </w:rPr>
        <w:t xml:space="preserve"> new </w:t>
      </w:r>
      <w:r w:rsidR="00CD2FA9" w:rsidRPr="00CB1970">
        <w:rPr>
          <w:rFonts w:eastAsia="SimSun"/>
          <w:lang w:eastAsia="zh-CN"/>
        </w:rPr>
        <w:t>phenomenon</w:t>
      </w:r>
      <w:r w:rsidRPr="00CB1970">
        <w:rPr>
          <w:rFonts w:eastAsia="SimSun"/>
          <w:lang w:eastAsia="zh-CN"/>
        </w:rPr>
        <w:t xml:space="preserve"> of </w:t>
      </w:r>
      <w:r w:rsidRPr="00CB1970">
        <w:rPr>
          <w:lang w:eastAsia="ja-JP"/>
        </w:rPr>
        <w:t xml:space="preserve">interference between radio </w:t>
      </w:r>
      <w:r w:rsidRPr="00CB1970">
        <w:rPr>
          <w:rFonts w:eastAsia="SimSun"/>
          <w:lang w:eastAsia="zh-CN"/>
        </w:rPr>
        <w:t>devices</w:t>
      </w:r>
      <w:r w:rsidRPr="00CB1970">
        <w:rPr>
          <w:lang w:eastAsia="ja-JP"/>
        </w:rPr>
        <w:t xml:space="preserve"> and telecommunication devices.</w:t>
      </w:r>
      <w:r w:rsidRPr="00CB1970">
        <w:rPr>
          <w:rFonts w:hint="eastAsia"/>
          <w:lang w:eastAsia="ja-JP"/>
        </w:rPr>
        <w:t xml:space="preserve"> </w:t>
      </w:r>
    </w:p>
    <w:p w:rsidR="00FD3302" w:rsidRPr="00CB1970" w:rsidRDefault="00FD3302" w:rsidP="0033608B">
      <w:pPr>
        <w:keepNext/>
        <w:keepLines/>
        <w:jc w:val="both"/>
        <w:rPr>
          <w:lang w:eastAsia="ja-JP"/>
        </w:rPr>
      </w:pPr>
      <w:r w:rsidRPr="00CB1970">
        <w:rPr>
          <w:rFonts w:hint="eastAsia"/>
          <w:lang w:eastAsia="ja-JP"/>
        </w:rPr>
        <w:lastRenderedPageBreak/>
        <w:t>R</w:t>
      </w:r>
      <w:r w:rsidRPr="00CB1970">
        <w:rPr>
          <w:lang w:eastAsia="ja-JP"/>
        </w:rPr>
        <w:t>ecommendation</w:t>
      </w:r>
      <w:r w:rsidRPr="00CB1970">
        <w:rPr>
          <w:rFonts w:hint="eastAsia"/>
          <w:lang w:eastAsia="ja-JP"/>
        </w:rPr>
        <w:t xml:space="preserve"> </w:t>
      </w:r>
      <w:r w:rsidR="001137ED" w:rsidRPr="00CB1970">
        <w:rPr>
          <w:lang w:eastAsia="ja-JP"/>
        </w:rPr>
        <w:t xml:space="preserve">ITU-T </w:t>
      </w:r>
      <w:proofErr w:type="spellStart"/>
      <w:r w:rsidRPr="00CB1970">
        <w:rPr>
          <w:lang w:eastAsia="ja-JP"/>
        </w:rPr>
        <w:t>K.mhn</w:t>
      </w:r>
      <w:proofErr w:type="spellEnd"/>
      <w:r w:rsidRPr="00CB1970">
        <w:rPr>
          <w:lang w:eastAsia="ja-JP"/>
        </w:rPr>
        <w:t xml:space="preserve"> </w:t>
      </w:r>
      <w:r w:rsidR="009F0FD4">
        <w:rPr>
          <w:lang w:eastAsia="ja-JP"/>
        </w:rPr>
        <w:t>is expected to</w:t>
      </w:r>
      <w:r w:rsidRPr="00CB1970">
        <w:rPr>
          <w:rFonts w:hint="eastAsia"/>
          <w:lang w:eastAsia="ja-JP"/>
        </w:rPr>
        <w:t xml:space="preserve"> </w:t>
      </w:r>
      <w:r w:rsidRPr="00CB1970">
        <w:rPr>
          <w:lang w:eastAsia="ja-JP"/>
        </w:rPr>
        <w:t xml:space="preserve">give guidance to solve </w:t>
      </w:r>
      <w:r w:rsidRPr="00CB1970">
        <w:rPr>
          <w:rFonts w:eastAsia="SimSun"/>
          <w:lang w:eastAsia="zh-CN"/>
        </w:rPr>
        <w:t>interference</w:t>
      </w:r>
      <w:r w:rsidRPr="00CB1970">
        <w:rPr>
          <w:lang w:eastAsia="ja-JP"/>
        </w:rPr>
        <w:t xml:space="preserve"> problems in home networking, produced by radio </w:t>
      </w:r>
      <w:r w:rsidRPr="00CB1970">
        <w:rPr>
          <w:rFonts w:eastAsia="SimSun"/>
          <w:lang w:eastAsia="zh-CN"/>
        </w:rPr>
        <w:t>devices</w:t>
      </w:r>
      <w:r w:rsidRPr="00CB1970">
        <w:rPr>
          <w:lang w:eastAsia="ja-JP"/>
        </w:rPr>
        <w:t xml:space="preserve"> and </w:t>
      </w:r>
      <w:r w:rsidRPr="00CB1970">
        <w:rPr>
          <w:rFonts w:eastAsia="SimSun"/>
          <w:lang w:eastAsia="zh-CN"/>
        </w:rPr>
        <w:t xml:space="preserve">cable or equipment connected to </w:t>
      </w:r>
      <w:proofErr w:type="gramStart"/>
      <w:r w:rsidRPr="00CB1970">
        <w:rPr>
          <w:lang w:eastAsia="ja-JP"/>
        </w:rPr>
        <w:t>wired</w:t>
      </w:r>
      <w:proofErr w:type="gramEnd"/>
      <w:r w:rsidRPr="00CB1970">
        <w:rPr>
          <w:lang w:eastAsia="ja-JP"/>
        </w:rPr>
        <w:t xml:space="preserve"> </w:t>
      </w:r>
      <w:r w:rsidRPr="00CB1970">
        <w:rPr>
          <w:rFonts w:eastAsia="SimSun"/>
          <w:lang w:eastAsia="zh-CN"/>
        </w:rPr>
        <w:t xml:space="preserve">broadband </w:t>
      </w:r>
      <w:r w:rsidRPr="00CB1970">
        <w:rPr>
          <w:lang w:eastAsia="ja-JP"/>
        </w:rPr>
        <w:t>networks</w:t>
      </w:r>
      <w:r w:rsidRPr="00CB1970">
        <w:rPr>
          <w:rFonts w:eastAsia="SimSun"/>
          <w:lang w:eastAsia="zh-CN"/>
        </w:rPr>
        <w:t xml:space="preserve"> and</w:t>
      </w:r>
      <w:r w:rsidRPr="00CB1970">
        <w:rPr>
          <w:lang w:eastAsia="ja-JP"/>
        </w:rPr>
        <w:t>/or</w:t>
      </w:r>
      <w:r w:rsidRPr="00CB1970">
        <w:rPr>
          <w:rFonts w:eastAsia="SimSun"/>
          <w:lang w:eastAsia="zh-CN"/>
        </w:rPr>
        <w:t xml:space="preserve"> </w:t>
      </w:r>
      <w:r w:rsidRPr="00CB1970">
        <w:rPr>
          <w:lang w:eastAsia="ja-JP"/>
        </w:rPr>
        <w:t>cable television</w:t>
      </w:r>
      <w:r w:rsidRPr="00CB1970">
        <w:rPr>
          <w:rFonts w:eastAsia="SimSun"/>
          <w:lang w:eastAsia="zh-CN"/>
        </w:rPr>
        <w:t xml:space="preserve"> networks</w:t>
      </w:r>
      <w:r w:rsidRPr="00CB1970">
        <w:rPr>
          <w:lang w:eastAsia="ja-JP"/>
        </w:rPr>
        <w:t xml:space="preserve">. It </w:t>
      </w:r>
      <w:r w:rsidR="009F0FD4">
        <w:rPr>
          <w:lang w:eastAsia="ja-JP"/>
        </w:rPr>
        <w:t>is also expected to provide</w:t>
      </w:r>
      <w:r w:rsidRPr="00CB1970">
        <w:rPr>
          <w:lang w:eastAsia="ja-JP"/>
        </w:rPr>
        <w:t xml:space="preserve"> appropriate measures </w:t>
      </w:r>
      <w:r w:rsidRPr="00CB1970">
        <w:rPr>
          <w:rFonts w:eastAsia="SimSun"/>
          <w:lang w:eastAsia="zh-CN"/>
        </w:rPr>
        <w:t xml:space="preserve">to be applied to the </w:t>
      </w:r>
      <w:r w:rsidRPr="00CB1970">
        <w:rPr>
          <w:lang w:eastAsia="ja-JP"/>
        </w:rPr>
        <w:t xml:space="preserve">cable and the </w:t>
      </w:r>
      <w:r w:rsidRPr="00CB1970">
        <w:rPr>
          <w:rFonts w:eastAsia="SimSun"/>
          <w:lang w:eastAsia="zh-CN"/>
        </w:rPr>
        <w:t>equipment connected to</w:t>
      </w:r>
      <w:r w:rsidRPr="00CB1970">
        <w:rPr>
          <w:lang w:eastAsia="ja-JP"/>
        </w:rPr>
        <w:t xml:space="preserve"> </w:t>
      </w:r>
      <w:proofErr w:type="gramStart"/>
      <w:r w:rsidRPr="00CB1970">
        <w:rPr>
          <w:lang w:eastAsia="ja-JP"/>
        </w:rPr>
        <w:t>wired</w:t>
      </w:r>
      <w:proofErr w:type="gramEnd"/>
      <w:r w:rsidRPr="00CB1970">
        <w:rPr>
          <w:rFonts w:eastAsia="SimSun"/>
          <w:lang w:eastAsia="zh-CN"/>
        </w:rPr>
        <w:t xml:space="preserve"> broadband </w:t>
      </w:r>
      <w:r w:rsidRPr="00CB1970">
        <w:rPr>
          <w:lang w:eastAsia="ja-JP"/>
        </w:rPr>
        <w:t>networks</w:t>
      </w:r>
      <w:r w:rsidR="006B14E4">
        <w:rPr>
          <w:rFonts w:hint="eastAsia"/>
          <w:lang w:eastAsia="ja-JP"/>
        </w:rPr>
        <w:t xml:space="preserve"> (</w:t>
      </w:r>
      <w:r w:rsidR="006518AD">
        <w:rPr>
          <w:rFonts w:hint="eastAsia"/>
          <w:lang w:eastAsia="ja-JP"/>
        </w:rPr>
        <w:t xml:space="preserve">e.g. </w:t>
      </w:r>
      <w:r w:rsidR="006B14E4">
        <w:rPr>
          <w:rFonts w:hint="eastAsia"/>
          <w:lang w:eastAsia="ja-JP"/>
        </w:rPr>
        <w:t xml:space="preserve"> </w:t>
      </w:r>
      <w:r w:rsidR="006B14E4" w:rsidRPr="006B14E4">
        <w:rPr>
          <w:lang w:eastAsia="ja-JP"/>
        </w:rPr>
        <w:t>Asymmetri</w:t>
      </w:r>
      <w:r w:rsidR="006B14E4">
        <w:rPr>
          <w:lang w:eastAsia="ja-JP"/>
        </w:rPr>
        <w:t>c digital subscriber line (ADSL</w:t>
      </w:r>
      <w:r w:rsidR="006B14E4" w:rsidRPr="006B14E4">
        <w:rPr>
          <w:lang w:eastAsia="ja-JP"/>
        </w:rPr>
        <w:t>), Very-high-bit-rat</w:t>
      </w:r>
      <w:r w:rsidR="006B14E4">
        <w:rPr>
          <w:lang w:eastAsia="ja-JP"/>
        </w:rPr>
        <w:t>e digital subscriber line (VDSL</w:t>
      </w:r>
      <w:r w:rsidR="006B14E4" w:rsidRPr="006B14E4">
        <w:rPr>
          <w:lang w:eastAsia="ja-JP"/>
        </w:rPr>
        <w:t>), and Powe</w:t>
      </w:r>
      <w:r w:rsidR="006B14E4">
        <w:rPr>
          <w:lang w:eastAsia="ja-JP"/>
        </w:rPr>
        <w:t>r Line telecommunications (PLT)</w:t>
      </w:r>
      <w:r w:rsidR="006B14E4">
        <w:rPr>
          <w:rFonts w:hint="eastAsia"/>
          <w:lang w:eastAsia="ja-JP"/>
        </w:rPr>
        <w:t>)</w:t>
      </w:r>
      <w:r w:rsidRPr="00CB1970">
        <w:rPr>
          <w:rFonts w:eastAsia="SimSun"/>
          <w:lang w:eastAsia="zh-CN"/>
        </w:rPr>
        <w:t xml:space="preserve"> and</w:t>
      </w:r>
      <w:r w:rsidRPr="00CB1970">
        <w:rPr>
          <w:lang w:eastAsia="ja-JP"/>
        </w:rPr>
        <w:t>/or cable</w:t>
      </w:r>
      <w:r w:rsidRPr="00CB1970">
        <w:rPr>
          <w:rFonts w:eastAsia="SimSun"/>
          <w:lang w:eastAsia="zh-CN"/>
        </w:rPr>
        <w:t xml:space="preserve"> </w:t>
      </w:r>
      <w:r w:rsidRPr="00CB1970">
        <w:rPr>
          <w:lang w:eastAsia="ja-JP"/>
        </w:rPr>
        <w:t>television</w:t>
      </w:r>
      <w:r w:rsidRPr="00CB1970">
        <w:rPr>
          <w:rFonts w:eastAsia="SimSun"/>
          <w:lang w:eastAsia="zh-CN"/>
        </w:rPr>
        <w:t xml:space="preserve"> networks </w:t>
      </w:r>
      <w:r w:rsidRPr="00CB1970">
        <w:rPr>
          <w:lang w:eastAsia="ja-JP"/>
        </w:rPr>
        <w:t xml:space="preserve">for solving the </w:t>
      </w:r>
      <w:r w:rsidRPr="00CB1970">
        <w:rPr>
          <w:rFonts w:eastAsia="SimSun"/>
          <w:lang w:eastAsia="zh-CN"/>
        </w:rPr>
        <w:t>interference</w:t>
      </w:r>
      <w:r w:rsidRPr="00CB1970">
        <w:rPr>
          <w:lang w:eastAsia="ja-JP"/>
        </w:rPr>
        <w:t xml:space="preserve"> </w:t>
      </w:r>
      <w:r w:rsidR="009F0FD4">
        <w:rPr>
          <w:lang w:eastAsia="ja-JP"/>
        </w:rPr>
        <w:t>as well as to provide</w:t>
      </w:r>
      <w:r w:rsidRPr="00CB1970">
        <w:rPr>
          <w:lang w:eastAsia="ja-JP"/>
        </w:rPr>
        <w:t xml:space="preserve"> procedure</w:t>
      </w:r>
      <w:r w:rsidR="009F0FD4">
        <w:rPr>
          <w:lang w:eastAsia="ja-JP"/>
        </w:rPr>
        <w:t>s</w:t>
      </w:r>
      <w:r w:rsidRPr="00CB1970">
        <w:rPr>
          <w:lang w:eastAsia="ja-JP"/>
        </w:rPr>
        <w:t xml:space="preserve"> to </w:t>
      </w:r>
      <w:r w:rsidRPr="00CB1970">
        <w:rPr>
          <w:rFonts w:eastAsia="SimSun"/>
          <w:lang w:eastAsia="zh-CN"/>
        </w:rPr>
        <w:t>address</w:t>
      </w:r>
      <w:r w:rsidRPr="00CB1970">
        <w:rPr>
          <w:lang w:eastAsia="ja-JP"/>
        </w:rPr>
        <w:t xml:space="preserve"> these </w:t>
      </w:r>
      <w:r w:rsidR="009F0FD4">
        <w:rPr>
          <w:lang w:eastAsia="ja-JP"/>
        </w:rPr>
        <w:t>issues</w:t>
      </w:r>
      <w:r w:rsidRPr="00CB1970">
        <w:rPr>
          <w:lang w:eastAsia="ja-JP"/>
        </w:rPr>
        <w:t>.</w:t>
      </w:r>
    </w:p>
    <w:p w:rsidR="00FD3302" w:rsidRPr="00CB1970" w:rsidRDefault="009F0FD4" w:rsidP="009F0FD4">
      <w:pPr>
        <w:jc w:val="both"/>
        <w:rPr>
          <w:lang w:eastAsia="ja-JP"/>
        </w:rPr>
      </w:pPr>
      <w:r>
        <w:rPr>
          <w:lang w:eastAsia="ja-JP"/>
        </w:rPr>
        <w:t>I</w:t>
      </w:r>
      <w:r w:rsidR="00FD3302" w:rsidRPr="00CB1970">
        <w:rPr>
          <w:lang w:eastAsia="ja-JP"/>
        </w:rPr>
        <w:t>nterference</w:t>
      </w:r>
      <w:r w:rsidR="00FD3302" w:rsidRPr="00CB1970">
        <w:rPr>
          <w:rFonts w:hint="eastAsia"/>
          <w:lang w:eastAsia="ja-JP"/>
        </w:rPr>
        <w:t xml:space="preserve"> between radio services and </w:t>
      </w:r>
      <w:r w:rsidR="00FD3302" w:rsidRPr="00CB1970">
        <w:rPr>
          <w:lang w:eastAsia="ja-JP"/>
        </w:rPr>
        <w:t>cable or equipment connected to broadband wired networks or cable television networks in home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has been</w:t>
      </w:r>
      <w:r>
        <w:rPr>
          <w:rFonts w:hint="eastAsia"/>
          <w:lang w:eastAsia="ja-JP"/>
        </w:rPr>
        <w:t xml:space="preserve"> experienced </w:t>
      </w:r>
      <w:r>
        <w:rPr>
          <w:lang w:eastAsia="ja-JP"/>
        </w:rPr>
        <w:t>by</w:t>
      </w:r>
      <w:r w:rsidR="00FD3302" w:rsidRPr="00CB1970">
        <w:rPr>
          <w:rFonts w:hint="eastAsia"/>
          <w:lang w:eastAsia="ja-JP"/>
        </w:rPr>
        <w:t xml:space="preserve"> some </w:t>
      </w:r>
      <w:r>
        <w:rPr>
          <w:lang w:eastAsia="ja-JP"/>
        </w:rPr>
        <w:t xml:space="preserve">telecommunication </w:t>
      </w:r>
      <w:r w:rsidR="00FD3302" w:rsidRPr="00CB1970">
        <w:rPr>
          <w:rFonts w:hint="eastAsia"/>
          <w:lang w:eastAsia="ja-JP"/>
        </w:rPr>
        <w:t xml:space="preserve">operators </w:t>
      </w:r>
      <w:r>
        <w:rPr>
          <w:lang w:eastAsia="ja-JP"/>
        </w:rPr>
        <w:t xml:space="preserve">however </w:t>
      </w:r>
      <w:r w:rsidR="00FD3302" w:rsidRPr="00CB1970">
        <w:rPr>
          <w:rFonts w:hint="eastAsia"/>
          <w:lang w:eastAsia="ja-JP"/>
        </w:rPr>
        <w:t xml:space="preserve">there is </w:t>
      </w:r>
      <w:r w:rsidR="00FE7863" w:rsidRPr="00CB1970">
        <w:rPr>
          <w:lang w:eastAsia="ja-JP"/>
        </w:rPr>
        <w:t xml:space="preserve">insufficient </w:t>
      </w:r>
      <w:r w:rsidR="00FD3302" w:rsidRPr="00CB1970">
        <w:rPr>
          <w:lang w:eastAsia="ja-JP"/>
        </w:rPr>
        <w:t>information</w:t>
      </w:r>
      <w:r w:rsidR="00FD3302" w:rsidRPr="00CB1970">
        <w:rPr>
          <w:rFonts w:hint="eastAsia"/>
          <w:lang w:eastAsia="ja-JP"/>
        </w:rPr>
        <w:t xml:space="preserve"> related to</w:t>
      </w:r>
      <w:r w:rsidR="00FD3302" w:rsidRPr="00CB1970">
        <w:rPr>
          <w:lang w:eastAsia="ja-JP"/>
        </w:rPr>
        <w:t xml:space="preserve"> </w:t>
      </w:r>
      <w:r w:rsidR="00FD3302" w:rsidRPr="00CB1970">
        <w:rPr>
          <w:rFonts w:hint="eastAsia"/>
          <w:lang w:eastAsia="ja-JP"/>
        </w:rPr>
        <w:t>this phenomenon</w:t>
      </w:r>
      <w:r w:rsidR="00FD3302" w:rsidRPr="00CB1970">
        <w:rPr>
          <w:lang w:eastAsia="ja-JP"/>
        </w:rPr>
        <w:t xml:space="preserve">. </w:t>
      </w:r>
    </w:p>
    <w:p w:rsidR="00FD3302" w:rsidRPr="00CB1970" w:rsidRDefault="00FD3302" w:rsidP="009F0FD4">
      <w:pPr>
        <w:jc w:val="both"/>
        <w:rPr>
          <w:lang w:eastAsia="ja-JP"/>
        </w:rPr>
      </w:pPr>
      <w:r w:rsidRPr="00CB1970">
        <w:rPr>
          <w:lang w:eastAsia="ja-JP"/>
        </w:rPr>
        <w:t xml:space="preserve">Therefore, this </w:t>
      </w:r>
      <w:r w:rsidRPr="00CB1970">
        <w:rPr>
          <w:rFonts w:hint="eastAsia"/>
          <w:lang w:eastAsia="ja-JP"/>
        </w:rPr>
        <w:t>Questionnaire</w:t>
      </w:r>
      <w:r w:rsidRPr="00CB1970">
        <w:rPr>
          <w:lang w:eastAsia="ja-JP"/>
        </w:rPr>
        <w:t xml:space="preserve"> </w:t>
      </w:r>
      <w:r w:rsidRPr="00CB1970">
        <w:rPr>
          <w:rFonts w:hint="eastAsia"/>
          <w:lang w:eastAsia="ja-JP"/>
        </w:rPr>
        <w:t xml:space="preserve">is </w:t>
      </w:r>
      <w:r w:rsidRPr="00CB1970">
        <w:rPr>
          <w:lang w:eastAsia="ja-JP"/>
        </w:rPr>
        <w:t xml:space="preserve">issued in order </w:t>
      </w:r>
      <w:r w:rsidRPr="00CB1970">
        <w:rPr>
          <w:rFonts w:hint="eastAsia"/>
          <w:lang w:eastAsia="ja-JP"/>
        </w:rPr>
        <w:t xml:space="preserve">to </w:t>
      </w:r>
      <w:r w:rsidRPr="00CB1970">
        <w:rPr>
          <w:lang w:eastAsia="ja-JP"/>
        </w:rPr>
        <w:t>ask to all</w:t>
      </w:r>
      <w:r w:rsidRPr="00CB1970">
        <w:rPr>
          <w:rFonts w:hint="eastAsia"/>
          <w:lang w:eastAsia="ja-JP"/>
        </w:rPr>
        <w:t xml:space="preserve"> ITU-T</w:t>
      </w:r>
      <w:r w:rsidRPr="00CB1970">
        <w:rPr>
          <w:lang w:eastAsia="ja-JP"/>
        </w:rPr>
        <w:t xml:space="preserve"> </w:t>
      </w:r>
      <w:r w:rsidRPr="00CB1970">
        <w:t>Member States, Sector Members, Academia, and Associates</w:t>
      </w:r>
      <w:r w:rsidRPr="00CB1970">
        <w:rPr>
          <w:rFonts w:hint="eastAsia"/>
          <w:lang w:eastAsia="ja-JP"/>
        </w:rPr>
        <w:t xml:space="preserve"> </w:t>
      </w:r>
      <w:r w:rsidRPr="00CB1970">
        <w:rPr>
          <w:lang w:eastAsia="ja-JP"/>
        </w:rPr>
        <w:t xml:space="preserve">to provide </w:t>
      </w:r>
      <w:r w:rsidRPr="00CB1970">
        <w:rPr>
          <w:rFonts w:hint="eastAsia"/>
          <w:lang w:eastAsia="ja-JP"/>
        </w:rPr>
        <w:t xml:space="preserve">their </w:t>
      </w:r>
      <w:r w:rsidR="009F0FD4">
        <w:rPr>
          <w:lang w:eastAsia="ja-JP"/>
        </w:rPr>
        <w:t>input</w:t>
      </w:r>
      <w:r w:rsidRPr="00CB1970">
        <w:rPr>
          <w:rFonts w:hint="eastAsia"/>
          <w:lang w:eastAsia="ja-JP"/>
        </w:rPr>
        <w:t>.</w:t>
      </w:r>
      <w:r w:rsidRPr="00CB1970" w:rsidDel="001C3D77">
        <w:rPr>
          <w:rFonts w:hint="eastAsia"/>
          <w:lang w:eastAsia="ja-JP"/>
        </w:rPr>
        <w:t xml:space="preserve"> </w:t>
      </w:r>
    </w:p>
    <w:p w:rsidR="007908AA" w:rsidRPr="00CB1970" w:rsidRDefault="007908AA" w:rsidP="00CB1970">
      <w:pPr>
        <w:keepNext/>
        <w:keepLines/>
        <w:jc w:val="both"/>
        <w:rPr>
          <w:bCs/>
        </w:rPr>
      </w:pPr>
      <w:r w:rsidRPr="00CB1970">
        <w:rPr>
          <w:bCs/>
        </w:rPr>
        <w:t xml:space="preserve">The web-based questionnaire can be accessed at the following address: </w:t>
      </w:r>
    </w:p>
    <w:p w:rsidR="00700EE0" w:rsidRPr="00896E6F" w:rsidRDefault="00F9585F" w:rsidP="004108D3">
      <w:pPr>
        <w:rPr>
          <w:rFonts w:ascii="Calibri" w:hAnsi="Calibri"/>
          <w:color w:val="1F497D"/>
          <w:szCs w:val="24"/>
          <w:lang w:val="en-US" w:eastAsia="zh-CN"/>
        </w:rPr>
      </w:pPr>
      <w:hyperlink r:id="rId10" w:history="1">
        <w:r w:rsidR="00700EE0" w:rsidRPr="00896E6F">
          <w:rPr>
            <w:rStyle w:val="Hyperlink"/>
            <w:rFonts w:ascii="Calibri" w:hAnsi="Calibri"/>
            <w:szCs w:val="24"/>
            <w:lang w:val="en-US" w:eastAsia="zh-CN"/>
          </w:rPr>
          <w:t>https://www.itu.int/en/ITU-T/studygroups/2013-2016/05/Pages/questionnaires/radio-cable-equipment.aspx</w:t>
        </w:r>
      </w:hyperlink>
      <w:r w:rsidR="00700EE0" w:rsidRPr="00896E6F">
        <w:rPr>
          <w:rFonts w:ascii="Calibri" w:hAnsi="Calibri"/>
          <w:color w:val="1F497D"/>
          <w:szCs w:val="24"/>
          <w:lang w:val="en-US" w:eastAsia="zh-CN"/>
        </w:rPr>
        <w:t xml:space="preserve"> </w:t>
      </w:r>
    </w:p>
    <w:p w:rsidR="007908AA" w:rsidRPr="00CB1970" w:rsidRDefault="007908AA" w:rsidP="004108D3">
      <w:pPr>
        <w:jc w:val="both"/>
        <w:rPr>
          <w:bCs/>
        </w:rPr>
      </w:pPr>
      <w:r w:rsidRPr="00CB1970">
        <w:rPr>
          <w:bCs/>
        </w:rPr>
        <w:t>I would be very grateful if you could fill in the online questionnaire and submit it not later than</w:t>
      </w:r>
      <w:r w:rsidR="0033608B">
        <w:rPr>
          <w:bCs/>
        </w:rPr>
        <w:br/>
      </w:r>
      <w:r w:rsidR="004108D3">
        <w:rPr>
          <w:bCs/>
        </w:rPr>
        <w:t>20 February 2015</w:t>
      </w:r>
      <w:r w:rsidRPr="00CB1970">
        <w:rPr>
          <w:bCs/>
        </w:rPr>
        <w:t>.</w:t>
      </w:r>
    </w:p>
    <w:p w:rsidR="007908AA" w:rsidRPr="00CB1970" w:rsidRDefault="007908AA" w:rsidP="00CB1970">
      <w:pPr>
        <w:jc w:val="both"/>
        <w:rPr>
          <w:bCs/>
        </w:rPr>
      </w:pPr>
      <w:r w:rsidRPr="00CB1970">
        <w:rPr>
          <w:bCs/>
        </w:rPr>
        <w:t>Should you have any questions, please do not hesitate to contact Ms. Cristina Bueti (</w:t>
      </w:r>
      <w:hyperlink r:id="rId11" w:history="1">
        <w:r w:rsidRPr="00CB1970">
          <w:rPr>
            <w:rStyle w:val="Hyperlink"/>
            <w:bCs/>
          </w:rPr>
          <w:t>tsbsg5@itu.int</w:t>
        </w:r>
      </w:hyperlink>
      <w:r w:rsidRPr="00CB1970">
        <w:rPr>
          <w:bCs/>
        </w:rPr>
        <w:t>).</w:t>
      </w:r>
    </w:p>
    <w:p w:rsidR="007908AA" w:rsidRPr="00CB1970" w:rsidRDefault="007908AA" w:rsidP="00CB1970">
      <w:pPr>
        <w:jc w:val="both"/>
      </w:pPr>
      <w:r w:rsidRPr="00CB1970">
        <w:rPr>
          <w:bCs/>
        </w:rPr>
        <w:t>The success of this questionnaire depends on the responses that are received from ITU</w:t>
      </w:r>
      <w:r w:rsidR="00421877" w:rsidRPr="00AB5DAE">
        <w:rPr>
          <w:bCs/>
        </w:rPr>
        <w:t>-T</w:t>
      </w:r>
      <w:r w:rsidRPr="00CB1970">
        <w:rPr>
          <w:bCs/>
        </w:rPr>
        <w:t xml:space="preserve"> Member States, ITU</w:t>
      </w:r>
      <w:r w:rsidR="00421877" w:rsidRPr="00AB5DAE">
        <w:rPr>
          <w:bCs/>
        </w:rPr>
        <w:t>-T</w:t>
      </w:r>
      <w:r w:rsidRPr="00CB1970">
        <w:rPr>
          <w:bCs/>
        </w:rPr>
        <w:t xml:space="preserve"> Sector Members, Academia, and Associates. I urge you to take the time to fully respond to the survey and submit your responses before the</w:t>
      </w:r>
      <w:r w:rsidR="00CD2FA9" w:rsidRPr="00CB1970">
        <w:rPr>
          <w:bCs/>
        </w:rPr>
        <w:t xml:space="preserve"> above-mentioned</w:t>
      </w:r>
      <w:r w:rsidRPr="00CB1970">
        <w:rPr>
          <w:bCs/>
        </w:rPr>
        <w:t xml:space="preserve"> deadline.</w:t>
      </w:r>
    </w:p>
    <w:p w:rsidR="00383598" w:rsidRPr="00CB1970" w:rsidRDefault="00392C66" w:rsidP="00CB1970">
      <w:pPr>
        <w:jc w:val="both"/>
      </w:pPr>
      <w:bookmarkStart w:id="3" w:name="_GoBack"/>
      <w:bookmarkEnd w:id="3"/>
      <w:r w:rsidRPr="00CB1970">
        <w:t>Thank you in advance for your cooperation.</w:t>
      </w:r>
    </w:p>
    <w:p w:rsidR="00383598" w:rsidRPr="00CB1970" w:rsidRDefault="00383598" w:rsidP="00CB1970">
      <w:pPr>
        <w:spacing w:before="480"/>
        <w:jc w:val="both"/>
      </w:pPr>
      <w:r w:rsidRPr="00CB1970">
        <w:t>Yours faithfully,</w:t>
      </w:r>
      <w:r w:rsidR="00896E6F" w:rsidRPr="00896E6F">
        <w:rPr>
          <w:noProof/>
          <w:lang w:val="en-US" w:eastAsia="zh-CN"/>
        </w:rPr>
        <w:t xml:space="preserve"> </w:t>
      </w:r>
    </w:p>
    <w:p w:rsidR="00383598" w:rsidRPr="00624555" w:rsidRDefault="00383598" w:rsidP="00896E6F">
      <w:pPr>
        <w:spacing w:before="1560"/>
      </w:pPr>
      <w:r w:rsidRPr="00CB1970">
        <w:rPr>
          <w:lang w:val="en-US"/>
        </w:rPr>
        <w:t>Malcolm Johnson</w:t>
      </w:r>
      <w:r w:rsidRPr="00CB1970">
        <w:br/>
        <w:t>Director of the Telecommunication</w:t>
      </w:r>
      <w:r w:rsidRPr="00CB1970">
        <w:br/>
        <w:t>Standardization Bureau</w:t>
      </w:r>
    </w:p>
    <w:p w:rsidR="0087300D" w:rsidRPr="00E17CCC" w:rsidRDefault="0087300D" w:rsidP="00BD0E50">
      <w:pPr>
        <w:spacing w:before="360"/>
        <w:rPr>
          <w:b/>
          <w:bCs/>
        </w:rPr>
      </w:pPr>
    </w:p>
    <w:sectPr w:rsidR="0087300D" w:rsidRPr="00E17CCC" w:rsidSect="002F653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CB" w:rsidRDefault="00C611CB">
      <w:r>
        <w:separator/>
      </w:r>
    </w:p>
    <w:p w:rsidR="00C611CB" w:rsidRDefault="00C611CB"/>
  </w:endnote>
  <w:endnote w:type="continuationSeparator" w:id="0">
    <w:p w:rsidR="00C611CB" w:rsidRDefault="00C611CB">
      <w:r>
        <w:continuationSeparator/>
      </w:r>
    </w:p>
    <w:p w:rsidR="00C611CB" w:rsidRDefault="00C61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96AB1" w:rsidP="0033608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</w:t>
    </w:r>
    <w:r w:rsidR="00AB5DAE" w:rsidRPr="00AB5DAE">
      <w:rPr>
        <w:lang w:val="fr-CH"/>
      </w:rPr>
      <w:t>\127</w:t>
    </w:r>
    <w:r w:rsidRPr="00AB5DAE">
      <w:rPr>
        <w:lang w:val="fr-CH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CB" w:rsidRDefault="00C611CB">
      <w:r>
        <w:t>____________________</w:t>
      </w:r>
    </w:p>
    <w:p w:rsidR="00C611CB" w:rsidRDefault="00C611CB"/>
  </w:footnote>
  <w:footnote w:type="continuationSeparator" w:id="0">
    <w:p w:rsidR="00C611CB" w:rsidRDefault="00C611CB">
      <w:r>
        <w:continuationSeparator/>
      </w:r>
    </w:p>
    <w:p w:rsidR="00C611CB" w:rsidRDefault="00C611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F9585F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BB1CAF">
          <w:fldChar w:fldCharType="begin"/>
        </w:r>
        <w:r w:rsidR="00C740E1">
          <w:instrText xml:space="preserve"> PAGE   \* MERGEFORMAT </w:instrText>
        </w:r>
        <w:r w:rsidR="00BB1CAF">
          <w:fldChar w:fldCharType="separate"/>
        </w:r>
        <w:r>
          <w:rPr>
            <w:noProof/>
          </w:rPr>
          <w:t>2</w:t>
        </w:r>
        <w:r w:rsidR="00BB1CAF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  <w:p w:rsidR="00BB1CAF" w:rsidRDefault="00BB1C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85"/>
    <w:rsid w:val="000069D4"/>
    <w:rsid w:val="00014D51"/>
    <w:rsid w:val="000174AD"/>
    <w:rsid w:val="000305E1"/>
    <w:rsid w:val="000A2C85"/>
    <w:rsid w:val="000A7D55"/>
    <w:rsid w:val="000C2E8E"/>
    <w:rsid w:val="000D49FB"/>
    <w:rsid w:val="000D4A51"/>
    <w:rsid w:val="000E0E7C"/>
    <w:rsid w:val="000F1B4B"/>
    <w:rsid w:val="001137ED"/>
    <w:rsid w:val="0012744F"/>
    <w:rsid w:val="00130DED"/>
    <w:rsid w:val="001444A1"/>
    <w:rsid w:val="00152FC8"/>
    <w:rsid w:val="00156DFF"/>
    <w:rsid w:val="00156F66"/>
    <w:rsid w:val="001671B4"/>
    <w:rsid w:val="00171E4F"/>
    <w:rsid w:val="00182528"/>
    <w:rsid w:val="0018500B"/>
    <w:rsid w:val="00196A19"/>
    <w:rsid w:val="00196AB1"/>
    <w:rsid w:val="00202DC1"/>
    <w:rsid w:val="002116EE"/>
    <w:rsid w:val="00216226"/>
    <w:rsid w:val="002309D8"/>
    <w:rsid w:val="0024447A"/>
    <w:rsid w:val="00287BF1"/>
    <w:rsid w:val="002A7FE2"/>
    <w:rsid w:val="002B711C"/>
    <w:rsid w:val="002E1B4F"/>
    <w:rsid w:val="002F2E67"/>
    <w:rsid w:val="002F6530"/>
    <w:rsid w:val="002F7E8D"/>
    <w:rsid w:val="00315546"/>
    <w:rsid w:val="00330567"/>
    <w:rsid w:val="0033608B"/>
    <w:rsid w:val="00351DA5"/>
    <w:rsid w:val="00372A68"/>
    <w:rsid w:val="00372DF0"/>
    <w:rsid w:val="00383598"/>
    <w:rsid w:val="00386A9D"/>
    <w:rsid w:val="00391081"/>
    <w:rsid w:val="00392C66"/>
    <w:rsid w:val="003B2789"/>
    <w:rsid w:val="003C13CE"/>
    <w:rsid w:val="003C410E"/>
    <w:rsid w:val="003E2518"/>
    <w:rsid w:val="00403DC3"/>
    <w:rsid w:val="004108D3"/>
    <w:rsid w:val="00421877"/>
    <w:rsid w:val="004314A2"/>
    <w:rsid w:val="00496724"/>
    <w:rsid w:val="004B1EF7"/>
    <w:rsid w:val="004B27E9"/>
    <w:rsid w:val="004B3FAD"/>
    <w:rsid w:val="004E3CF9"/>
    <w:rsid w:val="00501DCA"/>
    <w:rsid w:val="00513A47"/>
    <w:rsid w:val="0051668D"/>
    <w:rsid w:val="005408DF"/>
    <w:rsid w:val="0055318D"/>
    <w:rsid w:val="00573344"/>
    <w:rsid w:val="00583F9B"/>
    <w:rsid w:val="005E1223"/>
    <w:rsid w:val="005E5C10"/>
    <w:rsid w:val="005F2C78"/>
    <w:rsid w:val="006144E4"/>
    <w:rsid w:val="00624555"/>
    <w:rsid w:val="00650299"/>
    <w:rsid w:val="006518AD"/>
    <w:rsid w:val="00655FC5"/>
    <w:rsid w:val="0067092B"/>
    <w:rsid w:val="006B14E4"/>
    <w:rsid w:val="006B31A3"/>
    <w:rsid w:val="006C1B8E"/>
    <w:rsid w:val="00700EE0"/>
    <w:rsid w:val="00707C25"/>
    <w:rsid w:val="007365DE"/>
    <w:rsid w:val="007632B1"/>
    <w:rsid w:val="00782338"/>
    <w:rsid w:val="007908AA"/>
    <w:rsid w:val="0079349B"/>
    <w:rsid w:val="0079679B"/>
    <w:rsid w:val="007D2F64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62B6"/>
    <w:rsid w:val="00896E6F"/>
    <w:rsid w:val="008A0A55"/>
    <w:rsid w:val="008A5B33"/>
    <w:rsid w:val="008C26B8"/>
    <w:rsid w:val="008E718D"/>
    <w:rsid w:val="00904CB2"/>
    <w:rsid w:val="009273EC"/>
    <w:rsid w:val="00932E45"/>
    <w:rsid w:val="00940292"/>
    <w:rsid w:val="00940E49"/>
    <w:rsid w:val="00951309"/>
    <w:rsid w:val="00964CF0"/>
    <w:rsid w:val="00982084"/>
    <w:rsid w:val="00991A72"/>
    <w:rsid w:val="00995963"/>
    <w:rsid w:val="00997CBF"/>
    <w:rsid w:val="009A54D9"/>
    <w:rsid w:val="009A611F"/>
    <w:rsid w:val="009B61EB"/>
    <w:rsid w:val="009B6449"/>
    <w:rsid w:val="009C2064"/>
    <w:rsid w:val="009D1697"/>
    <w:rsid w:val="009D4047"/>
    <w:rsid w:val="009E5F82"/>
    <w:rsid w:val="009F0FD4"/>
    <w:rsid w:val="009F3CBC"/>
    <w:rsid w:val="00A014F8"/>
    <w:rsid w:val="00A06EFE"/>
    <w:rsid w:val="00A11DCA"/>
    <w:rsid w:val="00A5173C"/>
    <w:rsid w:val="00A61AEF"/>
    <w:rsid w:val="00A93185"/>
    <w:rsid w:val="00A93B3D"/>
    <w:rsid w:val="00AA1543"/>
    <w:rsid w:val="00AB0FFD"/>
    <w:rsid w:val="00AB5DAE"/>
    <w:rsid w:val="00AC12C9"/>
    <w:rsid w:val="00AD7192"/>
    <w:rsid w:val="00AF10F1"/>
    <w:rsid w:val="00AF173A"/>
    <w:rsid w:val="00B066A4"/>
    <w:rsid w:val="00B07A13"/>
    <w:rsid w:val="00B143E2"/>
    <w:rsid w:val="00B278C5"/>
    <w:rsid w:val="00B4279B"/>
    <w:rsid w:val="00B45FC9"/>
    <w:rsid w:val="00B83461"/>
    <w:rsid w:val="00BA63F4"/>
    <w:rsid w:val="00BB1CAF"/>
    <w:rsid w:val="00BB6F35"/>
    <w:rsid w:val="00BC7CCF"/>
    <w:rsid w:val="00BD0E50"/>
    <w:rsid w:val="00BE470B"/>
    <w:rsid w:val="00C018E7"/>
    <w:rsid w:val="00C347FF"/>
    <w:rsid w:val="00C57A91"/>
    <w:rsid w:val="00C611CB"/>
    <w:rsid w:val="00C740E1"/>
    <w:rsid w:val="00C964AC"/>
    <w:rsid w:val="00CB1970"/>
    <w:rsid w:val="00CB43AF"/>
    <w:rsid w:val="00CC01C2"/>
    <w:rsid w:val="00CD2FA9"/>
    <w:rsid w:val="00CF21F2"/>
    <w:rsid w:val="00D02712"/>
    <w:rsid w:val="00D214D0"/>
    <w:rsid w:val="00D237E7"/>
    <w:rsid w:val="00D37EF3"/>
    <w:rsid w:val="00D37F36"/>
    <w:rsid w:val="00D6546B"/>
    <w:rsid w:val="00D65A6D"/>
    <w:rsid w:val="00D84F7F"/>
    <w:rsid w:val="00DD4BED"/>
    <w:rsid w:val="00DE39F0"/>
    <w:rsid w:val="00DF0AF3"/>
    <w:rsid w:val="00E17CCC"/>
    <w:rsid w:val="00E27D7E"/>
    <w:rsid w:val="00E34935"/>
    <w:rsid w:val="00E42E13"/>
    <w:rsid w:val="00E6257C"/>
    <w:rsid w:val="00E63C59"/>
    <w:rsid w:val="00E91C72"/>
    <w:rsid w:val="00EC51E0"/>
    <w:rsid w:val="00F70F50"/>
    <w:rsid w:val="00F9585F"/>
    <w:rsid w:val="00FA124A"/>
    <w:rsid w:val="00FC08DD"/>
    <w:rsid w:val="00FC2316"/>
    <w:rsid w:val="00FC2CFD"/>
    <w:rsid w:val="00FD06C7"/>
    <w:rsid w:val="00FD3302"/>
    <w:rsid w:val="00FE1069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;"/>
  <w15:docId w15:val="{E424987C-FFA4-46EC-A38C-8FC4382E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1137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37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37E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3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37E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137E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studygroups/2013-2016/05/Pages/questionnaires/radio-cable-equipmen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65F2-AFCE-4D8A-AC19-500EA66C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2</Pages>
  <Words>517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Lacombe, Odile</dc:creator>
  <cp:lastModifiedBy>Aveline, Marion</cp:lastModifiedBy>
  <cp:revision>3</cp:revision>
  <cp:lastPrinted>2014-11-27T09:29:00Z</cp:lastPrinted>
  <dcterms:created xsi:type="dcterms:W3CDTF">2014-11-27T09:29:00Z</dcterms:created>
  <dcterms:modified xsi:type="dcterms:W3CDTF">2014-11-27T12:25:00Z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