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Layout w:type="fixed"/>
        <w:tblCellMar>
          <w:left w:w="0" w:type="dxa"/>
          <w:right w:w="0" w:type="dxa"/>
        </w:tblCellMar>
        <w:tblLook w:val="0000" w:firstRow="0" w:lastRow="0" w:firstColumn="0" w:lastColumn="0" w:noHBand="0" w:noVBand="0"/>
      </w:tblPr>
      <w:tblGrid>
        <w:gridCol w:w="1276"/>
        <w:gridCol w:w="5150"/>
        <w:gridCol w:w="1371"/>
        <w:gridCol w:w="1984"/>
      </w:tblGrid>
      <w:tr w:rsidR="006E4F7B" w:rsidRPr="00601CA5" w:rsidTr="000C6AEC">
        <w:trPr>
          <w:cantSplit/>
        </w:trPr>
        <w:tc>
          <w:tcPr>
            <w:tcW w:w="1276" w:type="dxa"/>
            <w:vAlign w:val="center"/>
          </w:tcPr>
          <w:p w:rsidR="006E4F7B" w:rsidRPr="00601CA5" w:rsidRDefault="006E4F7B" w:rsidP="000C6AEC">
            <w:pPr>
              <w:tabs>
                <w:tab w:val="right" w:pos="8732"/>
              </w:tabs>
              <w:spacing w:before="0"/>
              <w:rPr>
                <w:rFonts w:ascii="Verdana" w:hAnsi="Verdana"/>
                <w:b/>
                <w:bCs/>
                <w:color w:val="FFFFFF"/>
                <w:sz w:val="26"/>
                <w:szCs w:val="26"/>
              </w:rPr>
            </w:pPr>
            <w:bookmarkStart w:id="0" w:name="ditulogo"/>
            <w:bookmarkEnd w:id="0"/>
            <w:r w:rsidRPr="00601CA5">
              <w:rPr>
                <w:noProof/>
                <w:lang w:val="en-GB" w:eastAsia="zh-CN"/>
              </w:rPr>
              <w:drawing>
                <wp:inline distT="0" distB="0" distL="0" distR="0" wp14:anchorId="7CFBF1EB" wp14:editId="687CCCE3">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521" w:type="dxa"/>
            <w:gridSpan w:val="2"/>
            <w:vAlign w:val="center"/>
          </w:tcPr>
          <w:p w:rsidR="00085662" w:rsidRPr="00601CA5" w:rsidRDefault="00085662" w:rsidP="000C6AEC">
            <w:pPr>
              <w:spacing w:before="0"/>
              <w:rPr>
                <w:rFonts w:cs="Times New Roman Bold"/>
                <w:b/>
                <w:bCs/>
                <w:iCs/>
                <w:smallCaps/>
                <w:sz w:val="34"/>
                <w:szCs w:val="34"/>
              </w:rPr>
            </w:pPr>
            <w:r w:rsidRPr="00601CA5">
              <w:rPr>
                <w:rFonts w:cs="Times New Roman Bold"/>
                <w:b/>
                <w:bCs/>
                <w:iCs/>
                <w:smallCaps/>
                <w:sz w:val="34"/>
                <w:szCs w:val="34"/>
              </w:rPr>
              <w:t>Unión Internacional de Telecomunicaciones</w:t>
            </w:r>
          </w:p>
          <w:p w:rsidR="006E4F7B" w:rsidRPr="00601CA5" w:rsidRDefault="00085662" w:rsidP="000C6AEC">
            <w:pPr>
              <w:tabs>
                <w:tab w:val="right" w:pos="8732"/>
              </w:tabs>
              <w:spacing w:before="0"/>
              <w:rPr>
                <w:rFonts w:ascii="Verdana" w:hAnsi="Verdana"/>
                <w:b/>
                <w:bCs/>
                <w:color w:val="FFFFFF"/>
                <w:sz w:val="26"/>
                <w:szCs w:val="26"/>
              </w:rPr>
            </w:pPr>
            <w:r w:rsidRPr="00601CA5">
              <w:rPr>
                <w:rFonts w:cs="Times New Roman Bold"/>
                <w:b/>
                <w:bCs/>
                <w:iCs/>
                <w:smallCaps/>
                <w:sz w:val="28"/>
                <w:szCs w:val="28"/>
              </w:rPr>
              <w:t>Oficina de Normalización de las Telecomunicaciones</w:t>
            </w:r>
          </w:p>
        </w:tc>
        <w:tc>
          <w:tcPr>
            <w:tcW w:w="1984" w:type="dxa"/>
            <w:vAlign w:val="center"/>
          </w:tcPr>
          <w:p w:rsidR="006E4F7B" w:rsidRPr="00601CA5" w:rsidRDefault="006E4F7B" w:rsidP="000C6AEC">
            <w:pPr>
              <w:spacing w:before="0"/>
              <w:jc w:val="right"/>
              <w:rPr>
                <w:rFonts w:ascii="Verdana" w:hAnsi="Verdana"/>
                <w:color w:val="FFFFFF"/>
                <w:sz w:val="26"/>
                <w:szCs w:val="26"/>
              </w:rPr>
            </w:pPr>
            <w:r w:rsidRPr="00601CA5">
              <w:rPr>
                <w:noProof/>
                <w:lang w:val="en-GB" w:eastAsia="zh-CN"/>
              </w:rPr>
              <w:drawing>
                <wp:inline distT="0" distB="0" distL="0" distR="0" wp14:anchorId="73CC9929" wp14:editId="0B1CA725">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C34772" w:rsidRPr="00601CA5" w:rsidTr="000C6AEC">
        <w:trPr>
          <w:cantSplit/>
        </w:trPr>
        <w:tc>
          <w:tcPr>
            <w:tcW w:w="6426" w:type="dxa"/>
            <w:gridSpan w:val="2"/>
            <w:vAlign w:val="center"/>
          </w:tcPr>
          <w:p w:rsidR="00C34772" w:rsidRPr="00601CA5" w:rsidRDefault="00C34772" w:rsidP="000C6AEC">
            <w:pPr>
              <w:tabs>
                <w:tab w:val="right" w:pos="8732"/>
              </w:tabs>
              <w:spacing w:before="0"/>
              <w:rPr>
                <w:rFonts w:ascii="Verdana" w:hAnsi="Verdana"/>
                <w:b/>
                <w:bCs/>
                <w:iCs/>
                <w:sz w:val="18"/>
                <w:szCs w:val="18"/>
              </w:rPr>
            </w:pPr>
          </w:p>
        </w:tc>
        <w:tc>
          <w:tcPr>
            <w:tcW w:w="3355" w:type="dxa"/>
            <w:gridSpan w:val="2"/>
            <w:vAlign w:val="center"/>
          </w:tcPr>
          <w:p w:rsidR="00C34772" w:rsidRPr="00601CA5" w:rsidRDefault="00C34772" w:rsidP="000C6AEC">
            <w:pPr>
              <w:spacing w:before="0"/>
              <w:ind w:left="993" w:hanging="993"/>
              <w:jc w:val="right"/>
              <w:rPr>
                <w:rFonts w:ascii="Verdana" w:hAnsi="Verdana"/>
                <w:sz w:val="18"/>
                <w:szCs w:val="18"/>
              </w:rPr>
            </w:pPr>
          </w:p>
        </w:tc>
      </w:tr>
    </w:tbl>
    <w:p w:rsidR="00C34772" w:rsidRPr="00601CA5" w:rsidRDefault="00C34772" w:rsidP="00303D62">
      <w:pPr>
        <w:tabs>
          <w:tab w:val="clear" w:pos="794"/>
          <w:tab w:val="clear" w:pos="1191"/>
          <w:tab w:val="clear" w:pos="1588"/>
          <w:tab w:val="clear" w:pos="1985"/>
          <w:tab w:val="left" w:pos="4962"/>
        </w:tabs>
      </w:pPr>
    </w:p>
    <w:p w:rsidR="00B46ABE" w:rsidRPr="00601CA5" w:rsidRDefault="00B46ABE" w:rsidP="00DA43BB">
      <w:pPr>
        <w:tabs>
          <w:tab w:val="clear" w:pos="794"/>
          <w:tab w:val="clear" w:pos="1191"/>
          <w:tab w:val="clear" w:pos="1588"/>
          <w:tab w:val="clear" w:pos="1985"/>
          <w:tab w:val="left" w:pos="4962"/>
        </w:tabs>
        <w:spacing w:before="0"/>
      </w:pPr>
      <w:bookmarkStart w:id="1" w:name="StartTyping_S"/>
      <w:bookmarkStart w:id="2" w:name="suitetext"/>
      <w:bookmarkStart w:id="3" w:name="text"/>
      <w:bookmarkEnd w:id="1"/>
      <w:bookmarkEnd w:id="2"/>
      <w:bookmarkEnd w:id="3"/>
      <w:r w:rsidRPr="00601CA5">
        <w:tab/>
        <w:t xml:space="preserve">Ginebra, </w:t>
      </w:r>
      <w:r w:rsidR="00DA43BB" w:rsidRPr="00601CA5">
        <w:t xml:space="preserve">22 de septiembre </w:t>
      </w:r>
      <w:r w:rsidRPr="00601CA5">
        <w:t>de 2015</w:t>
      </w:r>
    </w:p>
    <w:p w:rsidR="00B46ABE" w:rsidRPr="00601CA5" w:rsidRDefault="00B46ABE" w:rsidP="00E83164"/>
    <w:tbl>
      <w:tblPr>
        <w:tblW w:w="10206" w:type="dxa"/>
        <w:tblInd w:w="8" w:type="dxa"/>
        <w:tblLayout w:type="fixed"/>
        <w:tblCellMar>
          <w:left w:w="0" w:type="dxa"/>
          <w:right w:w="0" w:type="dxa"/>
        </w:tblCellMar>
        <w:tblLook w:val="0000" w:firstRow="0" w:lastRow="0" w:firstColumn="0" w:lastColumn="0" w:noHBand="0" w:noVBand="0"/>
      </w:tblPr>
      <w:tblGrid>
        <w:gridCol w:w="993"/>
        <w:gridCol w:w="3884"/>
        <w:gridCol w:w="5329"/>
      </w:tblGrid>
      <w:tr w:rsidR="00B46ABE" w:rsidRPr="00601CA5" w:rsidTr="002E4478">
        <w:trPr>
          <w:cantSplit/>
          <w:trHeight w:val="340"/>
        </w:trPr>
        <w:tc>
          <w:tcPr>
            <w:tcW w:w="993" w:type="dxa"/>
          </w:tcPr>
          <w:p w:rsidR="00B46ABE" w:rsidRPr="00601CA5" w:rsidRDefault="00B46ABE" w:rsidP="00F634EF">
            <w:pPr>
              <w:pStyle w:val="Tabletext0"/>
              <w:tabs>
                <w:tab w:val="clear" w:pos="1134"/>
                <w:tab w:val="clear" w:pos="2268"/>
                <w:tab w:val="left" w:pos="794"/>
                <w:tab w:val="left" w:pos="1191"/>
                <w:tab w:val="left" w:pos="1588"/>
              </w:tabs>
              <w:spacing w:before="10" w:after="0"/>
              <w:rPr>
                <w:sz w:val="24"/>
                <w:szCs w:val="24"/>
              </w:rPr>
            </w:pPr>
            <w:r w:rsidRPr="00601CA5">
              <w:rPr>
                <w:sz w:val="24"/>
                <w:szCs w:val="24"/>
              </w:rPr>
              <w:t>Ref.:</w:t>
            </w:r>
          </w:p>
          <w:p w:rsidR="00B46ABE" w:rsidRPr="00601CA5" w:rsidRDefault="00B46ABE" w:rsidP="00F634EF">
            <w:pPr>
              <w:pStyle w:val="Tabletext0"/>
              <w:tabs>
                <w:tab w:val="clear" w:pos="1134"/>
                <w:tab w:val="clear" w:pos="2268"/>
                <w:tab w:val="left" w:pos="794"/>
                <w:tab w:val="left" w:pos="1191"/>
                <w:tab w:val="left" w:pos="1588"/>
              </w:tabs>
              <w:spacing w:before="10" w:after="0"/>
              <w:rPr>
                <w:sz w:val="24"/>
                <w:szCs w:val="24"/>
              </w:rPr>
            </w:pPr>
          </w:p>
          <w:p w:rsidR="00B46ABE" w:rsidRPr="00601CA5" w:rsidRDefault="00B46ABE" w:rsidP="00F634EF">
            <w:pPr>
              <w:pStyle w:val="Tabletext0"/>
              <w:tabs>
                <w:tab w:val="clear" w:pos="1134"/>
                <w:tab w:val="clear" w:pos="2268"/>
                <w:tab w:val="left" w:pos="794"/>
                <w:tab w:val="left" w:pos="1191"/>
                <w:tab w:val="left" w:pos="1588"/>
              </w:tabs>
              <w:spacing w:before="10" w:after="0"/>
              <w:rPr>
                <w:sz w:val="24"/>
                <w:szCs w:val="24"/>
              </w:rPr>
            </w:pPr>
          </w:p>
          <w:p w:rsidR="00B46ABE" w:rsidRPr="00601CA5" w:rsidRDefault="00B46ABE" w:rsidP="00F634EF">
            <w:pPr>
              <w:pStyle w:val="Tabletext0"/>
              <w:tabs>
                <w:tab w:val="clear" w:pos="1134"/>
                <w:tab w:val="clear" w:pos="2268"/>
                <w:tab w:val="left" w:pos="794"/>
                <w:tab w:val="left" w:pos="1191"/>
                <w:tab w:val="left" w:pos="1588"/>
              </w:tabs>
              <w:spacing w:before="10" w:after="0"/>
              <w:rPr>
                <w:sz w:val="24"/>
                <w:szCs w:val="24"/>
              </w:rPr>
            </w:pPr>
            <w:r w:rsidRPr="00601CA5">
              <w:rPr>
                <w:sz w:val="24"/>
                <w:szCs w:val="24"/>
              </w:rPr>
              <w:t>Tel.:</w:t>
            </w:r>
            <w:r w:rsidRPr="00601CA5">
              <w:rPr>
                <w:sz w:val="24"/>
                <w:szCs w:val="24"/>
              </w:rPr>
              <w:br/>
              <w:t>Fax:</w:t>
            </w:r>
          </w:p>
        </w:tc>
        <w:tc>
          <w:tcPr>
            <w:tcW w:w="3884" w:type="dxa"/>
          </w:tcPr>
          <w:p w:rsidR="00B46ABE" w:rsidRPr="00601CA5" w:rsidRDefault="00DA43BB" w:rsidP="00F634EF">
            <w:pPr>
              <w:tabs>
                <w:tab w:val="left" w:pos="4111"/>
              </w:tabs>
              <w:spacing w:before="10"/>
              <w:ind w:left="57"/>
              <w:rPr>
                <w:b/>
                <w:szCs w:val="24"/>
              </w:rPr>
            </w:pPr>
            <w:r w:rsidRPr="00601CA5">
              <w:rPr>
                <w:b/>
                <w:szCs w:val="24"/>
              </w:rPr>
              <w:t>Circular TSB 173</w:t>
            </w:r>
          </w:p>
          <w:p w:rsidR="00B46ABE" w:rsidRPr="00601CA5" w:rsidRDefault="00B46ABE" w:rsidP="00F634EF">
            <w:pPr>
              <w:tabs>
                <w:tab w:val="left" w:pos="4111"/>
              </w:tabs>
              <w:spacing w:before="10"/>
              <w:ind w:left="57"/>
              <w:rPr>
                <w:b/>
                <w:szCs w:val="24"/>
              </w:rPr>
            </w:pPr>
            <w:r w:rsidRPr="00601CA5">
              <w:rPr>
                <w:szCs w:val="24"/>
              </w:rPr>
              <w:t>COM 17/MEU</w:t>
            </w:r>
          </w:p>
          <w:p w:rsidR="00B46ABE" w:rsidRPr="00601CA5" w:rsidRDefault="00B46ABE" w:rsidP="00F634EF">
            <w:pPr>
              <w:tabs>
                <w:tab w:val="left" w:pos="4111"/>
              </w:tabs>
              <w:spacing w:before="10"/>
              <w:ind w:left="57"/>
              <w:rPr>
                <w:szCs w:val="24"/>
              </w:rPr>
            </w:pPr>
          </w:p>
          <w:p w:rsidR="00B46ABE" w:rsidRPr="00601CA5" w:rsidRDefault="00B46ABE" w:rsidP="00F634EF">
            <w:pPr>
              <w:tabs>
                <w:tab w:val="left" w:pos="4111"/>
              </w:tabs>
              <w:spacing w:before="10"/>
              <w:ind w:left="57"/>
              <w:rPr>
                <w:szCs w:val="24"/>
              </w:rPr>
            </w:pPr>
            <w:r w:rsidRPr="00601CA5">
              <w:rPr>
                <w:szCs w:val="24"/>
              </w:rPr>
              <w:t>+41 22 730 5866</w:t>
            </w:r>
            <w:r w:rsidRPr="00601CA5">
              <w:rPr>
                <w:szCs w:val="24"/>
              </w:rPr>
              <w:br/>
              <w:t>+41 22 730 5853</w:t>
            </w:r>
          </w:p>
        </w:tc>
        <w:tc>
          <w:tcPr>
            <w:tcW w:w="5329" w:type="dxa"/>
          </w:tcPr>
          <w:p w:rsidR="00B46ABE" w:rsidRPr="00601CA5" w:rsidRDefault="00B46ABE" w:rsidP="00303D62">
            <w:pPr>
              <w:tabs>
                <w:tab w:val="clear" w:pos="794"/>
                <w:tab w:val="clear" w:pos="1191"/>
                <w:tab w:val="clear" w:pos="1588"/>
                <w:tab w:val="clear" w:pos="1985"/>
                <w:tab w:val="left" w:pos="284"/>
              </w:tabs>
              <w:spacing w:before="0"/>
              <w:ind w:left="284" w:hanging="227"/>
              <w:rPr>
                <w:szCs w:val="24"/>
              </w:rPr>
            </w:pPr>
            <w:r w:rsidRPr="00601CA5">
              <w:rPr>
                <w:szCs w:val="24"/>
              </w:rPr>
              <w:t>-</w:t>
            </w:r>
            <w:r w:rsidRPr="00601CA5">
              <w:rPr>
                <w:szCs w:val="24"/>
              </w:rPr>
              <w:tab/>
              <w:t xml:space="preserve">A las Administraciones de los Estados Miembros </w:t>
            </w:r>
            <w:r w:rsidRPr="00601CA5">
              <w:rPr>
                <w:szCs w:val="24"/>
              </w:rPr>
              <w:br/>
              <w:t>de la Unión</w:t>
            </w:r>
          </w:p>
        </w:tc>
      </w:tr>
      <w:tr w:rsidR="00B46ABE" w:rsidRPr="00601CA5" w:rsidTr="002E4478">
        <w:trPr>
          <w:cantSplit/>
        </w:trPr>
        <w:tc>
          <w:tcPr>
            <w:tcW w:w="993" w:type="dxa"/>
          </w:tcPr>
          <w:p w:rsidR="00B46ABE" w:rsidRPr="00601CA5" w:rsidRDefault="00B46ABE" w:rsidP="00DA43BB">
            <w:pPr>
              <w:pStyle w:val="Tabletext0"/>
              <w:tabs>
                <w:tab w:val="clear" w:pos="1134"/>
                <w:tab w:val="clear" w:pos="2268"/>
                <w:tab w:val="left" w:pos="794"/>
                <w:tab w:val="left" w:pos="1191"/>
                <w:tab w:val="left" w:pos="1588"/>
              </w:tabs>
              <w:rPr>
                <w:sz w:val="24"/>
                <w:szCs w:val="24"/>
              </w:rPr>
            </w:pPr>
            <w:r w:rsidRPr="00601CA5">
              <w:rPr>
                <w:sz w:val="24"/>
                <w:szCs w:val="24"/>
              </w:rPr>
              <w:t>Correo-e:</w:t>
            </w:r>
          </w:p>
        </w:tc>
        <w:tc>
          <w:tcPr>
            <w:tcW w:w="3884" w:type="dxa"/>
          </w:tcPr>
          <w:p w:rsidR="00B46ABE" w:rsidRPr="00601CA5" w:rsidRDefault="000C6AEC" w:rsidP="00DA43BB">
            <w:pPr>
              <w:pStyle w:val="Tabletext0"/>
              <w:tabs>
                <w:tab w:val="clear" w:pos="1134"/>
                <w:tab w:val="clear" w:pos="2268"/>
                <w:tab w:val="left" w:pos="794"/>
                <w:tab w:val="left" w:pos="1191"/>
                <w:tab w:val="left" w:pos="1588"/>
              </w:tabs>
              <w:rPr>
                <w:sz w:val="24"/>
                <w:szCs w:val="24"/>
              </w:rPr>
            </w:pPr>
            <w:hyperlink r:id="rId10" w:history="1">
              <w:r w:rsidR="00B46ABE" w:rsidRPr="00601CA5">
                <w:rPr>
                  <w:rStyle w:val="Hyperlink"/>
                  <w:sz w:val="24"/>
                  <w:szCs w:val="24"/>
                </w:rPr>
                <w:t>tsbsg17@itu.int</w:t>
              </w:r>
            </w:hyperlink>
          </w:p>
        </w:tc>
        <w:tc>
          <w:tcPr>
            <w:tcW w:w="5329" w:type="dxa"/>
          </w:tcPr>
          <w:p w:rsidR="00B46ABE" w:rsidRPr="00601CA5" w:rsidRDefault="00B46ABE" w:rsidP="00303D62">
            <w:pPr>
              <w:tabs>
                <w:tab w:val="left" w:pos="4111"/>
              </w:tabs>
              <w:spacing w:before="0"/>
              <w:rPr>
                <w:szCs w:val="24"/>
              </w:rPr>
            </w:pPr>
            <w:r w:rsidRPr="00601CA5">
              <w:rPr>
                <w:b/>
                <w:szCs w:val="24"/>
              </w:rPr>
              <w:t>Copia</w:t>
            </w:r>
            <w:r w:rsidRPr="00601CA5">
              <w:rPr>
                <w:szCs w:val="24"/>
              </w:rPr>
              <w:t>:</w:t>
            </w:r>
          </w:p>
          <w:p w:rsidR="00B46ABE" w:rsidRPr="00601CA5" w:rsidRDefault="00B46ABE" w:rsidP="00303D62">
            <w:pPr>
              <w:tabs>
                <w:tab w:val="clear" w:pos="794"/>
                <w:tab w:val="left" w:pos="226"/>
                <w:tab w:val="left" w:pos="4111"/>
              </w:tabs>
              <w:spacing w:before="0"/>
              <w:rPr>
                <w:szCs w:val="24"/>
              </w:rPr>
            </w:pPr>
            <w:r w:rsidRPr="00601CA5">
              <w:rPr>
                <w:szCs w:val="24"/>
              </w:rPr>
              <w:t>-</w:t>
            </w:r>
            <w:r w:rsidRPr="00601CA5">
              <w:rPr>
                <w:szCs w:val="24"/>
              </w:rPr>
              <w:tab/>
              <w:t>A los Miembros del Sector UIT</w:t>
            </w:r>
            <w:r w:rsidRPr="00601CA5">
              <w:rPr>
                <w:szCs w:val="24"/>
              </w:rPr>
              <w:noBreakHyphen/>
              <w:t>T;</w:t>
            </w:r>
          </w:p>
          <w:p w:rsidR="00B46ABE" w:rsidRPr="00601CA5" w:rsidRDefault="00B46ABE" w:rsidP="00DA43BB">
            <w:pPr>
              <w:tabs>
                <w:tab w:val="clear" w:pos="794"/>
                <w:tab w:val="left" w:pos="226"/>
                <w:tab w:val="left" w:pos="4111"/>
              </w:tabs>
              <w:spacing w:before="0"/>
              <w:rPr>
                <w:szCs w:val="24"/>
              </w:rPr>
            </w:pPr>
            <w:r w:rsidRPr="00601CA5">
              <w:rPr>
                <w:szCs w:val="24"/>
              </w:rPr>
              <w:t>-</w:t>
            </w:r>
            <w:r w:rsidRPr="00601CA5">
              <w:rPr>
                <w:szCs w:val="24"/>
              </w:rPr>
              <w:tab/>
              <w:t>A los Asociados del UIT-T;</w:t>
            </w:r>
          </w:p>
          <w:p w:rsidR="00B46ABE" w:rsidRPr="00601CA5" w:rsidRDefault="00B46ABE" w:rsidP="00303D62">
            <w:pPr>
              <w:tabs>
                <w:tab w:val="clear" w:pos="794"/>
                <w:tab w:val="left" w:pos="226"/>
                <w:tab w:val="left" w:pos="4111"/>
              </w:tabs>
              <w:spacing w:before="0"/>
              <w:rPr>
                <w:szCs w:val="24"/>
              </w:rPr>
            </w:pPr>
            <w:r w:rsidRPr="00601CA5">
              <w:rPr>
                <w:szCs w:val="24"/>
              </w:rPr>
              <w:t>-</w:t>
            </w:r>
            <w:r w:rsidRPr="00601CA5">
              <w:rPr>
                <w:szCs w:val="24"/>
              </w:rPr>
              <w:tab/>
              <w:t>A las Instituciones Académicas del UIT-T;</w:t>
            </w:r>
          </w:p>
          <w:p w:rsidR="00B46ABE" w:rsidRPr="00601CA5" w:rsidRDefault="00B46ABE" w:rsidP="00DA43BB">
            <w:pPr>
              <w:tabs>
                <w:tab w:val="left" w:pos="226"/>
                <w:tab w:val="left" w:pos="4111"/>
              </w:tabs>
              <w:spacing w:before="0"/>
              <w:ind w:left="226" w:hanging="226"/>
              <w:rPr>
                <w:szCs w:val="24"/>
              </w:rPr>
            </w:pPr>
            <w:r w:rsidRPr="00601CA5">
              <w:rPr>
                <w:szCs w:val="24"/>
              </w:rPr>
              <w:t>-</w:t>
            </w:r>
            <w:r w:rsidRPr="00601CA5">
              <w:rPr>
                <w:szCs w:val="24"/>
              </w:rPr>
              <w:tab/>
              <w:t xml:space="preserve">Al Presidente y a los Vicepresidentes de la </w:t>
            </w:r>
            <w:r w:rsidRPr="00601CA5">
              <w:rPr>
                <w:szCs w:val="24"/>
              </w:rPr>
              <w:br/>
              <w:t>Comisión de Estudio 17;</w:t>
            </w:r>
          </w:p>
          <w:p w:rsidR="00B46ABE" w:rsidRPr="00601CA5" w:rsidRDefault="00B46ABE" w:rsidP="00DA43BB">
            <w:pPr>
              <w:tabs>
                <w:tab w:val="left" w:pos="226"/>
                <w:tab w:val="left" w:pos="4111"/>
              </w:tabs>
              <w:spacing w:before="0"/>
              <w:ind w:left="226" w:hanging="226"/>
              <w:rPr>
                <w:szCs w:val="24"/>
              </w:rPr>
            </w:pPr>
            <w:r w:rsidRPr="00601CA5">
              <w:rPr>
                <w:szCs w:val="24"/>
              </w:rPr>
              <w:t>-</w:t>
            </w:r>
            <w:r w:rsidRPr="00601CA5">
              <w:rPr>
                <w:szCs w:val="24"/>
              </w:rPr>
              <w:tab/>
              <w:t>Al Director de la Oficina de Desarrollo de las Telecomunicaciones;</w:t>
            </w:r>
          </w:p>
          <w:p w:rsidR="00B46ABE" w:rsidRPr="00601CA5" w:rsidRDefault="00B46ABE" w:rsidP="00DA43BB">
            <w:pPr>
              <w:tabs>
                <w:tab w:val="left" w:pos="226"/>
                <w:tab w:val="left" w:pos="4111"/>
              </w:tabs>
              <w:spacing w:before="0"/>
              <w:ind w:left="226" w:hanging="226"/>
              <w:rPr>
                <w:szCs w:val="24"/>
              </w:rPr>
            </w:pPr>
            <w:r w:rsidRPr="00601CA5">
              <w:rPr>
                <w:szCs w:val="24"/>
              </w:rPr>
              <w:t>-</w:t>
            </w:r>
            <w:r w:rsidRPr="00601CA5">
              <w:rPr>
                <w:szCs w:val="24"/>
              </w:rPr>
              <w:tab/>
              <w:t>Al Director de la Oficina de Radiocomunicaciones</w:t>
            </w:r>
          </w:p>
        </w:tc>
      </w:tr>
    </w:tbl>
    <w:p w:rsidR="00862582" w:rsidRDefault="00862582"/>
    <w:tbl>
      <w:tblPr>
        <w:tblW w:w="10198" w:type="dxa"/>
        <w:tblInd w:w="8" w:type="dxa"/>
        <w:tblLayout w:type="fixed"/>
        <w:tblCellMar>
          <w:left w:w="0" w:type="dxa"/>
          <w:right w:w="0" w:type="dxa"/>
        </w:tblCellMar>
        <w:tblLook w:val="0000" w:firstRow="0" w:lastRow="0" w:firstColumn="0" w:lastColumn="0" w:noHBand="0" w:noVBand="0"/>
      </w:tblPr>
      <w:tblGrid>
        <w:gridCol w:w="985"/>
        <w:gridCol w:w="9213"/>
      </w:tblGrid>
      <w:tr w:rsidR="00B46ABE" w:rsidRPr="00601CA5" w:rsidTr="00862582">
        <w:trPr>
          <w:cantSplit/>
          <w:trHeight w:val="643"/>
        </w:trPr>
        <w:tc>
          <w:tcPr>
            <w:tcW w:w="985" w:type="dxa"/>
          </w:tcPr>
          <w:p w:rsidR="00B46ABE" w:rsidRPr="00601CA5" w:rsidRDefault="00B46ABE" w:rsidP="002E4478">
            <w:pPr>
              <w:tabs>
                <w:tab w:val="left" w:pos="4111"/>
              </w:tabs>
              <w:spacing w:before="80"/>
              <w:ind w:left="57"/>
              <w:rPr>
                <w:szCs w:val="24"/>
              </w:rPr>
            </w:pPr>
            <w:r w:rsidRPr="00601CA5">
              <w:rPr>
                <w:szCs w:val="24"/>
              </w:rPr>
              <w:t>Asunto:</w:t>
            </w:r>
          </w:p>
        </w:tc>
        <w:tc>
          <w:tcPr>
            <w:tcW w:w="9213" w:type="dxa"/>
          </w:tcPr>
          <w:p w:rsidR="00B46ABE" w:rsidRPr="00601CA5" w:rsidRDefault="00DA43BB" w:rsidP="002E4478">
            <w:pPr>
              <w:tabs>
                <w:tab w:val="left" w:pos="4111"/>
              </w:tabs>
              <w:spacing w:before="80"/>
              <w:ind w:left="57"/>
              <w:rPr>
                <w:b/>
                <w:szCs w:val="24"/>
              </w:rPr>
            </w:pPr>
            <w:r w:rsidRPr="00601CA5">
              <w:rPr>
                <w:b/>
              </w:rPr>
              <w:t>Aprobación de las nuevas Recomendacion</w:t>
            </w:r>
            <w:r w:rsidR="002E4478" w:rsidRPr="00601CA5">
              <w:rPr>
                <w:b/>
              </w:rPr>
              <w:t>es UIT-T X.1157, UIT-T X.1246 y </w:t>
            </w:r>
            <w:r w:rsidRPr="00601CA5">
              <w:rPr>
                <w:b/>
              </w:rPr>
              <w:t>UIT</w:t>
            </w:r>
            <w:r w:rsidRPr="00601CA5">
              <w:rPr>
                <w:b/>
              </w:rPr>
              <w:noBreakHyphen/>
              <w:t>T X.1341</w:t>
            </w:r>
          </w:p>
        </w:tc>
      </w:tr>
    </w:tbl>
    <w:p w:rsidR="00B46ABE" w:rsidRPr="00601CA5" w:rsidRDefault="00B46ABE" w:rsidP="00862582">
      <w:pPr>
        <w:pStyle w:val="Normalaftertitle"/>
        <w:spacing w:before="160"/>
      </w:pPr>
      <w:r w:rsidRPr="00601CA5">
        <w:t>Muy Señora mía/Muy Señor mío:</w:t>
      </w:r>
    </w:p>
    <w:p w:rsidR="00DA43BB" w:rsidRPr="00601CA5" w:rsidRDefault="00DA43BB" w:rsidP="00862582">
      <w:pPr>
        <w:spacing w:before="160"/>
      </w:pPr>
      <w:r w:rsidRPr="00601CA5">
        <w:t>1</w:t>
      </w:r>
      <w:r w:rsidRPr="00601CA5">
        <w:tab/>
        <w:t xml:space="preserve">Tras la Circular TSB 150 de 30 de abril de 2015, le informo por la presente de que los Estados Miembros que participaron en la última reunión de la Comisión de Estudio 17 aprobaron los textos de </w:t>
      </w:r>
      <w:r w:rsidR="006C0195" w:rsidRPr="00601CA5">
        <w:t>tres</w:t>
      </w:r>
      <w:r w:rsidRPr="00601CA5">
        <w:t xml:space="preserve"> proyectos de </w:t>
      </w:r>
      <w:r w:rsidR="006C0195" w:rsidRPr="00601CA5">
        <w:t xml:space="preserve">nueva </w:t>
      </w:r>
      <w:r w:rsidRPr="00601CA5">
        <w:t xml:space="preserve">Recomendación UIT-T durante su Sesión Plenaria celebrada el </w:t>
      </w:r>
      <w:r w:rsidR="006C0195" w:rsidRPr="00601CA5">
        <w:t>17</w:t>
      </w:r>
      <w:r w:rsidRPr="00601CA5">
        <w:t xml:space="preserve"> de </w:t>
      </w:r>
      <w:r w:rsidR="006C0195" w:rsidRPr="00601CA5">
        <w:t>septiembre</w:t>
      </w:r>
      <w:r w:rsidRPr="00601CA5">
        <w:t xml:space="preserve"> de 201</w:t>
      </w:r>
      <w:r w:rsidR="006C0195" w:rsidRPr="00601CA5">
        <w:t>5. En el Anexo 1 se resumen esas tres Recomendaciones.</w:t>
      </w:r>
    </w:p>
    <w:p w:rsidR="00DA43BB" w:rsidRPr="00601CA5" w:rsidRDefault="00DA43BB" w:rsidP="00862582">
      <w:pPr>
        <w:spacing w:before="160"/>
      </w:pPr>
      <w:r w:rsidRPr="00601CA5">
        <w:t>2</w:t>
      </w:r>
      <w:r w:rsidRPr="00601CA5">
        <w:tab/>
        <w:t>Los títulos</w:t>
      </w:r>
      <w:r w:rsidRPr="00601CA5">
        <w:rPr>
          <w:b/>
        </w:rPr>
        <w:t xml:space="preserve"> </w:t>
      </w:r>
      <w:r w:rsidRPr="00601CA5">
        <w:t xml:space="preserve">de las </w:t>
      </w:r>
      <w:r w:rsidR="006C0195" w:rsidRPr="00601CA5">
        <w:t xml:space="preserve">nuevas </w:t>
      </w:r>
      <w:r w:rsidRPr="00601CA5">
        <w:t>Recomendaciones UIT-T aprobadas son los siguientes:</w:t>
      </w:r>
    </w:p>
    <w:p w:rsidR="006C0195" w:rsidRPr="00601CA5" w:rsidRDefault="00EC02FA" w:rsidP="00862582">
      <w:pPr>
        <w:spacing w:before="160"/>
        <w:ind w:left="1985" w:hanging="1985"/>
      </w:pPr>
      <w:r w:rsidRPr="00601CA5">
        <w:rPr>
          <w:b/>
          <w:bCs/>
        </w:rPr>
        <w:t>UIT</w:t>
      </w:r>
      <w:r w:rsidR="006C0195" w:rsidRPr="00601CA5">
        <w:rPr>
          <w:b/>
          <w:bCs/>
        </w:rPr>
        <w:t>-T X.1157</w:t>
      </w:r>
      <w:r w:rsidR="004D3403" w:rsidRPr="00601CA5">
        <w:t>:</w:t>
      </w:r>
      <w:r w:rsidR="004D3403" w:rsidRPr="00601CA5">
        <w:tab/>
      </w:r>
      <w:r w:rsidR="004D3403" w:rsidRPr="00601CA5">
        <w:tab/>
        <w:t>"</w:t>
      </w:r>
      <w:r w:rsidR="006C0195" w:rsidRPr="00601CA5">
        <w:t>Capacidades técnicas de detección de fraudes y de respuesta para servicios con requis</w:t>
      </w:r>
      <w:r w:rsidR="004D3403" w:rsidRPr="00601CA5">
        <w:t>itos de alto nivel de seguridad"</w:t>
      </w:r>
    </w:p>
    <w:p w:rsidR="006C0195" w:rsidRPr="00601CA5" w:rsidRDefault="00EC02FA" w:rsidP="00862582">
      <w:pPr>
        <w:spacing w:before="160"/>
        <w:ind w:left="1985" w:hanging="1985"/>
      </w:pPr>
      <w:r w:rsidRPr="00601CA5">
        <w:rPr>
          <w:b/>
          <w:bCs/>
        </w:rPr>
        <w:t>UIT</w:t>
      </w:r>
      <w:r w:rsidR="006C0195" w:rsidRPr="00601CA5">
        <w:rPr>
          <w:b/>
          <w:bCs/>
        </w:rPr>
        <w:t>-T X.1246</w:t>
      </w:r>
      <w:r w:rsidR="004D3403" w:rsidRPr="00601CA5">
        <w:t>:</w:t>
      </w:r>
      <w:r w:rsidR="004D3403" w:rsidRPr="00601CA5">
        <w:tab/>
      </w:r>
      <w:r w:rsidR="004D3403" w:rsidRPr="00601CA5">
        <w:tab/>
        <w:t>"</w:t>
      </w:r>
      <w:r w:rsidR="006C0195" w:rsidRPr="00601CA5">
        <w:t xml:space="preserve">Tecnologías implicadas en la lucha contra el spam de voz en las organizaciones de </w:t>
      </w:r>
      <w:r w:rsidR="004D3403" w:rsidRPr="00601CA5">
        <w:t>telecomunicaciones"</w:t>
      </w:r>
    </w:p>
    <w:p w:rsidR="006C0195" w:rsidRPr="00601CA5" w:rsidRDefault="00EC02FA" w:rsidP="00862582">
      <w:pPr>
        <w:spacing w:before="160"/>
      </w:pPr>
      <w:r w:rsidRPr="00601CA5">
        <w:rPr>
          <w:b/>
          <w:bCs/>
        </w:rPr>
        <w:t>UIT</w:t>
      </w:r>
      <w:r w:rsidR="006C0195" w:rsidRPr="00601CA5">
        <w:rPr>
          <w:b/>
          <w:bCs/>
        </w:rPr>
        <w:t>-T X.1341</w:t>
      </w:r>
      <w:r w:rsidR="004D3403" w:rsidRPr="00601CA5">
        <w:t>:</w:t>
      </w:r>
      <w:r w:rsidR="004D3403" w:rsidRPr="00601CA5">
        <w:tab/>
      </w:r>
      <w:r w:rsidR="004D3403" w:rsidRPr="00601CA5">
        <w:tab/>
        <w:t>"</w:t>
      </w:r>
      <w:r w:rsidR="006C0195" w:rsidRPr="00601CA5">
        <w:t>Protocolos de transporte de correo certificado y</w:t>
      </w:r>
      <w:r w:rsidR="004D3403" w:rsidRPr="00601CA5">
        <w:t xml:space="preserve"> de oficina postal certificada"</w:t>
      </w:r>
    </w:p>
    <w:p w:rsidR="00EC02FA" w:rsidRPr="00601CA5" w:rsidRDefault="00EC02FA" w:rsidP="00B03ACB">
      <w:pPr>
        <w:spacing w:before="160"/>
      </w:pPr>
      <w:r w:rsidRPr="00601CA5">
        <w:t>3</w:t>
      </w:r>
      <w:r w:rsidRPr="00601CA5">
        <w:tab/>
        <w:t>Puede accederse a la información disponible sobre patentes en el sitio web del UIT</w:t>
      </w:r>
      <w:r w:rsidRPr="00601CA5">
        <w:noBreakHyphen/>
        <w:t>T.</w:t>
      </w:r>
    </w:p>
    <w:p w:rsidR="00EC02FA" w:rsidRPr="00601CA5" w:rsidRDefault="00EC02FA" w:rsidP="00862582">
      <w:pPr>
        <w:spacing w:before="160"/>
      </w:pPr>
      <w:r w:rsidRPr="00601CA5">
        <w:t>4</w:t>
      </w:r>
      <w:r w:rsidRPr="00601CA5">
        <w:tab/>
        <w:t>Los textos de las Recomendaciones prepublicadas estarán pronto disponibles en el sitio web del UIT-T.</w:t>
      </w:r>
    </w:p>
    <w:p w:rsidR="000C6AEC" w:rsidRDefault="000C6AEC">
      <w:pPr>
        <w:tabs>
          <w:tab w:val="clear" w:pos="794"/>
          <w:tab w:val="clear" w:pos="1191"/>
          <w:tab w:val="clear" w:pos="1588"/>
          <w:tab w:val="clear" w:pos="1985"/>
        </w:tabs>
        <w:overflowPunct/>
        <w:autoSpaceDE/>
        <w:autoSpaceDN/>
        <w:adjustRightInd/>
        <w:spacing w:before="0"/>
        <w:textAlignment w:val="auto"/>
      </w:pPr>
      <w:r>
        <w:br w:type="page"/>
      </w:r>
    </w:p>
    <w:p w:rsidR="00EC02FA" w:rsidRPr="00601CA5" w:rsidRDefault="00EC02FA" w:rsidP="00862582">
      <w:pPr>
        <w:spacing w:before="160"/>
      </w:pPr>
      <w:r w:rsidRPr="00601CA5">
        <w:lastRenderedPageBreak/>
        <w:t>5</w:t>
      </w:r>
      <w:r w:rsidRPr="00601CA5">
        <w:tab/>
        <w:t>La UIT publicará lo antes posible los textos de estas Recomendaciones.</w:t>
      </w:r>
    </w:p>
    <w:p w:rsidR="00693A37" w:rsidRDefault="00693A37" w:rsidP="00862582">
      <w:pPr>
        <w:ind w:right="91"/>
      </w:pPr>
      <w:r>
        <w:t>Le saluda muy atentamente.</w:t>
      </w:r>
    </w:p>
    <w:p w:rsidR="00B46ABE" w:rsidRPr="00601CA5" w:rsidRDefault="00B46ABE" w:rsidP="00200A4D">
      <w:pPr>
        <w:spacing w:before="1440"/>
        <w:ind w:right="91"/>
      </w:pPr>
      <w:r w:rsidRPr="00601CA5">
        <w:t>Chae</w:t>
      </w:r>
      <w:r w:rsidR="00200A4D">
        <w:t>s</w:t>
      </w:r>
      <w:r w:rsidRPr="00601CA5">
        <w:t>ub Lee</w:t>
      </w:r>
      <w:r w:rsidRPr="00601CA5">
        <w:br/>
        <w:t>Director de la Oficina de</w:t>
      </w:r>
      <w:r w:rsidRPr="00601CA5">
        <w:br/>
        <w:t>Normalización de las Telecomunicaciones</w:t>
      </w:r>
    </w:p>
    <w:p w:rsidR="00862582" w:rsidRDefault="00B46ABE" w:rsidP="00862582">
      <w:pPr>
        <w:spacing w:before="3360"/>
        <w:rPr>
          <w:bCs/>
        </w:rPr>
      </w:pPr>
      <w:r w:rsidRPr="00601CA5">
        <w:rPr>
          <w:b/>
        </w:rPr>
        <w:t>Anexo</w:t>
      </w:r>
      <w:r w:rsidRPr="00601CA5">
        <w:rPr>
          <w:bCs/>
        </w:rPr>
        <w:t>: 1</w:t>
      </w:r>
    </w:p>
    <w:p w:rsidR="00B46ABE" w:rsidRPr="00601CA5" w:rsidRDefault="00B46ABE" w:rsidP="00862582">
      <w:pPr>
        <w:spacing w:before="3360"/>
      </w:pPr>
      <w:r w:rsidRPr="00601CA5">
        <w:br w:type="page"/>
      </w:r>
    </w:p>
    <w:p w:rsidR="00B46ABE" w:rsidRPr="00601CA5" w:rsidRDefault="00B46ABE" w:rsidP="00615D56">
      <w:pPr>
        <w:pStyle w:val="AnnexNo"/>
        <w:rPr>
          <w:lang w:val="es-ES_tradnl"/>
        </w:rPr>
      </w:pPr>
      <w:r w:rsidRPr="00601CA5">
        <w:rPr>
          <w:lang w:val="es-ES_tradnl"/>
        </w:rPr>
        <w:lastRenderedPageBreak/>
        <w:t>ANEXO 1</w:t>
      </w:r>
      <w:r w:rsidRPr="00601CA5">
        <w:rPr>
          <w:lang w:val="es-ES_tradnl"/>
        </w:rPr>
        <w:br/>
        <w:t>(</w:t>
      </w:r>
      <w:r w:rsidR="00615D56" w:rsidRPr="00601CA5">
        <w:rPr>
          <w:caps w:val="0"/>
          <w:lang w:val="es-ES_tradnl"/>
        </w:rPr>
        <w:t xml:space="preserve">a la Circular </w:t>
      </w:r>
      <w:r w:rsidR="00615D56" w:rsidRPr="00601CA5">
        <w:rPr>
          <w:lang w:val="es-ES_tradnl"/>
        </w:rPr>
        <w:t>TSB 17</w:t>
      </w:r>
      <w:r w:rsidR="006C0195" w:rsidRPr="00601CA5">
        <w:rPr>
          <w:lang w:val="es-ES_tradnl"/>
        </w:rPr>
        <w:t>3</w:t>
      </w:r>
      <w:r w:rsidRPr="00601CA5">
        <w:rPr>
          <w:lang w:val="es-ES_tradnl"/>
        </w:rPr>
        <w:t>)</w:t>
      </w:r>
    </w:p>
    <w:p w:rsidR="000F31CA" w:rsidRPr="00601CA5" w:rsidRDefault="000F31CA" w:rsidP="00617ACC">
      <w:pPr>
        <w:pStyle w:val="Annextitle0"/>
        <w:rPr>
          <w:lang w:val="es-ES_tradnl"/>
        </w:rPr>
      </w:pPr>
      <w:r w:rsidRPr="00601CA5">
        <w:rPr>
          <w:lang w:val="es-ES_tradnl"/>
        </w:rPr>
        <w:t xml:space="preserve">Resúmenes de las nuevas Recomendaciones UIT-T X.1157, UIT-T X.1246 </w:t>
      </w:r>
      <w:r w:rsidR="00617ACC" w:rsidRPr="00601CA5">
        <w:rPr>
          <w:lang w:val="es-ES_tradnl"/>
        </w:rPr>
        <w:br/>
      </w:r>
      <w:r w:rsidRPr="00601CA5">
        <w:rPr>
          <w:lang w:val="es-ES_tradnl"/>
        </w:rPr>
        <w:t>y UIT-T X.1341</w:t>
      </w:r>
    </w:p>
    <w:p w:rsidR="000F31CA" w:rsidRPr="00601CA5" w:rsidRDefault="00B46ABE" w:rsidP="000F31CA">
      <w:pPr>
        <w:pStyle w:val="Headingb0"/>
      </w:pPr>
      <w:r w:rsidRPr="00601CA5">
        <w:t>Resumen</w:t>
      </w:r>
      <w:r w:rsidR="000F31CA" w:rsidRPr="00601CA5">
        <w:t xml:space="preserve"> de la nueva Recomendación UIT-T X.1157 (2015)</w:t>
      </w:r>
    </w:p>
    <w:p w:rsidR="00B46ABE" w:rsidRPr="00601CA5" w:rsidRDefault="00B46ABE" w:rsidP="005C1809">
      <w:pPr>
        <w:rPr>
          <w:lang w:eastAsia="ko-KR"/>
        </w:rPr>
      </w:pPr>
      <w:r w:rsidRPr="00601CA5">
        <w:rPr>
          <w:lang w:eastAsia="ko-KR"/>
        </w:rPr>
        <w:t>En la Recomendación UIT-T X.1157 se facilitan capacidades necesarias para la detección del fraude y el servicio de respuesta en servicios de aplicación de tecnologías de la información y la comunicación (TIC) que requieren seguridad. Los servicios de detección del fraude y respuesta sirven de base para la detección, el análisis y la gestión del fraude entre usuarios, cuentas, productos, procesos y canales. Realizan un seguimiento y analizan la actividad y el comportamiento del usuario en el plano de la aplicación (en lugar de hacerlo en el plano del sistema, de la base de datos o de la red), y supervisa lo que ocurre dentro de las cuentas y entre ellas utilizando cualquier canal disponible para un usuario. También analiza el comportamiento entre usuarios, cuentas u otras entidades relacionados, en busca de actividades anormales, corrupción o uso indebido. Suele utilizarse en áreas verticales de gestión de dinero de usuario, tales como las ciberfinanzas, el acceso remoto a la empresa, etc., pero se aplica también frecuentemente para detectar el fraude interno y otros tipos</w:t>
      </w:r>
      <w:r w:rsidR="00617ACC" w:rsidRPr="00601CA5">
        <w:rPr>
          <w:lang w:eastAsia="ko-KR"/>
        </w:rPr>
        <w:t xml:space="preserve"> de actividades no autorizadas.</w:t>
      </w:r>
    </w:p>
    <w:p w:rsidR="000F31CA" w:rsidRPr="00601CA5" w:rsidRDefault="000F31CA" w:rsidP="000F31CA">
      <w:pPr>
        <w:pStyle w:val="Headingb0"/>
      </w:pPr>
      <w:r w:rsidRPr="00601CA5">
        <w:t>Resumen</w:t>
      </w:r>
      <w:r w:rsidRPr="00601CA5">
        <w:rPr>
          <w:rFonts w:eastAsiaTheme="minorEastAsia" w:cstheme="minorBidi"/>
          <w:b w:val="0"/>
          <w:sz w:val="22"/>
          <w:szCs w:val="22"/>
          <w:lang w:eastAsia="zh-CN"/>
        </w:rPr>
        <w:t xml:space="preserve"> </w:t>
      </w:r>
      <w:r w:rsidRPr="00601CA5">
        <w:t>de la nueva Recomendación UIT</w:t>
      </w:r>
      <w:r w:rsidRPr="00601CA5">
        <w:rPr>
          <w:bCs/>
        </w:rPr>
        <w:t>-T X.1246</w:t>
      </w:r>
      <w:r w:rsidRPr="00601CA5">
        <w:t xml:space="preserve"> (2015)</w:t>
      </w:r>
    </w:p>
    <w:p w:rsidR="00B46ABE" w:rsidRPr="00601CA5" w:rsidRDefault="00B46ABE" w:rsidP="005C1809">
      <w:pPr>
        <w:rPr>
          <w:lang w:eastAsia="ko-KR"/>
        </w:rPr>
      </w:pPr>
      <w:r w:rsidRPr="00601CA5">
        <w:rPr>
          <w:lang w:eastAsia="ko-KR"/>
        </w:rPr>
        <w:t>La comunicación de voz es un servicio fundamental que prestan las redes de telecomunicaciones. Con el desarrollo de la comunicación de voz también se ha incrementado el spam de voz, con numerosos efectos negativos para los usuarios finales y los operadores de red. En general, el spam de voz tiene contenidos que van desde los anuncios comerciales hasta el material pornográfico ofensivo, lo cual tiene diversos tipos de efectos negativos para los usuarios finales y los operadores de red. El spam de voz puede atraer, irritar, acosar o incluso intimidar a los usuarios y a los recursos de red. Para evitar estas influencias negativas, y para proteger los derechos de los usuarios y mantener la estabilidad de la red, los operadores de red tal vez deseen incrementar sus esfuerzos para combatir el spam de voz.</w:t>
      </w:r>
    </w:p>
    <w:p w:rsidR="00B46ABE" w:rsidRPr="00601CA5" w:rsidRDefault="00B46ABE" w:rsidP="005C1809">
      <w:pPr>
        <w:rPr>
          <w:lang w:eastAsia="ko-KR"/>
        </w:rPr>
      </w:pPr>
      <w:r w:rsidRPr="00601CA5">
        <w:rPr>
          <w:lang w:eastAsia="ko-KR"/>
        </w:rPr>
        <w:t>El objetivo de la Recomendación UIT-T X.1246 es examinar las soluciones técnicas para combatir el spam de voz sin considerar el riesgo de la autenticidad de la identidad de quien envía el spam. En ella se ofrece una visión general del spam de voz, y se resumen las tecnologías antispam existentes que aplican tanto los usuarios como los operadores de red, y el mecanismo de colaboración entre ellos. También se recomiendan propuestas de soluciones técnicas adicionales sobre la base de las tecnologías y del citado mecanismo de colaboración.</w:t>
      </w:r>
    </w:p>
    <w:p w:rsidR="00B46ABE" w:rsidRPr="00601CA5" w:rsidRDefault="000F31CA" w:rsidP="000F31CA">
      <w:pPr>
        <w:pStyle w:val="Headingb0"/>
        <w:rPr>
          <w:b w:val="0"/>
        </w:rPr>
      </w:pPr>
      <w:r w:rsidRPr="00601CA5">
        <w:t>Resumen</w:t>
      </w:r>
      <w:r w:rsidRPr="00601CA5">
        <w:rPr>
          <w:rFonts w:eastAsiaTheme="minorEastAsia" w:cstheme="minorBidi"/>
          <w:b w:val="0"/>
          <w:sz w:val="22"/>
          <w:szCs w:val="22"/>
          <w:lang w:eastAsia="zh-CN"/>
        </w:rPr>
        <w:t xml:space="preserve"> </w:t>
      </w:r>
      <w:r w:rsidRPr="00601CA5">
        <w:t>de la nueva</w:t>
      </w:r>
      <w:r w:rsidR="00B46ABE" w:rsidRPr="00601CA5">
        <w:t xml:space="preserve"> Recomendación UIT-T X.1341 </w:t>
      </w:r>
      <w:r w:rsidR="00D9390C" w:rsidRPr="00601CA5">
        <w:t>(</w:t>
      </w:r>
      <w:r w:rsidRPr="00601CA5">
        <w:t>2015</w:t>
      </w:r>
      <w:r w:rsidR="00D9390C" w:rsidRPr="00601CA5">
        <w:t>)</w:t>
      </w:r>
    </w:p>
    <w:p w:rsidR="00B46ABE" w:rsidRPr="00601CA5" w:rsidRDefault="00B46ABE" w:rsidP="000F31CA">
      <w:pPr>
        <w:rPr>
          <w:lang w:eastAsia="ko-KR"/>
        </w:rPr>
      </w:pPr>
      <w:r w:rsidRPr="00601CA5">
        <w:rPr>
          <w:lang w:eastAsia="ko-KR"/>
        </w:rPr>
        <w:t xml:space="preserve">El objetivo de </w:t>
      </w:r>
      <w:r w:rsidR="000F31CA" w:rsidRPr="00601CA5">
        <w:rPr>
          <w:lang w:eastAsia="ko-KR"/>
        </w:rPr>
        <w:t xml:space="preserve">la </w:t>
      </w:r>
      <w:r w:rsidRPr="00601CA5">
        <w:rPr>
          <w:lang w:eastAsia="ko-KR"/>
        </w:rPr>
        <w:t xml:space="preserve">Recomendación </w:t>
      </w:r>
      <w:r w:rsidR="000F31CA" w:rsidRPr="00601CA5">
        <w:t xml:space="preserve">UIT-T X.1341 </w:t>
      </w:r>
      <w:r w:rsidRPr="00601CA5">
        <w:rPr>
          <w:lang w:eastAsia="ko-KR"/>
        </w:rPr>
        <w:t>es definir el Protocolo de transporte de correo certificado (CMTP) y el Protocolo de oficina postal certificada (CPOP) con el fin de fomentar los intercambios de correos electrónicos certificados en todo el mundo y de manera segura proporcionando confidencialidad, identificación de los corresponsales, integridad y evitando el repudio.</w:t>
      </w:r>
    </w:p>
    <w:p w:rsidR="000D202D" w:rsidRPr="00601CA5" w:rsidRDefault="000D202D" w:rsidP="00C5018A">
      <w:pPr>
        <w:rPr>
          <w:lang w:eastAsia="ko-KR"/>
        </w:rPr>
      </w:pPr>
    </w:p>
    <w:p w:rsidR="000D202D" w:rsidRPr="00601CA5" w:rsidRDefault="000D202D">
      <w:pPr>
        <w:jc w:val="center"/>
      </w:pPr>
      <w:r w:rsidRPr="00601CA5">
        <w:t>______________</w:t>
      </w:r>
      <w:bookmarkStart w:id="4" w:name="_GoBack"/>
      <w:bookmarkEnd w:id="4"/>
    </w:p>
    <w:sectPr w:rsidR="000D202D" w:rsidRPr="00601CA5" w:rsidSect="00B87E9E">
      <w:headerReference w:type="default" r:id="rId11"/>
      <w:footerReference w:type="default" r:id="rId12"/>
      <w:footerReference w:type="first" r:id="rId13"/>
      <w:pgSz w:w="11907" w:h="16840" w:code="9"/>
      <w:pgMar w:top="1134" w:right="1134" w:bottom="1134" w:left="1134" w:header="567" w:footer="567" w:gutter="0"/>
      <w:paperSrc w:first="261" w:other="26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31CA" w:rsidRDefault="000F31CA">
      <w:r>
        <w:separator/>
      </w:r>
    </w:p>
  </w:endnote>
  <w:endnote w:type="continuationSeparator" w:id="0">
    <w:p w:rsidR="000F31CA" w:rsidRDefault="000F3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Futura Lt BT">
    <w:altName w:val="Segoe UI"/>
    <w:charset w:val="00"/>
    <w:family w:val="swiss"/>
    <w:pitch w:val="variable"/>
    <w:sig w:usb0="00000087" w:usb1="00000000" w:usb2="00000000" w:usb3="00000000" w:csb0="0000001B"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412" w:rsidRPr="000C6AEC" w:rsidRDefault="000C6AEC" w:rsidP="000C6AEC">
    <w:pPr>
      <w:tabs>
        <w:tab w:val="clear" w:pos="794"/>
        <w:tab w:val="clear" w:pos="1191"/>
        <w:tab w:val="clear" w:pos="1588"/>
        <w:tab w:val="clear" w:pos="1985"/>
        <w:tab w:val="left" w:pos="5954"/>
        <w:tab w:val="right" w:pos="9639"/>
      </w:tabs>
      <w:spacing w:before="0"/>
      <w:rPr>
        <w:caps/>
        <w:noProof/>
        <w:sz w:val="16"/>
        <w:lang w:val="fr-CH"/>
      </w:rPr>
    </w:pPr>
    <w:r w:rsidRPr="000C6AEC">
      <w:rPr>
        <w:caps/>
        <w:noProof/>
        <w:sz w:val="16"/>
        <w:lang w:val="fr-CH"/>
      </w:rPr>
      <w:t>ITU-T\BUREAU\CIRC\173</w:t>
    </w:r>
    <w:r>
      <w:rPr>
        <w:caps/>
        <w:noProof/>
        <w:sz w:val="16"/>
        <w:lang w:val="fr-CH"/>
      </w:rPr>
      <w:t>S</w:t>
    </w:r>
    <w:r w:rsidRPr="000C6AEC">
      <w:rPr>
        <w:caps/>
        <w:noProof/>
        <w:sz w:val="16"/>
        <w:lang w:val="fr-CH"/>
      </w:rPr>
      <w:t>.DOC</w:t>
    </w:r>
    <w:r w:rsidRPr="000C6AEC">
      <w:rPr>
        <w:caps/>
        <w:noProof/>
        <w:sz w:val="16"/>
        <w:lang w:val="fr-CH"/>
      </w:rPr>
      <w:tab/>
    </w:r>
    <w:r w:rsidRPr="000C6AEC">
      <w:rPr>
        <w:caps/>
        <w:noProof/>
        <w:sz w:val="16"/>
        <w:lang w:val="fr-CH"/>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19E4" w:rsidRPr="006E4F7B" w:rsidRDefault="00E819E4" w:rsidP="00E819E4">
    <w:pPr>
      <w:pStyle w:val="FirstFooter"/>
      <w:ind w:left="-397" w:right="-397"/>
      <w:jc w:val="center"/>
      <w:rPr>
        <w:color w:val="3E8EDE"/>
        <w:szCs w:val="18"/>
        <w:lang w:val="es-ES"/>
      </w:rPr>
    </w:pPr>
    <w:r w:rsidRPr="006E4F7B">
      <w:rPr>
        <w:color w:val="3E8EDE"/>
        <w:szCs w:val="18"/>
        <w:lang w:val="es-ES"/>
      </w:rPr>
      <w:t>Unión Internacional de Telecomunicaciones • Place des Nations • CH</w:t>
    </w:r>
    <w:r w:rsidRPr="006E4F7B">
      <w:rPr>
        <w:color w:val="3E8EDE"/>
        <w:szCs w:val="18"/>
        <w:lang w:val="es-ES"/>
      </w:rPr>
      <w:noBreakHyphen/>
      <w:t>1211 Ginebra 20 • Suiza</w:t>
    </w:r>
    <w:r w:rsidRPr="006E4F7B">
      <w:rPr>
        <w:color w:val="3E8EDE"/>
        <w:szCs w:val="18"/>
        <w:lang w:val="es-ES"/>
      </w:rPr>
      <w:br/>
      <w:t xml:space="preserve">Tel: +41 22 730 5111 • Fax: +41 22 733 7256 • </w:t>
    </w:r>
    <w:r w:rsidRPr="006E4F7B">
      <w:rPr>
        <w:color w:val="3E8EDE"/>
        <w:szCs w:val="18"/>
        <w:lang w:val="es-ES"/>
      </w:rPr>
      <w:br/>
      <w:t xml:space="preserve">Correo-e: </w:t>
    </w:r>
    <w:hyperlink r:id="rId1" w:history="1">
      <w:r w:rsidRPr="006E4F7B">
        <w:rPr>
          <w:color w:val="3E8EDE"/>
          <w:lang w:val="es-ES"/>
        </w:rPr>
        <w:t>itumail@itu.int</w:t>
      </w:r>
    </w:hyperlink>
    <w:r w:rsidRPr="006E4F7B">
      <w:rPr>
        <w:color w:val="3E8EDE"/>
        <w:szCs w:val="18"/>
        <w:lang w:val="es-ES"/>
      </w:rPr>
      <w:t xml:space="preserve"> • </w:t>
    </w:r>
    <w:hyperlink r:id="rId2" w:history="1">
      <w:r w:rsidRPr="006E4F7B">
        <w:rPr>
          <w:color w:val="3E8EDE"/>
          <w:lang w:val="es-ES"/>
        </w:rPr>
        <w:t>www.itu.int</w:t>
      </w:r>
    </w:hyperlink>
    <w:r w:rsidRPr="006E4F7B">
      <w:rPr>
        <w:color w:val="3E8EDE"/>
        <w:lang w:val="es-ES"/>
      </w:rPr>
      <w:t xml:space="preserve"> </w:t>
    </w:r>
    <w:r w:rsidRPr="006E4F7B">
      <w:rPr>
        <w:color w:val="3E8EDE"/>
        <w:szCs w:val="18"/>
        <w:lang w:val="es-ES"/>
      </w:rPr>
      <w:t xml:space="preserve">• </w:t>
    </w:r>
    <w:hyperlink r:id="rId3" w:history="1">
      <w:r w:rsidRPr="00085662">
        <w:rPr>
          <w:color w:val="3E8EDE"/>
          <w:szCs w:val="22"/>
          <w:lang w:val="es-ES"/>
        </w:rPr>
        <w:t>www.itu150.org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31CA" w:rsidRDefault="000F31CA">
      <w:r>
        <w:t>____________________</w:t>
      </w:r>
    </w:p>
  </w:footnote>
  <w:footnote w:type="continuationSeparator" w:id="0">
    <w:p w:rsidR="000F31CA" w:rsidRDefault="000F31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0624929"/>
      <w:docPartObj>
        <w:docPartGallery w:val="Page Numbers (Top of Page)"/>
        <w:docPartUnique/>
      </w:docPartObj>
    </w:sdtPr>
    <w:sdtEndPr>
      <w:rPr>
        <w:noProof/>
      </w:rPr>
    </w:sdtEndPr>
    <w:sdtContent>
      <w:p w:rsidR="000F31CA" w:rsidRPr="005C1809" w:rsidRDefault="000F31CA" w:rsidP="005C1809">
        <w:pPr>
          <w:pStyle w:val="Header"/>
        </w:pPr>
        <w:r>
          <w:fldChar w:fldCharType="begin"/>
        </w:r>
        <w:r>
          <w:instrText xml:space="preserve"> PAGE   \* MERGEFORMAT </w:instrText>
        </w:r>
        <w:r>
          <w:fldChar w:fldCharType="separate"/>
        </w:r>
        <w:r w:rsidR="000C6AEC">
          <w:rPr>
            <w:noProof/>
          </w:rPr>
          <w:t>3</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27"/>
  <w:displayBackgroundShape/>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ABE"/>
    <w:rsid w:val="00002529"/>
    <w:rsid w:val="00085662"/>
    <w:rsid w:val="000C382F"/>
    <w:rsid w:val="000C6AEC"/>
    <w:rsid w:val="000D202D"/>
    <w:rsid w:val="000D4B72"/>
    <w:rsid w:val="000F31CA"/>
    <w:rsid w:val="001173CC"/>
    <w:rsid w:val="001A54CC"/>
    <w:rsid w:val="001E42DA"/>
    <w:rsid w:val="00200A4D"/>
    <w:rsid w:val="00257FB4"/>
    <w:rsid w:val="002E4478"/>
    <w:rsid w:val="002E496E"/>
    <w:rsid w:val="00303D62"/>
    <w:rsid w:val="00335367"/>
    <w:rsid w:val="00370C2D"/>
    <w:rsid w:val="00387034"/>
    <w:rsid w:val="003D1E8D"/>
    <w:rsid w:val="003D673B"/>
    <w:rsid w:val="003F2855"/>
    <w:rsid w:val="00401C20"/>
    <w:rsid w:val="004C4144"/>
    <w:rsid w:val="004D3403"/>
    <w:rsid w:val="005C1809"/>
    <w:rsid w:val="00601CA5"/>
    <w:rsid w:val="00615D56"/>
    <w:rsid w:val="00617ACC"/>
    <w:rsid w:val="00657E08"/>
    <w:rsid w:val="00693A37"/>
    <w:rsid w:val="006969B4"/>
    <w:rsid w:val="006C0195"/>
    <w:rsid w:val="006E4F7B"/>
    <w:rsid w:val="00781E2A"/>
    <w:rsid w:val="007933A2"/>
    <w:rsid w:val="00814503"/>
    <w:rsid w:val="008258C2"/>
    <w:rsid w:val="008505BD"/>
    <w:rsid w:val="00850C78"/>
    <w:rsid w:val="00862582"/>
    <w:rsid w:val="00862942"/>
    <w:rsid w:val="00884734"/>
    <w:rsid w:val="00886EDE"/>
    <w:rsid w:val="008C17AD"/>
    <w:rsid w:val="008C1D76"/>
    <w:rsid w:val="008C577A"/>
    <w:rsid w:val="008D02CD"/>
    <w:rsid w:val="0095172A"/>
    <w:rsid w:val="009A0BA0"/>
    <w:rsid w:val="00A54E47"/>
    <w:rsid w:val="00AB6E3A"/>
    <w:rsid w:val="00AE7093"/>
    <w:rsid w:val="00AE7BC4"/>
    <w:rsid w:val="00B03ACB"/>
    <w:rsid w:val="00B3259B"/>
    <w:rsid w:val="00B422BC"/>
    <w:rsid w:val="00B43F77"/>
    <w:rsid w:val="00B46ABE"/>
    <w:rsid w:val="00B55A3E"/>
    <w:rsid w:val="00B755D3"/>
    <w:rsid w:val="00B87E9E"/>
    <w:rsid w:val="00B95F0A"/>
    <w:rsid w:val="00B96180"/>
    <w:rsid w:val="00BB7AFE"/>
    <w:rsid w:val="00C17AC0"/>
    <w:rsid w:val="00C34772"/>
    <w:rsid w:val="00C4763A"/>
    <w:rsid w:val="00C5018A"/>
    <w:rsid w:val="00C5465A"/>
    <w:rsid w:val="00C73F7C"/>
    <w:rsid w:val="00D14412"/>
    <w:rsid w:val="00D4440B"/>
    <w:rsid w:val="00D54642"/>
    <w:rsid w:val="00D9390C"/>
    <w:rsid w:val="00DA43BB"/>
    <w:rsid w:val="00DD77C9"/>
    <w:rsid w:val="00DE54E8"/>
    <w:rsid w:val="00DF3538"/>
    <w:rsid w:val="00E819E4"/>
    <w:rsid w:val="00E83164"/>
    <w:rsid w:val="00E839B0"/>
    <w:rsid w:val="00E92C09"/>
    <w:rsid w:val="00EC02FA"/>
    <w:rsid w:val="00F14380"/>
    <w:rsid w:val="00F634EF"/>
    <w:rsid w:val="00F6461F"/>
    <w:rsid w:val="00FD2B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0C4F8332-3D07-44F6-BEAF-BE3C9FA68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496E"/>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customStyle="1" w:styleId="Reasons">
    <w:name w:val="Reasons"/>
    <w:basedOn w:val="Normal"/>
    <w:qFormat/>
    <w:rsid w:val="00B46ABE"/>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paragraph" w:styleId="BalloonText">
    <w:name w:val="Balloon Text"/>
    <w:basedOn w:val="Normal"/>
    <w:link w:val="BalloonTextChar"/>
    <w:semiHidden/>
    <w:unhideWhenUsed/>
    <w:rsid w:val="000F31CA"/>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0F31CA"/>
    <w:rPr>
      <w:rFonts w:ascii="Segoe UI" w:hAnsi="Segoe UI" w:cs="Segoe UI"/>
      <w:sz w:val="18"/>
      <w:szCs w:val="18"/>
      <w:lang w:val="es-ES_tradnl" w:eastAsia="en-US"/>
    </w:rPr>
  </w:style>
  <w:style w:type="paragraph" w:customStyle="1" w:styleId="AnnexNo">
    <w:name w:val="Annex_No"/>
    <w:basedOn w:val="Normal"/>
    <w:next w:val="Normal"/>
    <w:rsid w:val="00615D56"/>
    <w:pPr>
      <w:keepNext/>
      <w:keepLines/>
      <w:spacing w:before="480" w:after="80"/>
      <w:jc w:val="center"/>
    </w:pPr>
    <w:rPr>
      <w:caps/>
      <w:sz w:val="28"/>
      <w:lang w:val="en-GB"/>
    </w:rPr>
  </w:style>
  <w:style w:type="paragraph" w:customStyle="1" w:styleId="Annextitle0">
    <w:name w:val="Annex_title"/>
    <w:basedOn w:val="Normal"/>
    <w:next w:val="Normal"/>
    <w:rsid w:val="00617ACC"/>
    <w:pPr>
      <w:keepNext/>
      <w:keepLines/>
      <w:spacing w:before="240" w:after="280"/>
      <w:jc w:val="center"/>
    </w:pPr>
    <w:rPr>
      <w:b/>
      <w:sz w:val="28"/>
      <w:lang w:val="en-GB"/>
    </w:rPr>
  </w:style>
  <w:style w:type="paragraph" w:styleId="Revision">
    <w:name w:val="Revision"/>
    <w:hidden/>
    <w:uiPriority w:val="99"/>
    <w:semiHidden/>
    <w:rsid w:val="008C1D76"/>
    <w:rPr>
      <w:rFonts w:asciiTheme="minorHAnsi" w:hAnsiTheme="minorHAnsi"/>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tsbsg17@itu.in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http://www.itu.int/en/150/Pages/default.aspx" TargetMode="External"/><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ndozas\AppData\Roaming\Microsoft\Templates\POOL%20S%20-%20ITU\PS_TSBCIRC1-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80D23B-0D42-4D51-BBCC-259AB07E5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PS_TSBCIRC1-S.dotx</Template>
  <TotalTime>26</TotalTime>
  <Pages>3</Pages>
  <Words>801</Words>
  <Characters>4225</Characters>
  <Application>Microsoft Office Word</Application>
  <DocSecurity>0</DocSecurity>
  <Lines>98</Lines>
  <Paragraphs>42</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Manager>ITU-T</Manager>
  <Company>International Telecommunication Union (ITU)</Company>
  <LinksUpToDate>false</LinksUpToDate>
  <CharactersWithSpaces>4991</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Mendoza Siles, Sidma Jeanneth</dc:creator>
  <cp:keywords/>
  <dc:description>173S.DOCX  For: _x000d_Document date: _x000d_Saved by ITU51006837 at 16:19:02 on 25/09/15</dc:description>
  <cp:lastModifiedBy>Scott, Sarah</cp:lastModifiedBy>
  <cp:revision>25</cp:revision>
  <cp:lastPrinted>2015-09-25T12:30:00Z</cp:lastPrinted>
  <dcterms:created xsi:type="dcterms:W3CDTF">2015-09-25T12:15:00Z</dcterms:created>
  <dcterms:modified xsi:type="dcterms:W3CDTF">2015-09-25T14:19:00Z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173S.DOCX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