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0" w:type="dxa"/>
          <w:right w:w="0" w:type="dxa"/>
        </w:tblCellMar>
        <w:tblLook w:val="0000" w:firstRow="0" w:lastRow="0" w:firstColumn="0" w:lastColumn="0" w:noHBand="0" w:noVBand="0"/>
      </w:tblPr>
      <w:tblGrid>
        <w:gridCol w:w="1418"/>
        <w:gridCol w:w="4819"/>
        <w:gridCol w:w="1134"/>
        <w:gridCol w:w="2127"/>
      </w:tblGrid>
      <w:tr w:rsidR="00590119" w:rsidRPr="00F50108" w:rsidTr="005D7A4D">
        <w:trPr>
          <w:cantSplit/>
        </w:trPr>
        <w:tc>
          <w:tcPr>
            <w:tcW w:w="1418" w:type="dxa"/>
            <w:vAlign w:val="center"/>
          </w:tcPr>
          <w:p w:rsidR="00590119" w:rsidRPr="00B73F4D" w:rsidRDefault="00590119" w:rsidP="005D7A4D">
            <w:pPr>
              <w:tabs>
                <w:tab w:val="right" w:pos="8732"/>
              </w:tabs>
              <w:spacing w:before="0"/>
              <w:rPr>
                <w:rFonts w:ascii="SimSun" w:hAnsi="SimSun"/>
                <w:b/>
                <w:bCs/>
                <w:iCs/>
                <w:color w:val="FFFFFF"/>
                <w:sz w:val="26"/>
                <w:szCs w:val="26"/>
              </w:rPr>
            </w:pPr>
            <w:bookmarkStart w:id="0" w:name="_GoBack"/>
            <w:bookmarkEnd w:id="0"/>
            <w:r>
              <w:rPr>
                <w:noProof/>
                <w:lang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390EC6" w:rsidRDefault="006B463C" w:rsidP="005D7A4D">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5D7A4D">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127" w:type="dxa"/>
            <w:vAlign w:val="center"/>
          </w:tcPr>
          <w:p w:rsidR="00590119" w:rsidRPr="00F50108" w:rsidRDefault="00590119" w:rsidP="005D7A4D">
            <w:pPr>
              <w:spacing w:before="0"/>
              <w:jc w:val="right"/>
              <w:rPr>
                <w:rFonts w:ascii="Verdana" w:hAnsi="Verdana"/>
                <w:color w:val="FFFFFF"/>
                <w:sz w:val="26"/>
                <w:szCs w:val="26"/>
              </w:rPr>
            </w:pPr>
            <w:bookmarkStart w:id="1" w:name="ditulogo"/>
            <w:bookmarkEnd w:id="1"/>
            <w:r>
              <w:rPr>
                <w:noProof/>
                <w:lang w:eastAsia="zh-CN"/>
              </w:rPr>
              <w:drawing>
                <wp:inline distT="0" distB="0" distL="0" distR="0" wp14:anchorId="2FABEFF2" wp14:editId="7220DE0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346AB" w:rsidRPr="00F50108" w:rsidTr="005D7A4D">
        <w:trPr>
          <w:cantSplit/>
        </w:trPr>
        <w:tc>
          <w:tcPr>
            <w:tcW w:w="6237" w:type="dxa"/>
            <w:gridSpan w:val="2"/>
            <w:vAlign w:val="center"/>
          </w:tcPr>
          <w:p w:rsidR="00F346AB" w:rsidRPr="00F50108" w:rsidRDefault="00F346AB" w:rsidP="005D7A4D">
            <w:pPr>
              <w:tabs>
                <w:tab w:val="right" w:pos="8732"/>
              </w:tabs>
              <w:spacing w:before="0"/>
              <w:rPr>
                <w:rFonts w:ascii="Verdana" w:hAnsi="Verdana"/>
                <w:b/>
                <w:bCs/>
                <w:iCs/>
                <w:sz w:val="18"/>
                <w:szCs w:val="18"/>
              </w:rPr>
            </w:pPr>
          </w:p>
        </w:tc>
        <w:tc>
          <w:tcPr>
            <w:tcW w:w="3261" w:type="dxa"/>
            <w:gridSpan w:val="2"/>
            <w:vAlign w:val="center"/>
          </w:tcPr>
          <w:p w:rsidR="00F346AB" w:rsidRPr="00F50108" w:rsidRDefault="00F346AB" w:rsidP="005D7A4D">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5B7162">
      <w:pPr>
        <w:pStyle w:val="Index1"/>
        <w:tabs>
          <w:tab w:val="clear" w:pos="794"/>
          <w:tab w:val="clear" w:pos="1191"/>
          <w:tab w:val="clear" w:pos="1588"/>
          <w:tab w:val="clear" w:pos="1985"/>
          <w:tab w:val="left" w:pos="5387"/>
        </w:tabs>
        <w:rPr>
          <w:lang w:eastAsia="zh-CN"/>
        </w:rPr>
      </w:pPr>
      <w:r>
        <w:rPr>
          <w:lang w:eastAsia="zh-CN"/>
        </w:rPr>
        <w:tab/>
      </w:r>
      <w:r w:rsidR="005B7162">
        <w:rPr>
          <w:lang w:eastAsia="zh-CN"/>
        </w:rPr>
        <w:t>2015</w:t>
      </w:r>
      <w:r w:rsidR="005B7162">
        <w:rPr>
          <w:rFonts w:hint="eastAsia"/>
          <w:lang w:eastAsia="zh-CN"/>
        </w:rPr>
        <w:t>年</w:t>
      </w:r>
      <w:r w:rsidR="005B7162">
        <w:rPr>
          <w:lang w:eastAsia="zh-CN"/>
        </w:rPr>
        <w:t>10</w:t>
      </w:r>
      <w:r w:rsidR="005B7162">
        <w:rPr>
          <w:lang w:eastAsia="zh-CN"/>
        </w:rPr>
        <w:t>月</w:t>
      </w:r>
      <w:r w:rsidR="005B7162">
        <w:rPr>
          <w:lang w:eastAsia="zh-CN"/>
        </w:rPr>
        <w:t>21</w:t>
      </w:r>
      <w:r w:rsidR="005B7162">
        <w:rPr>
          <w:lang w:eastAsia="zh-CN"/>
        </w:rPr>
        <w:t>日</w:t>
      </w:r>
      <w:r w:rsidR="005B7162">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rPr>
            </w:pPr>
          </w:p>
          <w:p w:rsidR="0063445E" w:rsidRPr="00841612" w:rsidRDefault="0063445E" w:rsidP="00956D38">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5B7162" w:rsidRPr="008B1EB3" w:rsidRDefault="005B7162" w:rsidP="005B7162">
            <w:pPr>
              <w:tabs>
                <w:tab w:val="left" w:pos="4111"/>
              </w:tabs>
              <w:spacing w:before="10"/>
              <w:rPr>
                <w:b/>
                <w:szCs w:val="24"/>
                <w:lang w:eastAsia="zh-CN"/>
              </w:rPr>
            </w:pPr>
            <w:r w:rsidRPr="008B1EB3">
              <w:rPr>
                <w:rFonts w:hint="eastAsia"/>
                <w:b/>
                <w:szCs w:val="24"/>
                <w:lang w:eastAsia="zh-CN"/>
              </w:rPr>
              <w:t>电信标准化局第</w:t>
            </w:r>
            <w:r>
              <w:rPr>
                <w:b/>
                <w:szCs w:val="24"/>
                <w:lang w:eastAsia="zh-CN"/>
              </w:rPr>
              <w:t>174</w:t>
            </w:r>
            <w:r w:rsidRPr="008B1EB3">
              <w:rPr>
                <w:rFonts w:hint="eastAsia"/>
                <w:b/>
                <w:szCs w:val="24"/>
                <w:lang w:eastAsia="zh-CN"/>
              </w:rPr>
              <w:t>号通函</w:t>
            </w:r>
          </w:p>
          <w:p w:rsidR="0063445E" w:rsidRPr="00841612" w:rsidRDefault="005B7162" w:rsidP="005B7162">
            <w:pPr>
              <w:tabs>
                <w:tab w:val="left" w:pos="4111"/>
              </w:tabs>
              <w:spacing w:before="0"/>
              <w:rPr>
                <w:b/>
                <w:szCs w:val="24"/>
                <w:lang w:eastAsia="zh-CN"/>
              </w:rPr>
            </w:pPr>
            <w:r>
              <w:rPr>
                <w:lang w:eastAsia="zh-CN"/>
              </w:rPr>
              <w:t>COM 17/MEU</w:t>
            </w:r>
          </w:p>
          <w:p w:rsidR="005B7162" w:rsidRPr="00841612" w:rsidRDefault="0063445E" w:rsidP="005B7162">
            <w:pPr>
              <w:tabs>
                <w:tab w:val="left" w:pos="4111"/>
              </w:tabs>
              <w:spacing w:before="80"/>
              <w:rPr>
                <w:szCs w:val="24"/>
                <w:lang w:val="en-US" w:eastAsia="zh-CN"/>
              </w:rPr>
            </w:pPr>
            <w:r w:rsidRPr="00841612">
              <w:rPr>
                <w:szCs w:val="24"/>
                <w:lang w:eastAsia="zh-CN"/>
              </w:rPr>
              <w:br/>
            </w:r>
            <w:r w:rsidR="005B7162">
              <w:rPr>
                <w:szCs w:val="24"/>
                <w:lang w:eastAsia="zh-CN"/>
              </w:rPr>
              <w:t>+41 22 730 5866</w:t>
            </w:r>
          </w:p>
          <w:p w:rsidR="0063445E" w:rsidRPr="00841612" w:rsidRDefault="005B7162" w:rsidP="005B7162">
            <w:pPr>
              <w:tabs>
                <w:tab w:val="left" w:pos="4111"/>
              </w:tabs>
              <w:spacing w:before="40"/>
              <w:rPr>
                <w:szCs w:val="24"/>
                <w:lang w:eastAsia="zh-CN"/>
              </w:rPr>
            </w:pPr>
            <w:r w:rsidRPr="00841612">
              <w:rPr>
                <w:szCs w:val="24"/>
                <w:lang w:eastAsia="zh-CN"/>
              </w:rPr>
              <w:t>+41 22 730 5853</w:t>
            </w:r>
          </w:p>
        </w:tc>
        <w:tc>
          <w:tcPr>
            <w:tcW w:w="4436" w:type="dxa"/>
          </w:tcPr>
          <w:p w:rsidR="0063445E" w:rsidRDefault="005B7162" w:rsidP="00956D38">
            <w:pPr>
              <w:tabs>
                <w:tab w:val="clear" w:pos="794"/>
                <w:tab w:val="clear" w:pos="1191"/>
                <w:tab w:val="clear" w:pos="1588"/>
                <w:tab w:val="clear" w:pos="1985"/>
                <w:tab w:val="left" w:pos="284"/>
              </w:tabs>
              <w:spacing w:before="0"/>
              <w:ind w:left="284" w:hanging="284"/>
              <w:rPr>
                <w:lang w:eastAsia="zh-CN"/>
              </w:rPr>
            </w:pPr>
            <w:bookmarkStart w:id="2" w:name="Addressee_E"/>
            <w:bookmarkEnd w:id="2"/>
            <w:r w:rsidRPr="00D04B1F">
              <w:rPr>
                <w:rFonts w:ascii="Calibri" w:hAnsi="Calibri" w:cs="Microsoft YaHei"/>
                <w:lang w:eastAsia="zh-CN"/>
              </w:rPr>
              <w:t>–</w:t>
            </w:r>
            <w:r w:rsidRPr="00276F18">
              <w:rPr>
                <w:rFonts w:ascii="Calibri" w:hAnsi="Calibri" w:cs="Microsoft YaHei"/>
                <w:lang w:eastAsia="zh-CN"/>
              </w:rPr>
              <w:tab/>
            </w:r>
            <w:r>
              <w:rPr>
                <w:rFonts w:ascii="Calibri" w:hAnsi="Calibri" w:cs="Microsoft YaHei" w:hint="eastAsia"/>
                <w:lang w:eastAsia="zh-CN"/>
              </w:rPr>
              <w:t>致</w:t>
            </w:r>
            <w:r w:rsidRPr="00276F18">
              <w:rPr>
                <w:rFonts w:ascii="Calibri" w:hAnsi="Calibri" w:cs="Microsoft YaHei" w:hint="eastAsia"/>
                <w:lang w:eastAsia="zh-CN"/>
              </w:rPr>
              <w:t>国际电联各成员国主管部门</w:t>
            </w: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D70069" w:rsidRDefault="00D70069" w:rsidP="00C70EDA">
            <w:pPr>
              <w:tabs>
                <w:tab w:val="left" w:pos="4111"/>
              </w:tabs>
              <w:spacing w:before="0"/>
            </w:pPr>
          </w:p>
          <w:p w:rsidR="00C70EDA" w:rsidRPr="00C70EDA" w:rsidRDefault="00CC4AE6" w:rsidP="00D70069">
            <w:pPr>
              <w:tabs>
                <w:tab w:val="left" w:pos="4111"/>
              </w:tabs>
              <w:spacing w:before="60"/>
              <w:rPr>
                <w:color w:val="0000FF"/>
                <w:u w:val="single"/>
                <w:lang w:eastAsia="zh-CN"/>
              </w:rPr>
            </w:pPr>
            <w:hyperlink r:id="rId8" w:history="1">
              <w:r w:rsidR="00C70EDA" w:rsidRPr="00C70938">
                <w:rPr>
                  <w:rStyle w:val="Hyperlink"/>
                  <w:lang w:eastAsia="zh-CN"/>
                </w:rPr>
                <w:t>tsbsg17@itu.int</w:t>
              </w:r>
            </w:hyperlink>
          </w:p>
          <w:p w:rsidR="007568DA" w:rsidRPr="00841612" w:rsidRDefault="007568DA" w:rsidP="005C26FD">
            <w:pPr>
              <w:tabs>
                <w:tab w:val="left" w:pos="4111"/>
              </w:tabs>
              <w:spacing w:before="40"/>
              <w:rPr>
                <w:szCs w:val="24"/>
                <w:lang w:eastAsia="zh-CN"/>
              </w:rPr>
            </w:pPr>
          </w:p>
        </w:tc>
        <w:tc>
          <w:tcPr>
            <w:tcW w:w="4436" w:type="dxa"/>
          </w:tcPr>
          <w:p w:rsidR="005B7162" w:rsidRPr="00E02380" w:rsidRDefault="005B7162" w:rsidP="005B7162">
            <w:pPr>
              <w:tabs>
                <w:tab w:val="left" w:pos="4111"/>
              </w:tabs>
              <w:spacing w:before="0"/>
              <w:rPr>
                <w:b/>
                <w:lang w:eastAsia="zh-CN"/>
              </w:rPr>
            </w:pPr>
            <w:r>
              <w:rPr>
                <w:rFonts w:hint="eastAsia"/>
                <w:b/>
                <w:lang w:eastAsia="zh-CN"/>
              </w:rPr>
              <w:t>抄送：</w:t>
            </w:r>
          </w:p>
          <w:p w:rsidR="005B7162" w:rsidRPr="00E02380" w:rsidRDefault="005B7162" w:rsidP="005B7162">
            <w:pPr>
              <w:pStyle w:val="Tabletext"/>
              <w:tabs>
                <w:tab w:val="clear" w:pos="284"/>
                <w:tab w:val="clear" w:pos="567"/>
                <w:tab w:val="left" w:pos="283"/>
              </w:tabs>
              <w:ind w:left="283" w:hanging="283"/>
              <w:rPr>
                <w:rFonts w:ascii="Calibri" w:eastAsia="SimSun" w:hAnsi="Calibri"/>
                <w:lang w:eastAsia="zh-CN"/>
              </w:rPr>
            </w:pPr>
            <w:r w:rsidRPr="00E02380">
              <w:rPr>
                <w:rFonts w:ascii="Calibri" w:eastAsia="SimSun" w:hAnsi="Calibri"/>
                <w:lang w:eastAsia="zh-CN"/>
              </w:rPr>
              <w:t>–</w:t>
            </w:r>
            <w:r w:rsidRPr="00E02380">
              <w:rPr>
                <w:rFonts w:ascii="Calibri" w:eastAsia="SimSun" w:hAnsi="Calibri"/>
                <w:lang w:eastAsia="zh-CN"/>
              </w:rPr>
              <w:tab/>
              <w:t>ITU-T</w:t>
            </w:r>
            <w:r w:rsidRPr="00E02380">
              <w:rPr>
                <w:rFonts w:ascii="Calibri" w:eastAsia="SimSun" w:hAnsi="Calibri"/>
                <w:lang w:eastAsia="zh-CN"/>
              </w:rPr>
              <w:t>部门成员；</w:t>
            </w:r>
          </w:p>
          <w:p w:rsidR="005B7162" w:rsidRPr="00E02380" w:rsidRDefault="005B7162" w:rsidP="005B7162">
            <w:pPr>
              <w:pStyle w:val="Tabletext"/>
              <w:tabs>
                <w:tab w:val="clear" w:pos="284"/>
                <w:tab w:val="clear" w:pos="567"/>
                <w:tab w:val="left" w:pos="283"/>
              </w:tabs>
              <w:ind w:left="283" w:hanging="283"/>
              <w:rPr>
                <w:rFonts w:ascii="Calibri" w:eastAsia="SimSun" w:hAnsi="Calibri"/>
                <w:lang w:eastAsia="zh-CN"/>
              </w:rPr>
            </w:pPr>
            <w:r w:rsidRPr="00E02380">
              <w:rPr>
                <w:rFonts w:ascii="Calibri" w:eastAsia="SimSun" w:hAnsi="Calibri"/>
                <w:lang w:eastAsia="zh-CN"/>
              </w:rPr>
              <w:t>–</w:t>
            </w:r>
            <w:r w:rsidRPr="00E02380">
              <w:rPr>
                <w:rFonts w:ascii="Calibri" w:eastAsia="SimSun" w:hAnsi="Calibri"/>
                <w:lang w:eastAsia="zh-CN"/>
              </w:rPr>
              <w:tab/>
              <w:t>ITU-T</w:t>
            </w:r>
            <w:r w:rsidRPr="00E02380">
              <w:rPr>
                <w:rFonts w:ascii="Calibri" w:eastAsia="SimSun" w:hAnsi="Calibri"/>
                <w:lang w:eastAsia="zh-CN"/>
              </w:rPr>
              <w:t>部门准成员；</w:t>
            </w:r>
          </w:p>
          <w:p w:rsidR="005B7162" w:rsidRPr="00E02380" w:rsidRDefault="005B7162" w:rsidP="005B7162">
            <w:pPr>
              <w:pStyle w:val="Tabletext"/>
              <w:tabs>
                <w:tab w:val="clear" w:pos="284"/>
                <w:tab w:val="clear" w:pos="567"/>
                <w:tab w:val="left" w:pos="283"/>
              </w:tabs>
              <w:ind w:left="283" w:hanging="283"/>
              <w:rPr>
                <w:rFonts w:ascii="Calibri" w:eastAsia="SimSun" w:hAnsi="Calibri"/>
                <w:lang w:eastAsia="zh-CN"/>
              </w:rPr>
            </w:pPr>
            <w:r w:rsidRPr="00E02380">
              <w:rPr>
                <w:rFonts w:ascii="Calibri" w:eastAsia="SimSun" w:hAnsi="Calibri"/>
                <w:lang w:eastAsia="zh-CN"/>
              </w:rPr>
              <w:t>–</w:t>
            </w:r>
            <w:r w:rsidRPr="00E02380">
              <w:rPr>
                <w:rFonts w:ascii="Calibri" w:eastAsia="SimSun" w:hAnsi="Calibri"/>
                <w:lang w:eastAsia="zh-CN"/>
              </w:rPr>
              <w:tab/>
            </w:r>
            <w:r w:rsidR="00BD77CF" w:rsidRPr="0038372D">
              <w:rPr>
                <w:rFonts w:asciiTheme="minorEastAsia" w:hAnsiTheme="minorEastAsia" w:cs="Microsoft YaHei" w:hint="eastAsia"/>
                <w:lang w:eastAsia="zh-CN"/>
              </w:rPr>
              <w:t>国际</w:t>
            </w:r>
            <w:r w:rsidR="00BD77CF" w:rsidRPr="0038372D">
              <w:rPr>
                <w:rFonts w:asciiTheme="minorEastAsia" w:hAnsiTheme="minorEastAsia" w:cs="Microsoft YaHei"/>
                <w:lang w:eastAsia="zh-CN"/>
              </w:rPr>
              <w:t>电联</w:t>
            </w:r>
            <w:r w:rsidR="00BD77CF" w:rsidRPr="0038372D">
              <w:rPr>
                <w:rFonts w:asciiTheme="minorEastAsia" w:hAnsiTheme="minorEastAsia" w:cs="Microsoft YaHei" w:hint="eastAsia"/>
                <w:lang w:eastAsia="zh-CN"/>
              </w:rPr>
              <w:t>学术成员</w:t>
            </w:r>
            <w:r w:rsidRPr="00E02380">
              <w:rPr>
                <w:rFonts w:ascii="Calibri" w:eastAsia="SimSun" w:hAnsi="Calibri"/>
                <w:lang w:eastAsia="zh-CN"/>
              </w:rPr>
              <w:t>；</w:t>
            </w:r>
          </w:p>
          <w:p w:rsidR="005B7162" w:rsidRPr="00E02380" w:rsidRDefault="005B7162" w:rsidP="005B7162">
            <w:pPr>
              <w:pStyle w:val="Tabletext"/>
              <w:tabs>
                <w:tab w:val="clear" w:pos="284"/>
                <w:tab w:val="clear" w:pos="567"/>
                <w:tab w:val="left" w:pos="283"/>
              </w:tabs>
              <w:ind w:left="283" w:hanging="283"/>
              <w:rPr>
                <w:rFonts w:ascii="Calibri" w:eastAsia="SimSun" w:hAnsi="Calibri"/>
                <w:lang w:eastAsia="zh-CN"/>
              </w:rPr>
            </w:pPr>
            <w:r w:rsidRPr="00E02380">
              <w:rPr>
                <w:rFonts w:ascii="Calibri" w:eastAsia="SimSun" w:hAnsi="Calibri"/>
                <w:lang w:eastAsia="zh-CN"/>
              </w:rPr>
              <w:t>–</w:t>
            </w:r>
            <w:r w:rsidRPr="00E02380">
              <w:rPr>
                <w:rFonts w:ascii="Calibri" w:eastAsia="SimSun" w:hAnsi="Calibri"/>
                <w:lang w:eastAsia="zh-CN"/>
              </w:rPr>
              <w:tab/>
            </w:r>
            <w:r w:rsidRPr="00E02380">
              <w:rPr>
                <w:rFonts w:ascii="Calibri" w:eastAsia="SimSun" w:hAnsi="Calibri"/>
                <w:lang w:eastAsia="zh-CN"/>
              </w:rPr>
              <w:t>第</w:t>
            </w:r>
            <w:r w:rsidRPr="00E02380">
              <w:rPr>
                <w:rFonts w:ascii="Calibri" w:eastAsia="SimSun" w:hAnsi="Calibri"/>
                <w:lang w:eastAsia="zh-CN"/>
              </w:rPr>
              <w:t>17</w:t>
            </w:r>
            <w:r w:rsidRPr="00E02380">
              <w:rPr>
                <w:rFonts w:ascii="Calibri" w:eastAsia="SimSun" w:hAnsi="Calibri"/>
                <w:lang w:eastAsia="zh-CN"/>
              </w:rPr>
              <w:t>研究组正副主席；</w:t>
            </w:r>
          </w:p>
          <w:p w:rsidR="005B7162" w:rsidRDefault="005B7162" w:rsidP="005B7162">
            <w:pPr>
              <w:pStyle w:val="Tabletext"/>
              <w:tabs>
                <w:tab w:val="clear" w:pos="284"/>
                <w:tab w:val="clear" w:pos="567"/>
                <w:tab w:val="left" w:pos="283"/>
              </w:tabs>
              <w:ind w:left="283" w:hanging="283"/>
              <w:rPr>
                <w:rFonts w:ascii="Calibri" w:eastAsia="SimSun" w:hAnsi="Calibri"/>
                <w:lang w:eastAsia="zh-CN"/>
              </w:rPr>
            </w:pPr>
            <w:r w:rsidRPr="00E02380">
              <w:rPr>
                <w:rFonts w:ascii="Calibri" w:eastAsia="SimSun" w:hAnsi="Calibri"/>
                <w:lang w:eastAsia="zh-CN"/>
              </w:rPr>
              <w:t>–</w:t>
            </w:r>
            <w:r w:rsidRPr="00E02380">
              <w:rPr>
                <w:rFonts w:ascii="Calibri" w:eastAsia="SimSun" w:hAnsi="Calibri"/>
                <w:lang w:eastAsia="zh-CN"/>
              </w:rPr>
              <w:tab/>
            </w:r>
            <w:r w:rsidRPr="00E02380">
              <w:rPr>
                <w:rFonts w:ascii="Calibri" w:eastAsia="SimSun" w:hAnsi="Calibri"/>
                <w:lang w:eastAsia="zh-CN"/>
              </w:rPr>
              <w:t>电信发展局主任；</w:t>
            </w:r>
          </w:p>
          <w:p w:rsidR="0063445E" w:rsidRDefault="00A577A3" w:rsidP="00A577A3">
            <w:pPr>
              <w:pStyle w:val="Tabletext"/>
              <w:tabs>
                <w:tab w:val="clear" w:pos="567"/>
              </w:tabs>
              <w:ind w:left="283" w:hanging="283"/>
              <w:rPr>
                <w:lang w:eastAsia="zh-CN"/>
              </w:rPr>
            </w:pPr>
            <w:r w:rsidRPr="00A577A3">
              <w:rPr>
                <w:rFonts w:ascii="Calibri" w:eastAsia="SimSun" w:hAnsi="Calibri"/>
                <w:lang w:eastAsia="zh-CN"/>
              </w:rPr>
              <w:t>–</w:t>
            </w:r>
            <w:r w:rsidRPr="00A577A3">
              <w:rPr>
                <w:rFonts w:ascii="Calibri" w:eastAsia="SimSun" w:hAnsi="Calibri"/>
                <w:lang w:eastAsia="zh-CN"/>
              </w:rPr>
              <w:tab/>
            </w:r>
            <w:r w:rsidRPr="00A577A3">
              <w:rPr>
                <w:rFonts w:ascii="Calibri" w:eastAsia="SimSun" w:hAnsi="Calibri"/>
                <w:lang w:eastAsia="zh-CN"/>
              </w:rPr>
              <w:t>无线电通信局主任</w:t>
            </w: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993"/>
        <w:gridCol w:w="7796"/>
      </w:tblGrid>
      <w:tr w:rsidR="0063445E" w:rsidTr="00A577A3">
        <w:trPr>
          <w:cantSplit/>
        </w:trPr>
        <w:tc>
          <w:tcPr>
            <w:tcW w:w="993"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796" w:type="dxa"/>
          </w:tcPr>
          <w:p w:rsidR="0063445E" w:rsidRDefault="005B7162" w:rsidP="00956D38">
            <w:pPr>
              <w:tabs>
                <w:tab w:val="left" w:pos="4111"/>
              </w:tabs>
              <w:spacing w:before="0"/>
              <w:ind w:left="57" w:right="28"/>
              <w:rPr>
                <w:lang w:eastAsia="zh-CN"/>
              </w:rPr>
            </w:pPr>
            <w:r w:rsidRPr="008B1EB3">
              <w:rPr>
                <w:rFonts w:hint="eastAsia"/>
                <w:b/>
                <w:lang w:eastAsia="zh-CN"/>
              </w:rPr>
              <w:t>第</w:t>
            </w:r>
            <w:r w:rsidRPr="008B1EB3">
              <w:rPr>
                <w:rFonts w:hint="eastAsia"/>
                <w:b/>
                <w:lang w:eastAsia="zh-CN"/>
              </w:rPr>
              <w:t>17</w:t>
            </w:r>
            <w:r w:rsidRPr="008B1EB3">
              <w:rPr>
                <w:rFonts w:hint="eastAsia"/>
                <w:b/>
                <w:lang w:eastAsia="zh-CN"/>
              </w:rPr>
              <w:t>研究组</w:t>
            </w:r>
            <w:r>
              <w:rPr>
                <w:rFonts w:hint="eastAsia"/>
                <w:b/>
                <w:lang w:eastAsia="zh-CN"/>
              </w:rPr>
              <w:t>会议</w:t>
            </w:r>
            <w:r w:rsidRPr="008B1EB3">
              <w:rPr>
                <w:rFonts w:hint="eastAsia"/>
                <w:b/>
                <w:lang w:eastAsia="zh-CN"/>
              </w:rPr>
              <w:t>按照世界电信标准化全会（</w:t>
            </w:r>
            <w:r w:rsidRPr="008B1EB3">
              <w:rPr>
                <w:rFonts w:hint="eastAsia"/>
                <w:b/>
                <w:lang w:eastAsia="zh-CN"/>
              </w:rPr>
              <w:t>2012</w:t>
            </w:r>
            <w:r w:rsidRPr="008B1EB3">
              <w:rPr>
                <w:rFonts w:hint="eastAsia"/>
                <w:b/>
                <w:lang w:eastAsia="zh-CN"/>
              </w:rPr>
              <w:t>年，迪拜）第</w:t>
            </w:r>
            <w:r w:rsidRPr="008B1EB3">
              <w:rPr>
                <w:rFonts w:hint="eastAsia"/>
                <w:b/>
                <w:lang w:eastAsia="zh-CN"/>
              </w:rPr>
              <w:t>1</w:t>
            </w:r>
            <w:r w:rsidRPr="008B1EB3">
              <w:rPr>
                <w:rFonts w:hint="eastAsia"/>
                <w:b/>
                <w:lang w:eastAsia="zh-CN"/>
              </w:rPr>
              <w:t>号决议第</w:t>
            </w:r>
            <w:r w:rsidRPr="008B1EB3">
              <w:rPr>
                <w:rFonts w:hint="eastAsia"/>
                <w:b/>
                <w:lang w:eastAsia="zh-CN"/>
              </w:rPr>
              <w:t>9</w:t>
            </w:r>
            <w:r>
              <w:rPr>
                <w:rFonts w:hint="eastAsia"/>
                <w:b/>
                <w:lang w:eastAsia="zh-CN"/>
              </w:rPr>
              <w:t>节的规定</w:t>
            </w:r>
            <w:r w:rsidRPr="008B1EB3">
              <w:rPr>
                <w:rFonts w:hint="eastAsia"/>
                <w:b/>
                <w:lang w:eastAsia="zh-CN"/>
              </w:rPr>
              <w:t>批准新的</w:t>
            </w:r>
            <w:r>
              <w:rPr>
                <w:b/>
                <w:bCs/>
                <w:lang w:eastAsia="zh-CN"/>
              </w:rPr>
              <w:t>ITU-</w:t>
            </w:r>
            <w:r w:rsidRPr="000305E1">
              <w:rPr>
                <w:b/>
                <w:bCs/>
                <w:lang w:eastAsia="zh-CN"/>
              </w:rPr>
              <w:t xml:space="preserve">T </w:t>
            </w:r>
            <w:r w:rsidRPr="00C304AC">
              <w:rPr>
                <w:b/>
                <w:bCs/>
                <w:lang w:eastAsia="zh-CN"/>
              </w:rPr>
              <w:t>X.1247</w:t>
            </w:r>
            <w:r>
              <w:rPr>
                <w:b/>
                <w:bCs/>
                <w:lang w:eastAsia="zh-CN"/>
              </w:rPr>
              <w:t>、</w:t>
            </w:r>
            <w:r w:rsidRPr="00C304AC">
              <w:rPr>
                <w:b/>
                <w:bCs/>
                <w:lang w:eastAsia="zh-CN"/>
              </w:rPr>
              <w:t>X.1256</w:t>
            </w:r>
            <w:r>
              <w:rPr>
                <w:b/>
                <w:bCs/>
                <w:lang w:eastAsia="zh-CN"/>
              </w:rPr>
              <w:t>、</w:t>
            </w:r>
            <w:r w:rsidRPr="00C304AC">
              <w:rPr>
                <w:b/>
                <w:bCs/>
                <w:lang w:eastAsia="zh-CN"/>
              </w:rPr>
              <w:t>X.1257</w:t>
            </w:r>
            <w:r>
              <w:rPr>
                <w:b/>
                <w:bCs/>
                <w:lang w:eastAsia="zh-CN"/>
              </w:rPr>
              <w:t>、</w:t>
            </w:r>
            <w:r>
              <w:rPr>
                <w:b/>
                <w:bCs/>
                <w:lang w:eastAsia="zh-CN"/>
              </w:rPr>
              <w:t>X.1602</w:t>
            </w:r>
            <w:r>
              <w:rPr>
                <w:b/>
                <w:bCs/>
                <w:lang w:eastAsia="zh-CN"/>
              </w:rPr>
              <w:t>、</w:t>
            </w:r>
            <w:r w:rsidRPr="00C304AC">
              <w:rPr>
                <w:b/>
                <w:bCs/>
                <w:lang w:eastAsia="zh-CN"/>
              </w:rPr>
              <w:t>X.1642</w:t>
            </w:r>
            <w:r w:rsidRPr="008B1EB3">
              <w:rPr>
                <w:rFonts w:hint="eastAsia"/>
                <w:b/>
                <w:lang w:eastAsia="zh-CN"/>
              </w:rPr>
              <w:t>建议书草案</w:t>
            </w:r>
            <w:r>
              <w:rPr>
                <w:rFonts w:hint="eastAsia"/>
                <w:b/>
                <w:lang w:eastAsia="zh-CN"/>
              </w:rPr>
              <w:t>和</w:t>
            </w:r>
            <w:r>
              <w:rPr>
                <w:b/>
                <w:bCs/>
                <w:lang w:eastAsia="zh-CN"/>
              </w:rPr>
              <w:t>ITU-</w:t>
            </w:r>
            <w:r w:rsidRPr="000305E1">
              <w:rPr>
                <w:b/>
                <w:bCs/>
                <w:lang w:eastAsia="zh-CN"/>
              </w:rPr>
              <w:t>T</w:t>
            </w:r>
            <w:r w:rsidRPr="00C304AC">
              <w:rPr>
                <w:b/>
                <w:bCs/>
                <w:lang w:eastAsia="zh-CN"/>
              </w:rPr>
              <w:t xml:space="preserve"> </w:t>
            </w:r>
            <w:r>
              <w:rPr>
                <w:b/>
                <w:bCs/>
                <w:lang w:eastAsia="zh-CN"/>
              </w:rPr>
              <w:t>X.1521</w:t>
            </w:r>
            <w:r>
              <w:rPr>
                <w:rFonts w:hint="eastAsia"/>
                <w:b/>
                <w:bCs/>
                <w:lang w:eastAsia="zh-CN"/>
              </w:rPr>
              <w:t>建议书修订草案，</w:t>
            </w:r>
            <w:r>
              <w:rPr>
                <w:rFonts w:hint="eastAsia"/>
                <w:b/>
                <w:lang w:eastAsia="zh-CN"/>
              </w:rPr>
              <w:t>2016</w:t>
            </w:r>
            <w:r w:rsidRPr="008B1EB3">
              <w:rPr>
                <w:rFonts w:hint="eastAsia"/>
                <w:b/>
                <w:lang w:eastAsia="zh-CN"/>
              </w:rPr>
              <w:t>年</w:t>
            </w:r>
            <w:r>
              <w:rPr>
                <w:rFonts w:hint="eastAsia"/>
                <w:b/>
                <w:lang w:eastAsia="zh-CN"/>
              </w:rPr>
              <w:t>3</w:t>
            </w:r>
            <w:r w:rsidRPr="008B1EB3">
              <w:rPr>
                <w:rFonts w:hint="eastAsia"/>
                <w:b/>
                <w:lang w:eastAsia="zh-CN"/>
              </w:rPr>
              <w:t>月</w:t>
            </w:r>
            <w:r>
              <w:rPr>
                <w:rFonts w:hint="eastAsia"/>
                <w:b/>
                <w:lang w:eastAsia="zh-CN"/>
              </w:rPr>
              <w:t>23</w:t>
            </w:r>
            <w:r w:rsidRPr="008B1EB3">
              <w:rPr>
                <w:rFonts w:hint="eastAsia"/>
                <w:b/>
                <w:lang w:eastAsia="zh-CN"/>
              </w:rPr>
              <w:t>日，日内瓦</w:t>
            </w:r>
          </w:p>
        </w:tc>
      </w:tr>
    </w:tbl>
    <w:p w:rsidR="005B7162" w:rsidRPr="008B1EB3" w:rsidRDefault="005B7162" w:rsidP="005B7162">
      <w:pPr>
        <w:spacing w:before="600"/>
        <w:rPr>
          <w:szCs w:val="22"/>
          <w:lang w:eastAsia="zh-CN"/>
        </w:rPr>
      </w:pPr>
      <w:bookmarkStart w:id="3" w:name="StartTyping_E"/>
      <w:bookmarkEnd w:id="3"/>
      <w:r w:rsidRPr="008B1EB3">
        <w:rPr>
          <w:rFonts w:hint="eastAsia"/>
          <w:szCs w:val="22"/>
          <w:lang w:eastAsia="zh-CN"/>
        </w:rPr>
        <w:t>尊敬的先生</w:t>
      </w:r>
      <w:r w:rsidRPr="008B1EB3">
        <w:rPr>
          <w:rFonts w:hint="eastAsia"/>
          <w:szCs w:val="22"/>
          <w:lang w:eastAsia="zh-CN"/>
        </w:rPr>
        <w:t>/</w:t>
      </w:r>
      <w:r w:rsidRPr="008B1EB3">
        <w:rPr>
          <w:rFonts w:hint="eastAsia"/>
          <w:szCs w:val="22"/>
          <w:lang w:eastAsia="zh-CN"/>
        </w:rPr>
        <w:t>女士：</w:t>
      </w:r>
    </w:p>
    <w:p w:rsidR="005B7162" w:rsidRPr="008B1EB3" w:rsidRDefault="005B7162" w:rsidP="005B7162">
      <w:pPr>
        <w:rPr>
          <w:szCs w:val="22"/>
          <w:lang w:eastAsia="zh-CN"/>
        </w:rPr>
      </w:pPr>
      <w:r w:rsidRPr="008B1EB3">
        <w:rPr>
          <w:bCs/>
          <w:szCs w:val="22"/>
          <w:lang w:eastAsia="zh-CN"/>
        </w:rPr>
        <w:t>1</w:t>
      </w:r>
      <w:r w:rsidRPr="008B1EB3">
        <w:rPr>
          <w:szCs w:val="22"/>
          <w:lang w:eastAsia="zh-CN"/>
        </w:rPr>
        <w:tab/>
      </w:r>
      <w:r w:rsidRPr="00EC44DB">
        <w:rPr>
          <w:rFonts w:hint="eastAsia"/>
          <w:spacing w:val="-6"/>
          <w:szCs w:val="22"/>
          <w:lang w:eastAsia="zh-CN"/>
        </w:rPr>
        <w:t>应第</w:t>
      </w:r>
      <w:r w:rsidRPr="00EC44DB">
        <w:rPr>
          <w:rFonts w:hint="eastAsia"/>
          <w:spacing w:val="-6"/>
          <w:szCs w:val="22"/>
          <w:lang w:eastAsia="zh-CN"/>
        </w:rPr>
        <w:t>17</w:t>
      </w:r>
      <w:r w:rsidRPr="00EC44DB">
        <w:rPr>
          <w:rFonts w:hint="eastAsia"/>
          <w:spacing w:val="-6"/>
          <w:szCs w:val="22"/>
          <w:lang w:eastAsia="zh-CN"/>
        </w:rPr>
        <w:t>研究组（</w:t>
      </w:r>
      <w:r w:rsidRPr="00EC44DB">
        <w:rPr>
          <w:rFonts w:ascii="STKaiti" w:eastAsia="STKaiti" w:hAnsi="STKaiti" w:hint="eastAsia"/>
          <w:spacing w:val="-6"/>
          <w:szCs w:val="22"/>
          <w:lang w:eastAsia="zh-CN"/>
        </w:rPr>
        <w:t>安全</w:t>
      </w:r>
      <w:r w:rsidRPr="00EC44DB">
        <w:rPr>
          <w:rFonts w:hint="eastAsia"/>
          <w:spacing w:val="-6"/>
          <w:szCs w:val="22"/>
          <w:lang w:eastAsia="zh-CN"/>
        </w:rPr>
        <w:t>）主席的请求，我荣幸地告知您，该研究组将于</w:t>
      </w:r>
      <w:r w:rsidRPr="00EC44DB">
        <w:rPr>
          <w:rFonts w:hint="eastAsia"/>
          <w:spacing w:val="-6"/>
          <w:szCs w:val="22"/>
          <w:lang w:eastAsia="zh-CN"/>
        </w:rPr>
        <w:t>2016</w:t>
      </w:r>
      <w:r w:rsidRPr="00EC44DB">
        <w:rPr>
          <w:rFonts w:hint="eastAsia"/>
          <w:spacing w:val="-6"/>
          <w:szCs w:val="22"/>
          <w:lang w:eastAsia="zh-CN"/>
        </w:rPr>
        <w:t>年</w:t>
      </w:r>
      <w:r w:rsidRPr="00EC44DB">
        <w:rPr>
          <w:rFonts w:hint="eastAsia"/>
          <w:spacing w:val="-6"/>
          <w:szCs w:val="22"/>
          <w:lang w:eastAsia="zh-CN"/>
        </w:rPr>
        <w:t>3</w:t>
      </w:r>
      <w:r w:rsidRPr="00EC44DB">
        <w:rPr>
          <w:rFonts w:hint="eastAsia"/>
          <w:spacing w:val="-6"/>
          <w:szCs w:val="22"/>
          <w:lang w:eastAsia="zh-CN"/>
        </w:rPr>
        <w:t>月</w:t>
      </w:r>
      <w:r w:rsidRPr="00EC44DB">
        <w:rPr>
          <w:rFonts w:hint="eastAsia"/>
          <w:spacing w:val="-6"/>
          <w:szCs w:val="22"/>
          <w:lang w:eastAsia="zh-CN"/>
        </w:rPr>
        <w:t>14-23</w:t>
      </w:r>
      <w:r w:rsidRPr="00EC44DB">
        <w:rPr>
          <w:rFonts w:hint="eastAsia"/>
          <w:spacing w:val="-6"/>
          <w:szCs w:val="22"/>
          <w:lang w:eastAsia="zh-CN"/>
        </w:rPr>
        <w:t>日</w:t>
      </w:r>
      <w:r w:rsidRPr="008B1EB3">
        <w:rPr>
          <w:rFonts w:hint="eastAsia"/>
          <w:szCs w:val="22"/>
          <w:lang w:eastAsia="zh-CN"/>
        </w:rPr>
        <w:t>召开会议，并将采用世界电信标准化全会（</w:t>
      </w:r>
      <w:r w:rsidRPr="008B1EB3">
        <w:rPr>
          <w:rFonts w:hint="eastAsia"/>
          <w:szCs w:val="22"/>
          <w:lang w:eastAsia="zh-CN"/>
        </w:rPr>
        <w:t>2012</w:t>
      </w:r>
      <w:r w:rsidRPr="008B1EB3">
        <w:rPr>
          <w:rFonts w:hint="eastAsia"/>
          <w:szCs w:val="22"/>
          <w:lang w:eastAsia="zh-CN"/>
        </w:rPr>
        <w:t>年，迪拜）第</w:t>
      </w:r>
      <w:r w:rsidRPr="008B1EB3">
        <w:rPr>
          <w:rFonts w:hint="eastAsia"/>
          <w:szCs w:val="22"/>
          <w:lang w:eastAsia="zh-CN"/>
        </w:rPr>
        <w:t>1</w:t>
      </w:r>
      <w:r w:rsidRPr="008B1EB3">
        <w:rPr>
          <w:rFonts w:hint="eastAsia"/>
          <w:szCs w:val="22"/>
          <w:lang w:eastAsia="zh-CN"/>
        </w:rPr>
        <w:t>号决议第</w:t>
      </w:r>
      <w:r w:rsidRPr="008B1EB3">
        <w:rPr>
          <w:rFonts w:hint="eastAsia"/>
          <w:szCs w:val="22"/>
          <w:lang w:eastAsia="zh-CN"/>
        </w:rPr>
        <w:t>9</w:t>
      </w:r>
      <w:r w:rsidRPr="008B1EB3">
        <w:rPr>
          <w:rFonts w:hint="eastAsia"/>
          <w:szCs w:val="22"/>
          <w:lang w:eastAsia="zh-CN"/>
        </w:rPr>
        <w:t>节规定的程序来批准上述</w:t>
      </w:r>
      <w:r>
        <w:rPr>
          <w:rFonts w:hint="eastAsia"/>
          <w:szCs w:val="22"/>
          <w:lang w:eastAsia="zh-CN"/>
        </w:rPr>
        <w:t>修订案和</w:t>
      </w:r>
      <w:r w:rsidRPr="008B1EB3">
        <w:rPr>
          <w:rFonts w:hint="eastAsia"/>
          <w:szCs w:val="22"/>
          <w:lang w:eastAsia="zh-CN"/>
        </w:rPr>
        <w:t>新建议书草案。</w:t>
      </w:r>
    </w:p>
    <w:p w:rsidR="005B7162" w:rsidRPr="008B1EB3" w:rsidRDefault="005B7162" w:rsidP="005B7162">
      <w:pPr>
        <w:rPr>
          <w:szCs w:val="22"/>
          <w:lang w:eastAsia="zh-CN"/>
        </w:rPr>
      </w:pPr>
      <w:r w:rsidRPr="008B1EB3">
        <w:rPr>
          <w:bCs/>
          <w:szCs w:val="22"/>
          <w:lang w:eastAsia="zh-CN"/>
        </w:rPr>
        <w:t>2</w:t>
      </w:r>
      <w:r w:rsidRPr="008B1EB3">
        <w:rPr>
          <w:szCs w:val="22"/>
          <w:lang w:eastAsia="zh-CN"/>
        </w:rPr>
        <w:tab/>
      </w:r>
      <w:r w:rsidRPr="008B1EB3">
        <w:rPr>
          <w:rFonts w:hint="eastAsia"/>
          <w:szCs w:val="22"/>
          <w:lang w:eastAsia="zh-CN"/>
        </w:rPr>
        <w:t>建议批准的</w:t>
      </w:r>
      <w:r w:rsidRPr="008B1EB3">
        <w:rPr>
          <w:rFonts w:hint="eastAsia"/>
          <w:szCs w:val="22"/>
          <w:lang w:eastAsia="zh-CN"/>
        </w:rPr>
        <w:t>ITU-T</w:t>
      </w:r>
      <w:r w:rsidRPr="008B1EB3">
        <w:rPr>
          <w:rFonts w:hint="eastAsia"/>
          <w:szCs w:val="22"/>
          <w:lang w:eastAsia="zh-CN"/>
        </w:rPr>
        <w:t>新建议书草案的标题、摘要及其出处见</w:t>
      </w:r>
      <w:r w:rsidRPr="008B1EB3">
        <w:rPr>
          <w:rFonts w:hint="eastAsia"/>
          <w:b/>
          <w:bCs/>
          <w:szCs w:val="22"/>
          <w:lang w:eastAsia="zh-CN"/>
        </w:rPr>
        <w:t>附件</w:t>
      </w:r>
      <w:r w:rsidRPr="008B1EB3">
        <w:rPr>
          <w:rFonts w:hint="eastAsia"/>
          <w:b/>
          <w:bCs/>
          <w:szCs w:val="22"/>
          <w:lang w:eastAsia="zh-CN"/>
        </w:rPr>
        <w:t>1</w:t>
      </w:r>
      <w:r w:rsidRPr="008B1EB3">
        <w:rPr>
          <w:rFonts w:hint="eastAsia"/>
          <w:szCs w:val="22"/>
          <w:lang w:eastAsia="zh-CN"/>
        </w:rPr>
        <w:t>。</w:t>
      </w:r>
    </w:p>
    <w:p w:rsidR="005B7162" w:rsidRDefault="005B7162" w:rsidP="005B7162">
      <w:pPr>
        <w:rPr>
          <w:szCs w:val="22"/>
          <w:lang w:eastAsia="zh-CN"/>
        </w:rPr>
      </w:pPr>
      <w:r w:rsidRPr="008B1EB3">
        <w:rPr>
          <w:bCs/>
          <w:szCs w:val="22"/>
          <w:lang w:eastAsia="zh-CN"/>
        </w:rPr>
        <w:t>3</w:t>
      </w:r>
      <w:r w:rsidRPr="008B1EB3">
        <w:rPr>
          <w:szCs w:val="22"/>
          <w:lang w:eastAsia="zh-CN"/>
        </w:rPr>
        <w:tab/>
      </w:r>
      <w:r w:rsidRPr="008B1EB3">
        <w:rPr>
          <w:rFonts w:hint="eastAsia"/>
          <w:szCs w:val="22"/>
          <w:lang w:eastAsia="zh-CN"/>
        </w:rPr>
        <w:t>所有了解自己或他人持有的专利可能整体或部分地涉及建议批准的建议书草案内容的国际电联成员国、部门成员、部门准成员或学术机构，均需按照</w:t>
      </w:r>
      <w:r w:rsidRPr="008B1EB3">
        <w:rPr>
          <w:rFonts w:hint="eastAsia"/>
          <w:szCs w:val="22"/>
          <w:lang w:eastAsia="zh-CN"/>
        </w:rPr>
        <w:t>ITU-T/ITU-R/</w:t>
      </w:r>
      <w:r w:rsidRPr="008B1EB3">
        <w:rPr>
          <w:rFonts w:hint="eastAsia"/>
          <w:szCs w:val="22"/>
          <w:lang w:eastAsia="zh-CN"/>
        </w:rPr>
        <w:t>国际标准化组织（</w:t>
      </w:r>
      <w:r w:rsidRPr="008B1EB3">
        <w:rPr>
          <w:rFonts w:hint="eastAsia"/>
          <w:szCs w:val="22"/>
          <w:lang w:eastAsia="zh-CN"/>
        </w:rPr>
        <w:t>ISO</w:t>
      </w:r>
      <w:r w:rsidRPr="008B1EB3">
        <w:rPr>
          <w:rFonts w:hint="eastAsia"/>
          <w:szCs w:val="22"/>
          <w:lang w:eastAsia="zh-CN"/>
        </w:rPr>
        <w:t>）</w:t>
      </w:r>
      <w:r w:rsidRPr="008B1EB3">
        <w:rPr>
          <w:rFonts w:hint="eastAsia"/>
          <w:szCs w:val="22"/>
          <w:lang w:eastAsia="zh-CN"/>
        </w:rPr>
        <w:t>/</w:t>
      </w:r>
      <w:r w:rsidRPr="008B1EB3">
        <w:rPr>
          <w:rFonts w:hint="eastAsia"/>
          <w:szCs w:val="22"/>
          <w:lang w:eastAsia="zh-CN"/>
        </w:rPr>
        <w:t>国际电工委员会（</w:t>
      </w:r>
      <w:r w:rsidRPr="008B1EB3">
        <w:rPr>
          <w:rFonts w:hint="eastAsia"/>
          <w:szCs w:val="22"/>
          <w:lang w:eastAsia="zh-CN"/>
        </w:rPr>
        <w:t>IEC</w:t>
      </w:r>
      <w:r w:rsidRPr="008B1EB3">
        <w:rPr>
          <w:rFonts w:hint="eastAsia"/>
          <w:szCs w:val="22"/>
          <w:lang w:eastAsia="zh-CN"/>
        </w:rPr>
        <w:t>）的共同专利政策，向电信标准化局披露</w:t>
      </w:r>
      <w:r>
        <w:rPr>
          <w:rFonts w:hint="eastAsia"/>
          <w:szCs w:val="22"/>
          <w:lang w:eastAsia="zh-CN"/>
        </w:rPr>
        <w:t>此</w:t>
      </w:r>
      <w:r w:rsidRPr="008B1EB3">
        <w:rPr>
          <w:rFonts w:hint="eastAsia"/>
          <w:szCs w:val="22"/>
          <w:lang w:eastAsia="zh-CN"/>
        </w:rPr>
        <w:t>类信息。</w:t>
      </w:r>
    </w:p>
    <w:p w:rsidR="00EC44DB" w:rsidRPr="00EC44DB" w:rsidRDefault="00EC44DB" w:rsidP="00EC44DB">
      <w:pPr>
        <w:ind w:firstLineChars="200" w:firstLine="480"/>
        <w:rPr>
          <w:szCs w:val="22"/>
          <w:lang w:eastAsia="zh-CN"/>
        </w:rPr>
      </w:pPr>
      <w:r w:rsidRPr="008B1EB3">
        <w:rPr>
          <w:rFonts w:hint="eastAsia"/>
          <w:szCs w:val="22"/>
        </w:rPr>
        <w:t>可通过</w:t>
      </w:r>
      <w:r w:rsidRPr="008B1EB3">
        <w:rPr>
          <w:rFonts w:hint="eastAsia"/>
          <w:szCs w:val="22"/>
        </w:rPr>
        <w:t>ITU-T</w:t>
      </w:r>
      <w:r w:rsidRPr="008B1EB3">
        <w:rPr>
          <w:rFonts w:hint="eastAsia"/>
          <w:szCs w:val="22"/>
        </w:rPr>
        <w:t>网站（</w:t>
      </w:r>
      <w:hyperlink r:id="rId9" w:history="1">
        <w:r w:rsidRPr="00A07350">
          <w:rPr>
            <w:rStyle w:val="Hyperlink"/>
            <w:szCs w:val="22"/>
          </w:rPr>
          <w:t>www.itu.int/ipr/</w:t>
        </w:r>
      </w:hyperlink>
      <w:r w:rsidRPr="00A07350">
        <w:rPr>
          <w:rFonts w:hint="eastAsia"/>
          <w:szCs w:val="22"/>
        </w:rPr>
        <w:t>）在网上获取已公布的专利信息</w:t>
      </w:r>
      <w:r w:rsidRPr="00A07350">
        <w:rPr>
          <w:rFonts w:hint="eastAsia"/>
          <w:szCs w:val="22"/>
          <w:lang w:eastAsia="zh-CN"/>
        </w:rPr>
        <w:t>。</w:t>
      </w:r>
    </w:p>
    <w:p w:rsidR="005B7162" w:rsidRPr="008B1EB3" w:rsidRDefault="005B7162" w:rsidP="005B7162">
      <w:pPr>
        <w:ind w:right="-426"/>
        <w:rPr>
          <w:lang w:eastAsia="zh-CN"/>
        </w:rPr>
      </w:pPr>
      <w:r w:rsidRPr="008B1EB3">
        <w:rPr>
          <w:bCs/>
          <w:lang w:eastAsia="zh-CN"/>
        </w:rPr>
        <w:t>4</w:t>
      </w:r>
      <w:r w:rsidRPr="008B1EB3">
        <w:rPr>
          <w:lang w:eastAsia="zh-CN"/>
        </w:rPr>
        <w:tab/>
      </w:r>
      <w:r w:rsidRPr="008B1EB3">
        <w:rPr>
          <w:rFonts w:hint="eastAsia"/>
          <w:lang w:eastAsia="zh-CN"/>
        </w:rPr>
        <w:t>考虑到第</w:t>
      </w:r>
      <w:r w:rsidRPr="008B1EB3">
        <w:rPr>
          <w:rFonts w:hint="eastAsia"/>
          <w:lang w:eastAsia="zh-CN"/>
        </w:rPr>
        <w:t>1</w:t>
      </w:r>
      <w:r w:rsidRPr="008B1EB3">
        <w:rPr>
          <w:rFonts w:hint="eastAsia"/>
          <w:lang w:eastAsia="zh-CN"/>
        </w:rPr>
        <w:t>号决议第</w:t>
      </w:r>
      <w:r w:rsidRPr="008B1EB3">
        <w:rPr>
          <w:rFonts w:hint="eastAsia"/>
          <w:lang w:eastAsia="zh-CN"/>
        </w:rPr>
        <w:t>9</w:t>
      </w:r>
      <w:r w:rsidRPr="008B1EB3">
        <w:rPr>
          <w:rFonts w:hint="eastAsia"/>
          <w:lang w:eastAsia="zh-CN"/>
        </w:rPr>
        <w:t>节的规定，请您在</w:t>
      </w:r>
      <w:r w:rsidRPr="008B1EB3">
        <w:rPr>
          <w:rFonts w:hint="eastAsia"/>
          <w:b/>
          <w:bCs/>
          <w:lang w:eastAsia="zh-CN"/>
        </w:rPr>
        <w:t>201</w:t>
      </w:r>
      <w:r>
        <w:rPr>
          <w:rFonts w:hint="eastAsia"/>
          <w:b/>
          <w:bCs/>
          <w:lang w:eastAsia="zh-CN"/>
        </w:rPr>
        <w:t>6</w:t>
      </w:r>
      <w:r w:rsidRPr="008B1EB3">
        <w:rPr>
          <w:rFonts w:hint="eastAsia"/>
          <w:b/>
          <w:bCs/>
          <w:lang w:eastAsia="zh-CN"/>
        </w:rPr>
        <w:t>年</w:t>
      </w:r>
      <w:r>
        <w:rPr>
          <w:rFonts w:hint="eastAsia"/>
          <w:b/>
          <w:bCs/>
          <w:lang w:eastAsia="zh-CN"/>
        </w:rPr>
        <w:t>3</w:t>
      </w:r>
      <w:r w:rsidRPr="008B1EB3">
        <w:rPr>
          <w:rFonts w:hint="eastAsia"/>
          <w:b/>
          <w:bCs/>
          <w:lang w:eastAsia="zh-CN"/>
        </w:rPr>
        <w:t>月</w:t>
      </w:r>
      <w:r w:rsidRPr="008B1EB3">
        <w:rPr>
          <w:rFonts w:hint="eastAsia"/>
          <w:b/>
          <w:bCs/>
          <w:lang w:eastAsia="zh-CN"/>
        </w:rPr>
        <w:t>2</w:t>
      </w:r>
      <w:r w:rsidRPr="008B1EB3">
        <w:rPr>
          <w:rFonts w:hint="eastAsia"/>
          <w:b/>
          <w:bCs/>
          <w:lang w:eastAsia="zh-CN"/>
        </w:rPr>
        <w:t>日</w:t>
      </w:r>
      <w:r w:rsidRPr="008B1EB3">
        <w:rPr>
          <w:rFonts w:hint="eastAsia"/>
          <w:lang w:eastAsia="zh-CN"/>
        </w:rPr>
        <w:t>协调世界时</w:t>
      </w:r>
      <w:r w:rsidRPr="008B1EB3">
        <w:rPr>
          <w:rFonts w:hint="eastAsia"/>
          <w:lang w:eastAsia="zh-CN"/>
        </w:rPr>
        <w:t>24</w:t>
      </w:r>
      <w:r w:rsidRPr="008B1EB3">
        <w:rPr>
          <w:rFonts w:hint="eastAsia"/>
          <w:lang w:eastAsia="zh-CN"/>
        </w:rPr>
        <w:t>时之前告知我，贵主管部门是否同意授权第</w:t>
      </w:r>
      <w:r w:rsidRPr="008B1EB3">
        <w:rPr>
          <w:rFonts w:hint="eastAsia"/>
          <w:lang w:eastAsia="zh-CN"/>
        </w:rPr>
        <w:t>17</w:t>
      </w:r>
      <w:r w:rsidRPr="008B1EB3">
        <w:rPr>
          <w:rFonts w:hint="eastAsia"/>
          <w:lang w:eastAsia="zh-CN"/>
        </w:rPr>
        <w:t>研究组在该研究组会议上审议并批准上述新建议书草案。</w:t>
      </w:r>
    </w:p>
    <w:p w:rsidR="005B7162" w:rsidRPr="008B1EB3" w:rsidRDefault="005B7162" w:rsidP="005B7162">
      <w:pPr>
        <w:ind w:firstLineChars="200" w:firstLine="480"/>
        <w:rPr>
          <w:lang w:eastAsia="zh-CN"/>
        </w:rPr>
      </w:pPr>
      <w:r w:rsidRPr="008B1EB3">
        <w:rPr>
          <w:rFonts w:hint="eastAsia"/>
          <w:lang w:eastAsia="zh-CN"/>
        </w:rPr>
        <w:lastRenderedPageBreak/>
        <w:t>如有成员国认为不应进入审议批准程序，应阐明其反对原因并提出可能的修改意见，以推动对相关新建议书</w:t>
      </w:r>
      <w:r>
        <w:rPr>
          <w:rFonts w:hint="eastAsia"/>
          <w:lang w:eastAsia="zh-CN"/>
        </w:rPr>
        <w:t>或修订</w:t>
      </w:r>
      <w:r w:rsidRPr="008B1EB3">
        <w:rPr>
          <w:rFonts w:hint="eastAsia"/>
          <w:lang w:eastAsia="zh-CN"/>
        </w:rPr>
        <w:t>草案的进一步审议，以便批准。</w:t>
      </w:r>
    </w:p>
    <w:p w:rsidR="00EC44DB" w:rsidRDefault="005B7162" w:rsidP="00A577A3">
      <w:pPr>
        <w:keepNext/>
        <w:keepLines/>
        <w:rPr>
          <w:lang w:eastAsia="zh-CN"/>
        </w:rPr>
      </w:pPr>
      <w:r w:rsidRPr="008B1EB3">
        <w:rPr>
          <w:bCs/>
          <w:lang w:eastAsia="zh-CN"/>
        </w:rPr>
        <w:t>5</w:t>
      </w:r>
      <w:r w:rsidRPr="008B1EB3">
        <w:rPr>
          <w:lang w:eastAsia="zh-CN"/>
        </w:rPr>
        <w:tab/>
      </w:r>
      <w:r w:rsidRPr="008B1EB3">
        <w:rPr>
          <w:rFonts w:hint="eastAsia"/>
          <w:lang w:eastAsia="zh-CN"/>
        </w:rPr>
        <w:t>如果</w:t>
      </w:r>
      <w:r w:rsidRPr="008B1EB3">
        <w:rPr>
          <w:rFonts w:hint="eastAsia"/>
          <w:lang w:eastAsia="zh-CN"/>
        </w:rPr>
        <w:t>70</w:t>
      </w:r>
      <w:r>
        <w:rPr>
          <w:lang w:val="en-US" w:eastAsia="zh-CN"/>
        </w:rPr>
        <w:t>%</w:t>
      </w:r>
      <w:r w:rsidRPr="008B1EB3">
        <w:rPr>
          <w:rFonts w:hint="eastAsia"/>
          <w:lang w:eastAsia="zh-CN"/>
        </w:rPr>
        <w:t>以上的成员国在回复中支持在该研究组会议上审议批准上述新建议书草案</w:t>
      </w:r>
      <w:r>
        <w:rPr>
          <w:rFonts w:hint="eastAsia"/>
          <w:lang w:eastAsia="zh-CN"/>
        </w:rPr>
        <w:t>和修订案</w:t>
      </w:r>
      <w:r w:rsidRPr="008B1EB3">
        <w:rPr>
          <w:rFonts w:hint="eastAsia"/>
          <w:lang w:eastAsia="zh-CN"/>
        </w:rPr>
        <w:t>，则将于</w:t>
      </w:r>
      <w:r w:rsidRPr="008B1EB3">
        <w:rPr>
          <w:rFonts w:hint="eastAsia"/>
          <w:b/>
          <w:bCs/>
          <w:lang w:eastAsia="zh-CN"/>
        </w:rPr>
        <w:t>201</w:t>
      </w:r>
      <w:r>
        <w:rPr>
          <w:rFonts w:hint="eastAsia"/>
          <w:b/>
          <w:bCs/>
          <w:lang w:eastAsia="zh-CN"/>
        </w:rPr>
        <w:t>6</w:t>
      </w:r>
      <w:r w:rsidRPr="008B1EB3">
        <w:rPr>
          <w:rFonts w:hint="eastAsia"/>
          <w:b/>
          <w:bCs/>
          <w:lang w:eastAsia="zh-CN"/>
        </w:rPr>
        <w:t>年</w:t>
      </w:r>
      <w:r>
        <w:rPr>
          <w:rFonts w:hint="eastAsia"/>
          <w:b/>
          <w:bCs/>
          <w:lang w:eastAsia="zh-CN"/>
        </w:rPr>
        <w:t>3</w:t>
      </w:r>
      <w:r w:rsidRPr="008B1EB3">
        <w:rPr>
          <w:rFonts w:hint="eastAsia"/>
          <w:b/>
          <w:bCs/>
          <w:lang w:eastAsia="zh-CN"/>
        </w:rPr>
        <w:t>月</w:t>
      </w:r>
      <w:r>
        <w:rPr>
          <w:rFonts w:hint="eastAsia"/>
          <w:b/>
          <w:bCs/>
          <w:lang w:eastAsia="zh-CN"/>
        </w:rPr>
        <w:t>23</w:t>
      </w:r>
      <w:r w:rsidRPr="008B1EB3">
        <w:rPr>
          <w:rFonts w:hint="eastAsia"/>
          <w:b/>
          <w:bCs/>
          <w:lang w:eastAsia="zh-CN"/>
        </w:rPr>
        <w:t>日</w:t>
      </w:r>
      <w:r w:rsidRPr="008B1EB3">
        <w:rPr>
          <w:rFonts w:hint="eastAsia"/>
          <w:lang w:eastAsia="zh-CN"/>
        </w:rPr>
        <w:t>召开一次全体会议，实施该批准程序</w:t>
      </w:r>
      <w:r>
        <w:rPr>
          <w:rFonts w:hint="eastAsia"/>
          <w:lang w:eastAsia="zh-CN"/>
        </w:rPr>
        <w:t>。</w:t>
      </w:r>
    </w:p>
    <w:p w:rsidR="005B7162" w:rsidRPr="008B1EB3" w:rsidRDefault="005B7162" w:rsidP="005B7162">
      <w:pPr>
        <w:ind w:firstLineChars="200" w:firstLine="480"/>
        <w:rPr>
          <w:lang w:eastAsia="zh-CN"/>
        </w:rPr>
      </w:pPr>
      <w:r w:rsidRPr="008B1EB3">
        <w:rPr>
          <w:rFonts w:hint="eastAsia"/>
          <w:lang w:eastAsia="zh-CN"/>
        </w:rPr>
        <w:t>为此，我邀请贵主管部门派出一名代表参加会议。请</w:t>
      </w:r>
      <w:r w:rsidRPr="008B1EB3">
        <w:rPr>
          <w:rFonts w:hint="eastAsia"/>
          <w:b/>
          <w:bCs/>
          <w:lang w:eastAsia="zh-CN"/>
        </w:rPr>
        <w:t>国际电联成员国的主管部门</w:t>
      </w:r>
      <w:r w:rsidRPr="008B1EB3">
        <w:rPr>
          <w:rFonts w:hint="eastAsia"/>
          <w:lang w:eastAsia="zh-CN"/>
        </w:rPr>
        <w:t>提供其代表团团长的姓名。如果贵主管部门希望由一家经认可的运营机构、一个科学或工业组织或处理电信问题的另一实体作为代表参加会议，则应按照国际电联《公约》第</w:t>
      </w:r>
      <w:r w:rsidRPr="008B1EB3">
        <w:rPr>
          <w:rFonts w:hint="eastAsia"/>
          <w:lang w:eastAsia="zh-CN"/>
        </w:rPr>
        <w:t>19</w:t>
      </w:r>
      <w:r w:rsidRPr="008B1EB3">
        <w:rPr>
          <w:rFonts w:hint="eastAsia"/>
          <w:lang w:eastAsia="zh-CN"/>
        </w:rPr>
        <w:t>条第</w:t>
      </w:r>
      <w:r w:rsidRPr="008B1EB3">
        <w:rPr>
          <w:rFonts w:hint="eastAsia"/>
          <w:lang w:eastAsia="zh-CN"/>
        </w:rPr>
        <w:t>239</w:t>
      </w:r>
      <w:r w:rsidRPr="008B1EB3">
        <w:rPr>
          <w:rFonts w:hint="eastAsia"/>
          <w:lang w:eastAsia="zh-CN"/>
        </w:rPr>
        <w:t>款的规定，将有关情况适时向主任通报。</w:t>
      </w:r>
    </w:p>
    <w:p w:rsidR="005B7162" w:rsidRPr="008B1EB3" w:rsidRDefault="005B7162" w:rsidP="005B7162">
      <w:pPr>
        <w:rPr>
          <w:lang w:eastAsia="zh-CN"/>
        </w:rPr>
      </w:pPr>
      <w:r w:rsidRPr="008B1EB3">
        <w:rPr>
          <w:bCs/>
          <w:lang w:eastAsia="zh-CN"/>
        </w:rPr>
        <w:t>6</w:t>
      </w:r>
      <w:r w:rsidRPr="008B1EB3">
        <w:rPr>
          <w:lang w:eastAsia="zh-CN"/>
        </w:rPr>
        <w:tab/>
      </w:r>
      <w:r w:rsidRPr="008B1EB3">
        <w:rPr>
          <w:rFonts w:hint="eastAsia"/>
          <w:lang w:eastAsia="zh-CN"/>
        </w:rPr>
        <w:t>有关第</w:t>
      </w:r>
      <w:r w:rsidRPr="008B1EB3">
        <w:rPr>
          <w:rFonts w:hint="eastAsia"/>
          <w:lang w:eastAsia="zh-CN"/>
        </w:rPr>
        <w:t>17</w:t>
      </w:r>
      <w:r w:rsidRPr="008B1EB3">
        <w:rPr>
          <w:rFonts w:hint="eastAsia"/>
          <w:lang w:eastAsia="zh-CN"/>
        </w:rPr>
        <w:t>研究组会议的议程和所有相关信息将在第</w:t>
      </w:r>
      <w:r>
        <w:rPr>
          <w:rFonts w:hint="eastAsia"/>
          <w:lang w:eastAsia="zh-CN"/>
        </w:rPr>
        <w:t>7</w:t>
      </w:r>
      <w:r w:rsidRPr="008B1EB3">
        <w:rPr>
          <w:rFonts w:hint="eastAsia"/>
          <w:lang w:eastAsia="zh-CN"/>
        </w:rPr>
        <w:t>/17</w:t>
      </w:r>
      <w:r w:rsidRPr="008B1EB3">
        <w:rPr>
          <w:rFonts w:hint="eastAsia"/>
          <w:lang w:eastAsia="zh-CN"/>
        </w:rPr>
        <w:t>号集体函中提供。</w:t>
      </w:r>
    </w:p>
    <w:p w:rsidR="005B7162" w:rsidRPr="008B1EB3" w:rsidRDefault="005B7162" w:rsidP="005B7162">
      <w:pPr>
        <w:rPr>
          <w:lang w:eastAsia="zh-CN"/>
        </w:rPr>
      </w:pPr>
      <w:r w:rsidRPr="008B1EB3">
        <w:rPr>
          <w:bCs/>
          <w:lang w:eastAsia="zh-CN"/>
        </w:rPr>
        <w:t>7</w:t>
      </w:r>
      <w:r w:rsidRPr="008B1EB3">
        <w:rPr>
          <w:lang w:eastAsia="zh-CN"/>
        </w:rPr>
        <w:tab/>
      </w:r>
      <w:r w:rsidRPr="008B1EB3">
        <w:rPr>
          <w:rFonts w:hint="eastAsia"/>
          <w:lang w:eastAsia="zh-CN"/>
        </w:rPr>
        <w:t>会后，电信标准化局主任将以通函的形式通报就这份建议书做出的决定。此信息还将在《国际电联操作公报》中公布。</w:t>
      </w:r>
    </w:p>
    <w:p w:rsidR="0063445E" w:rsidRPr="004663B4" w:rsidRDefault="0063445E" w:rsidP="0063445E">
      <w:pPr>
        <w:spacing w:before="480"/>
        <w:rPr>
          <w:lang w:val="en-US" w:eastAsia="zh-CN"/>
        </w:rPr>
      </w:pPr>
      <w:r>
        <w:rPr>
          <w:rFonts w:hint="eastAsia"/>
          <w:lang w:eastAsia="zh-CN"/>
        </w:rPr>
        <w:t>顺致敬意</w:t>
      </w:r>
      <w:r>
        <w:rPr>
          <w:lang w:val="en-US" w:eastAsia="zh-CN"/>
        </w:rPr>
        <w:t>!</w:t>
      </w:r>
    </w:p>
    <w:p w:rsidR="0063445E" w:rsidRDefault="00284869" w:rsidP="001D6E70">
      <w:pPr>
        <w:spacing w:before="1701"/>
        <w:rPr>
          <w:rFonts w:ascii="SimSun" w:hAnsi="SimSun"/>
          <w:lang w:eastAsia="zh-CN"/>
        </w:rPr>
      </w:pPr>
      <w:r>
        <w:rPr>
          <w:rFonts w:hint="eastAsia"/>
          <w:lang w:eastAsia="zh-CN"/>
        </w:rPr>
        <w:t>电信标准化局主任</w:t>
      </w:r>
      <w:r>
        <w:rPr>
          <w:lang w:eastAsia="zh-CN"/>
        </w:rPr>
        <w:br/>
      </w:r>
      <w:r w:rsidR="00174E9D">
        <w:rPr>
          <w:rFonts w:ascii="SimSun" w:hAnsi="SimSun" w:hint="eastAsia"/>
          <w:lang w:eastAsia="zh-CN"/>
        </w:rPr>
        <w:t>李在摄</w:t>
      </w:r>
    </w:p>
    <w:p w:rsidR="005B7162" w:rsidRPr="005B7162" w:rsidRDefault="005B7162" w:rsidP="005B7162">
      <w:pPr>
        <w:rPr>
          <w:lang w:eastAsia="zh-CN"/>
        </w:rPr>
      </w:pPr>
    </w:p>
    <w:p w:rsidR="00027EE3" w:rsidRDefault="00027EE3" w:rsidP="0063445E">
      <w:pPr>
        <w:spacing w:before="720"/>
        <w:rPr>
          <w:lang w:eastAsia="zh-CN"/>
        </w:rPr>
      </w:pPr>
    </w:p>
    <w:p w:rsidR="005B7162" w:rsidRDefault="0063445E" w:rsidP="005B7162">
      <w:pPr>
        <w:spacing w:before="720"/>
        <w:rPr>
          <w:b/>
          <w:bCs/>
          <w:lang w:eastAsia="zh-CN"/>
        </w:rPr>
      </w:pPr>
      <w:r w:rsidRPr="00D43D86">
        <w:rPr>
          <w:rFonts w:hint="eastAsia"/>
          <w:b/>
          <w:bCs/>
          <w:lang w:eastAsia="zh-CN"/>
        </w:rPr>
        <w:t>附件：</w:t>
      </w:r>
      <w:r w:rsidR="00EC44DB">
        <w:rPr>
          <w:rFonts w:hint="eastAsia"/>
          <w:b/>
          <w:bCs/>
          <w:lang w:eastAsia="zh-CN"/>
        </w:rPr>
        <w:t>1</w:t>
      </w:r>
      <w:r w:rsidR="009424FC">
        <w:rPr>
          <w:rFonts w:hint="eastAsia"/>
          <w:b/>
          <w:bCs/>
          <w:lang w:eastAsia="zh-CN"/>
        </w:rPr>
        <w:t>件</w:t>
      </w:r>
    </w:p>
    <w:p w:rsidR="005B7162" w:rsidRDefault="005B7162">
      <w:pPr>
        <w:tabs>
          <w:tab w:val="clear" w:pos="794"/>
          <w:tab w:val="clear" w:pos="1191"/>
          <w:tab w:val="clear" w:pos="1588"/>
          <w:tab w:val="clear" w:pos="1985"/>
        </w:tabs>
        <w:overflowPunct/>
        <w:autoSpaceDE/>
        <w:autoSpaceDN/>
        <w:adjustRightInd/>
        <w:spacing w:before="0"/>
        <w:textAlignment w:val="auto"/>
        <w:rPr>
          <w:b/>
          <w:bCs/>
          <w:lang w:eastAsia="zh-CN"/>
        </w:rPr>
      </w:pPr>
      <w:r>
        <w:rPr>
          <w:b/>
          <w:bCs/>
          <w:lang w:eastAsia="zh-CN"/>
        </w:rPr>
        <w:br w:type="page"/>
      </w:r>
    </w:p>
    <w:p w:rsidR="005B7162" w:rsidRPr="00A577A3" w:rsidRDefault="005B7162" w:rsidP="00EC44DB">
      <w:pPr>
        <w:pStyle w:val="AnnexNo"/>
        <w:rPr>
          <w:rFonts w:ascii="Calibri" w:hAnsi="Calibri"/>
          <w:lang w:val="en-US" w:eastAsia="zh-CN"/>
        </w:rPr>
      </w:pPr>
      <w:r w:rsidRPr="00A577A3">
        <w:rPr>
          <w:rFonts w:ascii="Calibri" w:hAnsi="Calibri"/>
          <w:lang w:val="en-US" w:eastAsia="zh-CN"/>
        </w:rPr>
        <w:lastRenderedPageBreak/>
        <w:t>附件</w:t>
      </w:r>
      <w:r w:rsidRPr="00A577A3">
        <w:rPr>
          <w:rFonts w:ascii="Calibri" w:hAnsi="Calibri"/>
          <w:lang w:val="en-US" w:eastAsia="zh-CN"/>
        </w:rPr>
        <w:t>1</w:t>
      </w:r>
      <w:r w:rsidRPr="00A577A3">
        <w:rPr>
          <w:rFonts w:ascii="Calibri" w:hAnsi="Calibri"/>
          <w:lang w:val="en-US" w:eastAsia="zh-CN"/>
        </w:rPr>
        <w:br/>
      </w:r>
      <w:r w:rsidRPr="00A577A3">
        <w:rPr>
          <w:rFonts w:ascii="Calibri" w:hAnsi="Calibri"/>
          <w:lang w:val="en-US" w:eastAsia="zh-CN"/>
        </w:rPr>
        <w:t>（附于电信标准化局第</w:t>
      </w:r>
      <w:r w:rsidRPr="00A577A3">
        <w:rPr>
          <w:rFonts w:ascii="Calibri" w:hAnsi="Calibri"/>
          <w:lang w:val="en-US" w:eastAsia="zh-CN"/>
        </w:rPr>
        <w:t>174</w:t>
      </w:r>
      <w:r w:rsidRPr="00A577A3">
        <w:rPr>
          <w:rFonts w:ascii="Calibri" w:hAnsi="Calibri"/>
          <w:lang w:val="en-US" w:eastAsia="zh-CN"/>
        </w:rPr>
        <w:t>号通函）</w:t>
      </w:r>
    </w:p>
    <w:p w:rsidR="005B7162" w:rsidRPr="008B1EB3" w:rsidRDefault="005B7162" w:rsidP="00EC44DB">
      <w:pPr>
        <w:pStyle w:val="Annextitle"/>
        <w:rPr>
          <w:szCs w:val="24"/>
          <w:lang w:val="en-US" w:eastAsia="zh-CN"/>
        </w:rPr>
      </w:pPr>
      <w:r w:rsidRPr="008B1EB3">
        <w:rPr>
          <w:rFonts w:hint="eastAsia"/>
          <w:bCs/>
          <w:szCs w:val="24"/>
          <w:lang w:val="en-US" w:eastAsia="zh-CN"/>
        </w:rPr>
        <w:t>案文摘要和出处</w:t>
      </w:r>
    </w:p>
    <w:p w:rsidR="005B7162" w:rsidRPr="005D0E19" w:rsidRDefault="005B7162" w:rsidP="00CA3478">
      <w:pPr>
        <w:spacing w:before="240"/>
        <w:rPr>
          <w:b/>
          <w:bCs/>
          <w:sz w:val="28"/>
          <w:szCs w:val="28"/>
          <w:lang w:val="en-US" w:eastAsia="zh-CN"/>
        </w:rPr>
      </w:pPr>
      <w:r w:rsidRPr="00CA3478">
        <w:rPr>
          <w:rFonts w:hint="eastAsia"/>
          <w:b/>
          <w:bCs/>
          <w:lang w:val="en-US" w:eastAsia="zh-CN"/>
        </w:rPr>
        <w:t xml:space="preserve">ITU-T </w:t>
      </w:r>
      <w:r w:rsidR="00CA3478" w:rsidRPr="00CA3478">
        <w:rPr>
          <w:b/>
          <w:bCs/>
          <w:lang w:val="en-US" w:eastAsia="zh-CN"/>
        </w:rPr>
        <w:t>X.1247 (X.tfcmm)</w:t>
      </w:r>
      <w:r w:rsidRPr="00CA3478">
        <w:rPr>
          <w:rFonts w:hint="eastAsia"/>
          <w:b/>
          <w:bCs/>
          <w:lang w:val="en-US" w:eastAsia="zh-CN"/>
        </w:rPr>
        <w:t>新建议书草案</w:t>
      </w:r>
      <w:r w:rsidR="00EC44DB" w:rsidRPr="00CA3478">
        <w:rPr>
          <w:b/>
          <w:bCs/>
          <w:lang w:val="en-US" w:eastAsia="zh-CN"/>
        </w:rPr>
        <w:t xml:space="preserve"> – </w:t>
      </w:r>
      <w:r w:rsidRPr="00CA3478">
        <w:rPr>
          <w:rFonts w:hint="eastAsia"/>
          <w:b/>
          <w:bCs/>
          <w:lang w:val="en-US" w:eastAsia="zh-CN"/>
        </w:rPr>
        <w:t>打击手机垃圾短信的技术框架</w:t>
      </w:r>
      <w:r w:rsidR="00EC44DB" w:rsidRPr="00CA3478">
        <w:rPr>
          <w:b/>
          <w:bCs/>
          <w:lang w:val="en-US" w:eastAsia="zh-CN"/>
        </w:rPr>
        <w:br/>
      </w:r>
      <w:r w:rsidRPr="00CA3478">
        <w:rPr>
          <w:b/>
          <w:bCs/>
          <w:szCs w:val="24"/>
          <w:lang w:val="en-US" w:eastAsia="zh-CN"/>
        </w:rPr>
        <w:t>COM 17 – R 50</w:t>
      </w:r>
    </w:p>
    <w:p w:rsidR="005B7162" w:rsidRPr="005D0E19" w:rsidRDefault="005B7162" w:rsidP="005B7162">
      <w:pPr>
        <w:rPr>
          <w:b/>
          <w:lang w:val="en-US" w:eastAsia="zh-CN"/>
        </w:rPr>
      </w:pPr>
      <w:r>
        <w:rPr>
          <w:b/>
          <w:lang w:val="en-US" w:eastAsia="zh-CN"/>
        </w:rPr>
        <w:t>摘要</w:t>
      </w:r>
    </w:p>
    <w:p w:rsidR="005B7162" w:rsidRDefault="005B7162" w:rsidP="005B7162">
      <w:pPr>
        <w:spacing w:after="120"/>
        <w:ind w:firstLineChars="200" w:firstLine="480"/>
        <w:rPr>
          <w:szCs w:val="24"/>
          <w:lang w:eastAsia="ko-KR"/>
        </w:rPr>
      </w:pPr>
      <w:r>
        <w:rPr>
          <w:rFonts w:hint="eastAsia"/>
          <w:szCs w:val="24"/>
          <w:lang w:eastAsia="zh-CN"/>
        </w:rPr>
        <w:t>随着手机短信业务的快速发展，</w:t>
      </w:r>
      <w:r w:rsidRPr="00CE0D93">
        <w:rPr>
          <w:rFonts w:hint="eastAsia"/>
          <w:szCs w:val="24"/>
          <w:lang w:eastAsia="ko-KR"/>
        </w:rPr>
        <w:t>手机垃圾短信</w:t>
      </w:r>
      <w:r>
        <w:rPr>
          <w:rFonts w:hint="eastAsia"/>
          <w:szCs w:val="24"/>
          <w:lang w:eastAsia="zh-CN"/>
        </w:rPr>
        <w:t>正在迅速扩散。不幸的是，没有一种措施可作为打击手机垃圾短信的万</w:t>
      </w:r>
      <w:r w:rsidR="000D6324">
        <w:rPr>
          <w:rFonts w:hint="eastAsia"/>
          <w:szCs w:val="24"/>
          <w:lang w:eastAsia="zh-CN"/>
        </w:rPr>
        <w:t>能</w:t>
      </w:r>
      <w:r>
        <w:rPr>
          <w:rFonts w:hint="eastAsia"/>
          <w:szCs w:val="24"/>
          <w:lang w:eastAsia="zh-CN"/>
        </w:rPr>
        <w:t>良药。因此，有必要为打击手机垃圾短信建立一个实用框架。</w:t>
      </w:r>
      <w:r w:rsidRPr="0088798E">
        <w:rPr>
          <w:szCs w:val="24"/>
          <w:lang w:eastAsia="ko-KR"/>
        </w:rPr>
        <w:t>ITU-T X.1247</w:t>
      </w:r>
      <w:r>
        <w:rPr>
          <w:rFonts w:hint="eastAsia"/>
          <w:szCs w:val="24"/>
          <w:lang w:eastAsia="zh-CN"/>
        </w:rPr>
        <w:t>建议书概要介绍了打击手机垃圾短信的程序，为打击手机垃圾短信提出了一种技术框架。此框架具体介绍了有关功能和处理程序。此外，本建议书就单个打击垃圾短信领域内及各打击垃圾短信领域之间的共享机制提供了相关信息。</w:t>
      </w:r>
    </w:p>
    <w:p w:rsidR="005B7162" w:rsidRPr="00CE588B" w:rsidRDefault="005B7162" w:rsidP="005B7162">
      <w:pPr>
        <w:spacing w:before="240"/>
        <w:rPr>
          <w:b/>
          <w:bCs/>
          <w:lang w:val="en-US" w:eastAsia="zh-CN"/>
        </w:rPr>
      </w:pPr>
      <w:r w:rsidRPr="00CE588B">
        <w:rPr>
          <w:b/>
          <w:bCs/>
          <w:lang w:val="en-US" w:eastAsia="zh-CN"/>
        </w:rPr>
        <w:t>ITU-T X.1256 (X.authi)</w:t>
      </w:r>
      <w:r w:rsidRPr="00CE0D93">
        <w:rPr>
          <w:rFonts w:hint="eastAsia"/>
          <w:b/>
          <w:bCs/>
          <w:lang w:val="en-US" w:eastAsia="zh-CN"/>
        </w:rPr>
        <w:t>新建议书草案</w:t>
      </w:r>
      <w:r w:rsidR="00EC44DB">
        <w:rPr>
          <w:rFonts w:hint="eastAsia"/>
          <w:b/>
          <w:bCs/>
          <w:lang w:val="en-US" w:eastAsia="zh-CN"/>
        </w:rPr>
        <w:t xml:space="preserve"> </w:t>
      </w:r>
      <w:r w:rsidR="00EC44DB" w:rsidRPr="00EC44DB">
        <w:rPr>
          <w:b/>
          <w:bCs/>
          <w:lang w:val="en-US" w:eastAsia="zh-CN"/>
        </w:rPr>
        <w:t>–</w:t>
      </w:r>
      <w:r w:rsidR="00EC44DB">
        <w:rPr>
          <w:b/>
          <w:bCs/>
          <w:lang w:val="en-US" w:eastAsia="zh-CN"/>
        </w:rPr>
        <w:t xml:space="preserve"> </w:t>
      </w:r>
      <w:r>
        <w:rPr>
          <w:rFonts w:hint="eastAsia"/>
          <w:b/>
          <w:bCs/>
          <w:lang w:val="en-US" w:eastAsia="zh-CN"/>
        </w:rPr>
        <w:t>与业务应用共享网络鉴权结果的导则与框架</w:t>
      </w:r>
      <w:r w:rsidRPr="00CE588B">
        <w:rPr>
          <w:b/>
          <w:bCs/>
          <w:lang w:val="en-US" w:eastAsia="zh-CN"/>
        </w:rPr>
        <w:br/>
      </w:r>
      <w:r w:rsidRPr="00CE588B">
        <w:rPr>
          <w:b/>
          <w:bCs/>
          <w:szCs w:val="24"/>
          <w:lang w:val="en-US" w:eastAsia="zh-CN"/>
        </w:rPr>
        <w:t>COM 17 – R 54</w:t>
      </w:r>
    </w:p>
    <w:p w:rsidR="005B7162" w:rsidRPr="00CE588B" w:rsidRDefault="005B7162" w:rsidP="005B7162">
      <w:pPr>
        <w:rPr>
          <w:b/>
          <w:lang w:val="en-US" w:eastAsia="zh-CN"/>
        </w:rPr>
      </w:pPr>
      <w:r>
        <w:rPr>
          <w:b/>
          <w:lang w:val="en-US" w:eastAsia="zh-CN"/>
        </w:rPr>
        <w:t>摘要</w:t>
      </w:r>
    </w:p>
    <w:p w:rsidR="005B7162" w:rsidRPr="00CE588B" w:rsidRDefault="005B7162" w:rsidP="005B7162">
      <w:pPr>
        <w:ind w:firstLineChars="200" w:firstLine="480"/>
        <w:rPr>
          <w:lang w:eastAsia="zh-CN"/>
        </w:rPr>
      </w:pPr>
      <w:r>
        <w:rPr>
          <w:rFonts w:hint="eastAsia"/>
          <w:lang w:eastAsia="zh-CN"/>
        </w:rPr>
        <w:t>互联网移动设备和应用的爆发增长，使网络和业务环境变得愈发复杂。因此，有迫切必要通过简化用户鉴权机制改善用户的体验和服务质量。</w:t>
      </w:r>
    </w:p>
    <w:p w:rsidR="005B7162" w:rsidRPr="00CE588B" w:rsidRDefault="005B7162" w:rsidP="005B7162">
      <w:pPr>
        <w:ind w:firstLineChars="200" w:firstLine="480"/>
        <w:rPr>
          <w:lang w:eastAsia="zh-CN"/>
        </w:rPr>
      </w:pPr>
      <w:r>
        <w:rPr>
          <w:rFonts w:hint="eastAsia"/>
          <w:lang w:eastAsia="zh-CN"/>
        </w:rPr>
        <w:t>包括</w:t>
      </w:r>
      <w:r>
        <w:rPr>
          <w:lang w:eastAsia="zh-CN"/>
        </w:rPr>
        <w:t>ITU-T</w:t>
      </w:r>
      <w:r>
        <w:rPr>
          <w:rFonts w:hint="eastAsia"/>
          <w:lang w:eastAsia="zh-CN"/>
        </w:rPr>
        <w:t>在内的许多标准化组织就统一鉴权机制（即单一登录）开展了大量研究工作。但是，当前所有工作基本均聚焦于业务应用间的统一鉴权，而并未考虑与网络鉴权的关系。</w:t>
      </w:r>
    </w:p>
    <w:p w:rsidR="005B7162" w:rsidRPr="00CE588B" w:rsidRDefault="005B7162" w:rsidP="005B7162">
      <w:pPr>
        <w:ind w:firstLineChars="200" w:firstLine="480"/>
        <w:rPr>
          <w:lang w:eastAsia="zh-CN"/>
        </w:rPr>
      </w:pPr>
      <w:r>
        <w:rPr>
          <w:rFonts w:hint="eastAsia"/>
          <w:lang w:eastAsia="zh-CN"/>
        </w:rPr>
        <w:t>从网络运营商的角度看，用户在接入网络时会使用某种形式的网络鉴权，但当其再次登录获取服务时，并未重复使用初次网络鉴权。如果采用服务与网络鉴权共享机制的成果，则服务应用可利用网络鉴权结果确定用户。此机制允许网络仅对用户进行一次鉴权，便直接使用相关服务。</w:t>
      </w:r>
    </w:p>
    <w:p w:rsidR="005B7162" w:rsidRPr="00CE588B" w:rsidRDefault="005B7162" w:rsidP="005B7162">
      <w:pPr>
        <w:ind w:firstLineChars="200" w:firstLine="480"/>
        <w:rPr>
          <w:lang w:eastAsia="zh-CN"/>
        </w:rPr>
      </w:pPr>
      <w:r w:rsidRPr="00CE588B">
        <w:rPr>
          <w:lang w:eastAsia="zh-CN"/>
        </w:rPr>
        <w:t>ITU-T X.1256</w:t>
      </w:r>
      <w:r>
        <w:rPr>
          <w:rFonts w:hint="eastAsia"/>
          <w:lang w:eastAsia="zh-CN"/>
        </w:rPr>
        <w:t>建议书为网络运营商和服务提供商制定了共享网络鉴权结果的导则，为在业已建立的信任关系内跨业务分享最低数量的属性提供了框架。</w:t>
      </w:r>
    </w:p>
    <w:p w:rsidR="005B7162" w:rsidRPr="004B4EF5" w:rsidRDefault="005B7162" w:rsidP="00EC44DB">
      <w:pPr>
        <w:spacing w:before="240"/>
        <w:rPr>
          <w:b/>
          <w:bCs/>
          <w:lang w:val="en-US" w:eastAsia="zh-CN"/>
        </w:rPr>
      </w:pPr>
      <w:r w:rsidRPr="004B4EF5">
        <w:rPr>
          <w:b/>
          <w:bCs/>
          <w:lang w:val="en-US" w:eastAsia="zh-CN"/>
        </w:rPr>
        <w:t>ITU-T X.1257 (X.iamt)</w:t>
      </w:r>
      <w:r w:rsidRPr="00CE0D93">
        <w:rPr>
          <w:rFonts w:hint="eastAsia"/>
          <w:b/>
          <w:bCs/>
          <w:lang w:val="en-US" w:eastAsia="zh-CN"/>
        </w:rPr>
        <w:t>新建议书草案</w:t>
      </w:r>
      <w:r w:rsidR="00EC44DB">
        <w:rPr>
          <w:b/>
          <w:bCs/>
          <w:lang w:val="en-US" w:eastAsia="zh-CN"/>
        </w:rPr>
        <w:t xml:space="preserve"> </w:t>
      </w:r>
      <w:r w:rsidR="00EC44DB" w:rsidRPr="00EC44DB">
        <w:rPr>
          <w:b/>
          <w:bCs/>
          <w:lang w:val="en-US" w:eastAsia="zh-CN"/>
        </w:rPr>
        <w:t>–</w:t>
      </w:r>
      <w:r w:rsidR="00EC44DB">
        <w:rPr>
          <w:b/>
          <w:bCs/>
          <w:lang w:val="en-US" w:eastAsia="zh-CN"/>
        </w:rPr>
        <w:t xml:space="preserve"> </w:t>
      </w:r>
      <w:r>
        <w:rPr>
          <w:rFonts w:hint="eastAsia"/>
          <w:b/>
          <w:bCs/>
          <w:lang w:val="en-US" w:eastAsia="zh-CN"/>
        </w:rPr>
        <w:t>身份和接入管理的分类</w:t>
      </w:r>
      <w:r>
        <w:rPr>
          <w:b/>
          <w:bCs/>
          <w:highlight w:val="yellow"/>
          <w:lang w:val="en-US" w:eastAsia="zh-CN"/>
        </w:rPr>
        <w:br/>
      </w:r>
      <w:r w:rsidRPr="004B4EF5">
        <w:rPr>
          <w:b/>
          <w:bCs/>
          <w:lang w:val="en-US" w:eastAsia="zh-CN"/>
        </w:rPr>
        <w:t>COM 17 – R 55</w:t>
      </w:r>
    </w:p>
    <w:p w:rsidR="005B7162" w:rsidRPr="004B4EF5" w:rsidRDefault="005B7162" w:rsidP="005B7162">
      <w:pPr>
        <w:rPr>
          <w:b/>
          <w:lang w:val="en-US" w:eastAsia="zh-CN"/>
        </w:rPr>
      </w:pPr>
      <w:r>
        <w:rPr>
          <w:b/>
          <w:lang w:val="en-US" w:eastAsia="zh-CN"/>
        </w:rPr>
        <w:t>摘要</w:t>
      </w:r>
    </w:p>
    <w:p w:rsidR="005B7162" w:rsidRDefault="005B7162" w:rsidP="005B7162">
      <w:pPr>
        <w:ind w:firstLineChars="200" w:firstLine="480"/>
        <w:rPr>
          <w:lang w:eastAsia="zh-CN"/>
        </w:rPr>
      </w:pPr>
      <w:r w:rsidRPr="002D35C7">
        <w:rPr>
          <w:lang w:eastAsia="zh-CN"/>
        </w:rPr>
        <w:t>ITU-T X.1257</w:t>
      </w:r>
      <w:r>
        <w:rPr>
          <w:rFonts w:hint="eastAsia"/>
          <w:lang w:eastAsia="zh-CN"/>
        </w:rPr>
        <w:t>建议书制定的规范旨在为</w:t>
      </w:r>
      <w:r>
        <w:rPr>
          <w:rFonts w:hint="eastAsia"/>
          <w:lang w:eastAsia="zh-CN"/>
        </w:rPr>
        <w:t>IAM</w:t>
      </w:r>
      <w:r>
        <w:rPr>
          <w:rFonts w:hint="eastAsia"/>
          <w:lang w:eastAsia="zh-CN"/>
        </w:rPr>
        <w:t>的职能与许可赋予必要的商业含义，且在</w:t>
      </w:r>
      <w:r>
        <w:rPr>
          <w:rFonts w:hint="eastAsia"/>
          <w:lang w:eastAsia="zh-CN"/>
        </w:rPr>
        <w:t>IAM</w:t>
      </w:r>
      <w:r>
        <w:rPr>
          <w:rFonts w:hint="eastAsia"/>
          <w:lang w:eastAsia="zh-CN"/>
        </w:rPr>
        <w:t>程序整个生命周期中此商业含义具有可追踪性和可引用性，从而能够将许可高效地</w:t>
      </w:r>
      <w:r>
        <w:rPr>
          <w:rFonts w:hint="eastAsia"/>
          <w:lang w:eastAsia="zh-CN"/>
        </w:rPr>
        <w:lastRenderedPageBreak/>
        <w:t>指派给用户，且职责分离（</w:t>
      </w:r>
      <w:r w:rsidRPr="002D35C7">
        <w:rPr>
          <w:lang w:eastAsia="zh-CN"/>
        </w:rPr>
        <w:t>SoD</w:t>
      </w:r>
      <w:r>
        <w:rPr>
          <w:rFonts w:hint="eastAsia"/>
          <w:lang w:eastAsia="zh-CN"/>
        </w:rPr>
        <w:t>）控制在不同应用间能得以成功应用，接入复审和协商进程能够高效实施。</w:t>
      </w:r>
    </w:p>
    <w:p w:rsidR="00EC44DB" w:rsidRDefault="00EC44DB">
      <w:pPr>
        <w:tabs>
          <w:tab w:val="clear" w:pos="794"/>
          <w:tab w:val="clear" w:pos="1191"/>
          <w:tab w:val="clear" w:pos="1588"/>
          <w:tab w:val="clear" w:pos="1985"/>
        </w:tabs>
        <w:overflowPunct/>
        <w:autoSpaceDE/>
        <w:autoSpaceDN/>
        <w:adjustRightInd/>
        <w:spacing w:before="0"/>
        <w:textAlignment w:val="auto"/>
        <w:rPr>
          <w:b/>
          <w:bCs/>
          <w:lang w:val="en-US" w:eastAsia="zh-CN"/>
        </w:rPr>
      </w:pPr>
      <w:r>
        <w:rPr>
          <w:b/>
          <w:bCs/>
          <w:lang w:val="en-US" w:eastAsia="zh-CN"/>
        </w:rPr>
        <w:br w:type="page"/>
      </w:r>
    </w:p>
    <w:p w:rsidR="005B7162" w:rsidRPr="004B4EF5" w:rsidRDefault="005B7162" w:rsidP="00EC44DB">
      <w:pPr>
        <w:spacing w:before="240"/>
        <w:rPr>
          <w:b/>
          <w:bCs/>
          <w:lang w:val="en-US" w:eastAsia="zh-CN"/>
        </w:rPr>
      </w:pPr>
      <w:r w:rsidRPr="004B4EF5">
        <w:rPr>
          <w:b/>
          <w:bCs/>
          <w:lang w:val="en-US" w:eastAsia="zh-CN"/>
        </w:rPr>
        <w:lastRenderedPageBreak/>
        <w:t xml:space="preserve">ITU-T </w:t>
      </w:r>
      <w:r w:rsidRPr="00DB205C">
        <w:rPr>
          <w:b/>
          <w:bCs/>
          <w:lang w:val="en-US" w:eastAsia="zh-CN"/>
        </w:rPr>
        <w:t>X.1521 (X.cvss)</w:t>
      </w:r>
      <w:r>
        <w:rPr>
          <w:rFonts w:hint="eastAsia"/>
          <w:b/>
          <w:bCs/>
          <w:lang w:val="en-US" w:eastAsia="zh-CN"/>
        </w:rPr>
        <w:t>建议书修订草案</w:t>
      </w:r>
      <w:r w:rsidR="00EC44DB">
        <w:rPr>
          <w:b/>
          <w:bCs/>
          <w:lang w:val="en-US" w:eastAsia="zh-CN"/>
        </w:rPr>
        <w:t xml:space="preserve"> </w:t>
      </w:r>
      <w:r w:rsidR="00EC44DB" w:rsidRPr="00EC44DB">
        <w:rPr>
          <w:b/>
          <w:bCs/>
          <w:lang w:val="en-US" w:eastAsia="zh-CN"/>
        </w:rPr>
        <w:t>–</w:t>
      </w:r>
      <w:r w:rsidR="00EC44DB">
        <w:rPr>
          <w:b/>
          <w:bCs/>
          <w:lang w:val="en-US" w:eastAsia="zh-CN"/>
        </w:rPr>
        <w:t xml:space="preserve"> </w:t>
      </w:r>
      <w:r w:rsidRPr="003B781D">
        <w:rPr>
          <w:rFonts w:hint="eastAsia"/>
          <w:b/>
          <w:bCs/>
          <w:lang w:val="en-US" w:eastAsia="zh-CN"/>
        </w:rPr>
        <w:t>常见漏洞评分系统</w:t>
      </w:r>
      <w:r w:rsidRPr="00DB205C">
        <w:rPr>
          <w:b/>
          <w:bCs/>
          <w:lang w:val="en-US" w:eastAsia="zh-CN"/>
        </w:rPr>
        <w:t>3.0</w:t>
      </w:r>
      <w:r>
        <w:rPr>
          <w:b/>
          <w:bCs/>
          <w:highlight w:val="yellow"/>
          <w:lang w:val="en-US" w:eastAsia="zh-CN"/>
        </w:rPr>
        <w:br/>
      </w:r>
      <w:r>
        <w:rPr>
          <w:b/>
          <w:bCs/>
          <w:lang w:val="en-US" w:eastAsia="zh-CN"/>
        </w:rPr>
        <w:t>COM 17 – R 49</w:t>
      </w:r>
    </w:p>
    <w:p w:rsidR="005B7162" w:rsidRPr="004B4EF5" w:rsidRDefault="005B7162" w:rsidP="005B7162">
      <w:pPr>
        <w:rPr>
          <w:b/>
          <w:lang w:val="en-US" w:eastAsia="zh-CN"/>
        </w:rPr>
      </w:pPr>
      <w:r>
        <w:rPr>
          <w:b/>
          <w:lang w:val="en-US" w:eastAsia="zh-CN"/>
        </w:rPr>
        <w:t>摘要</w:t>
      </w:r>
    </w:p>
    <w:p w:rsidR="005B7162" w:rsidRDefault="005B7162" w:rsidP="005B7162">
      <w:pPr>
        <w:ind w:firstLineChars="200" w:firstLine="480"/>
        <w:rPr>
          <w:lang w:eastAsia="zh-CN"/>
        </w:rPr>
      </w:pPr>
      <w:r w:rsidRPr="00E45179">
        <w:rPr>
          <w:rFonts w:hint="eastAsia"/>
          <w:lang w:eastAsia="zh-CN"/>
        </w:rPr>
        <w:t>有关</w:t>
      </w:r>
      <w:r>
        <w:rPr>
          <w:rFonts w:hint="eastAsia"/>
          <w:lang w:eastAsia="zh-CN"/>
        </w:rPr>
        <w:t>常见漏洞</w:t>
      </w:r>
      <w:r w:rsidRPr="00E45179">
        <w:rPr>
          <w:rFonts w:hint="eastAsia"/>
          <w:lang w:eastAsia="zh-CN"/>
        </w:rPr>
        <w:t>评分系统的</w:t>
      </w:r>
      <w:r w:rsidRPr="00E45179">
        <w:rPr>
          <w:rFonts w:hint="eastAsia"/>
          <w:lang w:eastAsia="zh-CN"/>
        </w:rPr>
        <w:t>ITU-T X.152</w:t>
      </w:r>
      <w:r>
        <w:rPr>
          <w:rFonts w:hint="eastAsia"/>
          <w:lang w:eastAsia="zh-CN"/>
        </w:rPr>
        <w:t>1</w:t>
      </w:r>
      <w:r>
        <w:rPr>
          <w:rFonts w:hint="eastAsia"/>
          <w:lang w:eastAsia="zh-CN"/>
        </w:rPr>
        <w:t>建议书提供了一个开放框架，针对通信网络、最终用户设备或其它具备运行软件能力的</w:t>
      </w:r>
      <w:r>
        <w:rPr>
          <w:rFonts w:hint="eastAsia"/>
          <w:lang w:eastAsia="zh-CN"/>
        </w:rPr>
        <w:t>ICT</w:t>
      </w:r>
      <w:r>
        <w:rPr>
          <w:rFonts w:hint="eastAsia"/>
          <w:lang w:eastAsia="zh-CN"/>
        </w:rPr>
        <w:t>设备的商用或开放源软件，</w:t>
      </w:r>
      <w:r>
        <w:rPr>
          <w:lang w:eastAsia="zh-CN"/>
        </w:rPr>
        <w:t>可用于沟通</w:t>
      </w:r>
      <w:r w:rsidRPr="00E45179">
        <w:rPr>
          <w:rFonts w:hint="eastAsia"/>
          <w:lang w:eastAsia="zh-CN"/>
        </w:rPr>
        <w:t>信息通信技术（</w:t>
      </w:r>
      <w:r w:rsidRPr="00E45179">
        <w:rPr>
          <w:rFonts w:hint="eastAsia"/>
          <w:lang w:eastAsia="zh-CN"/>
        </w:rPr>
        <w:t>ICT</w:t>
      </w:r>
      <w:r w:rsidRPr="00E45179">
        <w:rPr>
          <w:rFonts w:hint="eastAsia"/>
          <w:lang w:eastAsia="zh-CN"/>
        </w:rPr>
        <w:t>）</w:t>
      </w:r>
      <w:r>
        <w:rPr>
          <w:rFonts w:hint="eastAsia"/>
          <w:lang w:eastAsia="zh-CN"/>
        </w:rPr>
        <w:t>漏洞</w:t>
      </w:r>
      <w:r w:rsidRPr="00E45179">
        <w:rPr>
          <w:rFonts w:hint="eastAsia"/>
          <w:lang w:eastAsia="zh-CN"/>
        </w:rPr>
        <w:t>的特征和影响。本建议书旨在使</w:t>
      </w:r>
      <w:r w:rsidRPr="00E45179">
        <w:rPr>
          <w:rFonts w:hint="eastAsia"/>
          <w:lang w:eastAsia="zh-CN"/>
        </w:rPr>
        <w:t>ICT</w:t>
      </w:r>
      <w:r w:rsidRPr="00E45179">
        <w:rPr>
          <w:rFonts w:hint="eastAsia"/>
          <w:lang w:eastAsia="zh-CN"/>
        </w:rPr>
        <w:t>管理者、</w:t>
      </w:r>
      <w:r>
        <w:rPr>
          <w:rFonts w:hint="eastAsia"/>
          <w:lang w:eastAsia="zh-CN"/>
        </w:rPr>
        <w:t>漏洞公报提供者</w:t>
      </w:r>
      <w:r w:rsidRPr="00E45179">
        <w:rPr>
          <w:rFonts w:hint="eastAsia"/>
          <w:lang w:eastAsia="zh-CN"/>
        </w:rPr>
        <w:t>、安全软件商、</w:t>
      </w:r>
      <w:r>
        <w:rPr>
          <w:rFonts w:hint="eastAsia"/>
          <w:lang w:eastAsia="zh-CN"/>
        </w:rPr>
        <w:t>应用提供</w:t>
      </w:r>
      <w:r w:rsidRPr="00E45179">
        <w:rPr>
          <w:rFonts w:hint="eastAsia"/>
          <w:lang w:eastAsia="zh-CN"/>
        </w:rPr>
        <w:t>商和研究人员以共同的语言讨论</w:t>
      </w:r>
      <w:r w:rsidRPr="00E45179">
        <w:rPr>
          <w:rFonts w:hint="eastAsia"/>
          <w:lang w:eastAsia="zh-CN"/>
        </w:rPr>
        <w:t>ICT</w:t>
      </w:r>
      <w:r>
        <w:rPr>
          <w:rFonts w:hint="eastAsia"/>
          <w:lang w:eastAsia="zh-CN"/>
        </w:rPr>
        <w:t>漏洞</w:t>
      </w:r>
      <w:r w:rsidRPr="00E45179">
        <w:rPr>
          <w:rFonts w:hint="eastAsia"/>
          <w:lang w:eastAsia="zh-CN"/>
        </w:rPr>
        <w:t>评分</w:t>
      </w:r>
      <w:r>
        <w:rPr>
          <w:rFonts w:hint="eastAsia"/>
          <w:lang w:eastAsia="zh-CN"/>
        </w:rPr>
        <w:t>。</w:t>
      </w:r>
    </w:p>
    <w:p w:rsidR="005B7162" w:rsidRPr="004B4EF5" w:rsidRDefault="005B7162" w:rsidP="00EC44DB">
      <w:pPr>
        <w:spacing w:before="240"/>
        <w:rPr>
          <w:b/>
          <w:bCs/>
          <w:lang w:val="en-US" w:eastAsia="zh-CN"/>
        </w:rPr>
      </w:pPr>
      <w:r w:rsidRPr="004B4EF5">
        <w:rPr>
          <w:b/>
          <w:bCs/>
          <w:lang w:val="en-US" w:eastAsia="zh-CN"/>
        </w:rPr>
        <w:t xml:space="preserve">ITU-T </w:t>
      </w:r>
      <w:r w:rsidRPr="00D50AEC">
        <w:rPr>
          <w:b/>
          <w:bCs/>
          <w:lang w:val="en-US" w:eastAsia="zh-CN"/>
        </w:rPr>
        <w:t>X.1602 (X.sfcse)</w:t>
      </w:r>
      <w:r w:rsidRPr="00CE0D93">
        <w:rPr>
          <w:rFonts w:hint="eastAsia"/>
          <w:b/>
          <w:bCs/>
          <w:lang w:val="en-US" w:eastAsia="zh-CN"/>
        </w:rPr>
        <w:t>新建议书草案</w:t>
      </w:r>
      <w:r w:rsidR="00EC44DB">
        <w:rPr>
          <w:b/>
          <w:bCs/>
          <w:lang w:val="en-US" w:eastAsia="zh-CN"/>
        </w:rPr>
        <w:t xml:space="preserve"> </w:t>
      </w:r>
      <w:r w:rsidR="00EC44DB" w:rsidRPr="00EC44DB">
        <w:rPr>
          <w:b/>
          <w:bCs/>
          <w:lang w:val="en-US" w:eastAsia="zh-CN"/>
        </w:rPr>
        <w:t>–</w:t>
      </w:r>
      <w:r w:rsidR="00EC44DB">
        <w:rPr>
          <w:b/>
          <w:bCs/>
          <w:lang w:val="en-US" w:eastAsia="zh-CN"/>
        </w:rPr>
        <w:t xml:space="preserve"> </w:t>
      </w:r>
      <w:r>
        <w:rPr>
          <w:rFonts w:hint="eastAsia"/>
          <w:b/>
          <w:bCs/>
          <w:lang w:val="en-US" w:eastAsia="zh-CN"/>
        </w:rPr>
        <w:t>软件即服务应用环境的安全要求</w:t>
      </w:r>
      <w:r>
        <w:rPr>
          <w:b/>
          <w:bCs/>
          <w:highlight w:val="yellow"/>
          <w:lang w:val="en-US" w:eastAsia="zh-CN"/>
        </w:rPr>
        <w:br/>
      </w:r>
      <w:r>
        <w:rPr>
          <w:b/>
          <w:bCs/>
          <w:lang w:val="en-US" w:eastAsia="zh-CN"/>
        </w:rPr>
        <w:t>COM 17 – R 52</w:t>
      </w:r>
    </w:p>
    <w:p w:rsidR="005B7162" w:rsidRPr="004B4EF5" w:rsidRDefault="005B7162" w:rsidP="005B7162">
      <w:pPr>
        <w:rPr>
          <w:b/>
          <w:lang w:val="en-US" w:eastAsia="zh-CN"/>
        </w:rPr>
      </w:pPr>
      <w:r>
        <w:rPr>
          <w:b/>
          <w:lang w:val="en-US" w:eastAsia="zh-CN"/>
        </w:rPr>
        <w:t>摘要</w:t>
      </w:r>
    </w:p>
    <w:p w:rsidR="005B7162" w:rsidRDefault="005B7162" w:rsidP="005B7162">
      <w:pPr>
        <w:ind w:firstLineChars="200" w:firstLine="480"/>
        <w:rPr>
          <w:lang w:eastAsia="zh-CN"/>
        </w:rPr>
      </w:pPr>
      <w:r w:rsidRPr="00D50AEC">
        <w:rPr>
          <w:lang w:eastAsia="zh-CN"/>
        </w:rPr>
        <w:t>ITU-T X.1602</w:t>
      </w:r>
      <w:r>
        <w:rPr>
          <w:rFonts w:hint="eastAsia"/>
          <w:lang w:eastAsia="zh-CN"/>
        </w:rPr>
        <w:t>建议书分析了软件即服务（</w:t>
      </w:r>
      <w:r>
        <w:rPr>
          <w:rFonts w:hint="eastAsia"/>
          <w:lang w:eastAsia="zh-CN"/>
        </w:rPr>
        <w:t>S</w:t>
      </w:r>
      <w:r w:rsidRPr="00D50AEC">
        <w:rPr>
          <w:lang w:eastAsia="zh-CN"/>
        </w:rPr>
        <w:t>aaS</w:t>
      </w:r>
      <w:r>
        <w:rPr>
          <w:rFonts w:hint="eastAsia"/>
          <w:lang w:eastAsia="zh-CN"/>
        </w:rPr>
        <w:t>）应用的成熟度，并为</w:t>
      </w:r>
      <w:r w:rsidRPr="00D50AEC">
        <w:rPr>
          <w:lang w:eastAsia="zh-CN"/>
        </w:rPr>
        <w:t>SaaS</w:t>
      </w:r>
      <w:r>
        <w:rPr>
          <w:rFonts w:hint="eastAsia"/>
          <w:lang w:eastAsia="zh-CN"/>
        </w:rPr>
        <w:t>应用能有一个连贯安全的业务执行环境提出了安全要求。这些要求建议源自云服务提供商（</w:t>
      </w:r>
      <w:r w:rsidRPr="00D50AEC">
        <w:rPr>
          <w:lang w:eastAsia="zh-CN"/>
        </w:rPr>
        <w:t>CSP</w:t>
      </w:r>
      <w:r>
        <w:rPr>
          <w:rFonts w:hint="eastAsia"/>
          <w:lang w:eastAsia="zh-CN"/>
        </w:rPr>
        <w:t>）和云服务合作伙伴（</w:t>
      </w:r>
      <w:r>
        <w:rPr>
          <w:rFonts w:hint="eastAsia"/>
          <w:lang w:eastAsia="zh-CN"/>
        </w:rPr>
        <w:t>CSN</w:t>
      </w:r>
      <w:r>
        <w:rPr>
          <w:rFonts w:hint="eastAsia"/>
          <w:lang w:eastAsia="zh-CN"/>
        </w:rPr>
        <w:t>），因为他们需要</w:t>
      </w:r>
      <w:r w:rsidRPr="00D50AEC">
        <w:rPr>
          <w:lang w:eastAsia="zh-CN"/>
        </w:rPr>
        <w:t>SaaS</w:t>
      </w:r>
      <w:r>
        <w:rPr>
          <w:rFonts w:hint="eastAsia"/>
          <w:lang w:eastAsia="zh-CN"/>
        </w:rPr>
        <w:t>应用环境来满足其安全要求。这些要求具有普遍性，独立于任何业务、面向方案的具体模型（例如，互联网业务或</w:t>
      </w:r>
      <w:r w:rsidRPr="00AB50E9">
        <w:rPr>
          <w:rFonts w:hint="eastAsia"/>
          <w:lang w:eastAsia="zh-CN"/>
        </w:rPr>
        <w:t>表述性状态转移</w:t>
      </w:r>
      <w:r>
        <w:rPr>
          <w:rFonts w:hint="eastAsia"/>
          <w:lang w:eastAsia="zh-CN"/>
        </w:rPr>
        <w:t>（</w:t>
      </w:r>
      <w:r w:rsidRPr="00D50AEC">
        <w:rPr>
          <w:lang w:eastAsia="zh-CN"/>
        </w:rPr>
        <w:t>REST</w:t>
      </w:r>
      <w:r>
        <w:rPr>
          <w:rFonts w:hint="eastAsia"/>
          <w:lang w:eastAsia="zh-CN"/>
        </w:rPr>
        <w:t>））、假设或解决方案。</w:t>
      </w:r>
    </w:p>
    <w:p w:rsidR="005B7162" w:rsidRPr="004B4EF5" w:rsidRDefault="005B7162" w:rsidP="005B7162">
      <w:pPr>
        <w:spacing w:before="240"/>
        <w:rPr>
          <w:b/>
          <w:bCs/>
          <w:lang w:val="en-US" w:eastAsia="zh-CN"/>
        </w:rPr>
      </w:pPr>
      <w:r w:rsidRPr="004B4EF5">
        <w:rPr>
          <w:b/>
          <w:bCs/>
          <w:lang w:val="en-US" w:eastAsia="zh-CN"/>
        </w:rPr>
        <w:t xml:space="preserve">ITU-T </w:t>
      </w:r>
      <w:r>
        <w:rPr>
          <w:b/>
          <w:bCs/>
          <w:lang w:val="en-US" w:eastAsia="zh-CN"/>
        </w:rPr>
        <w:t>X</w:t>
      </w:r>
      <w:r w:rsidRPr="0044658F">
        <w:rPr>
          <w:b/>
          <w:bCs/>
          <w:lang w:val="en-US" w:eastAsia="zh-CN"/>
        </w:rPr>
        <w:t>.1642 (X.goscc)</w:t>
      </w:r>
      <w:r w:rsidRPr="00CE0D93">
        <w:rPr>
          <w:rFonts w:hint="eastAsia"/>
          <w:b/>
          <w:bCs/>
          <w:lang w:val="en-US" w:eastAsia="zh-CN"/>
        </w:rPr>
        <w:t>新建议书草案</w:t>
      </w:r>
      <w:r w:rsidR="00EC44DB">
        <w:rPr>
          <w:rFonts w:hint="eastAsia"/>
          <w:b/>
          <w:bCs/>
          <w:lang w:val="en-US" w:eastAsia="zh-CN"/>
        </w:rPr>
        <w:t xml:space="preserve"> </w:t>
      </w:r>
      <w:r w:rsidR="00EC44DB" w:rsidRPr="00EC44DB">
        <w:rPr>
          <w:b/>
          <w:bCs/>
          <w:lang w:val="en-US" w:eastAsia="zh-CN"/>
        </w:rPr>
        <w:t>–</w:t>
      </w:r>
      <w:r>
        <w:rPr>
          <w:b/>
          <w:bCs/>
          <w:lang w:val="en-US" w:eastAsia="zh-CN"/>
        </w:rPr>
        <w:t xml:space="preserve"> </w:t>
      </w:r>
      <w:r>
        <w:rPr>
          <w:rFonts w:hint="eastAsia"/>
          <w:b/>
          <w:bCs/>
          <w:lang w:val="en-US" w:eastAsia="zh-CN"/>
        </w:rPr>
        <w:t>云计算的操作安全导则</w:t>
      </w:r>
      <w:r>
        <w:rPr>
          <w:b/>
          <w:bCs/>
          <w:highlight w:val="yellow"/>
          <w:lang w:val="en-US" w:eastAsia="zh-CN"/>
        </w:rPr>
        <w:br/>
      </w:r>
      <w:r>
        <w:rPr>
          <w:b/>
          <w:bCs/>
          <w:lang w:val="en-US" w:eastAsia="zh-CN"/>
        </w:rPr>
        <w:t>COM 17 – R 53</w:t>
      </w:r>
    </w:p>
    <w:p w:rsidR="005B7162" w:rsidRPr="004B4EF5" w:rsidRDefault="005B7162" w:rsidP="005B7162">
      <w:pPr>
        <w:rPr>
          <w:b/>
          <w:lang w:val="en-US" w:eastAsia="zh-CN"/>
        </w:rPr>
      </w:pPr>
      <w:r>
        <w:rPr>
          <w:b/>
          <w:lang w:val="en-US" w:eastAsia="zh-CN"/>
        </w:rPr>
        <w:t>摘要</w:t>
      </w:r>
    </w:p>
    <w:p w:rsidR="005B7162" w:rsidRDefault="005B7162" w:rsidP="005B7162">
      <w:pPr>
        <w:ind w:firstLineChars="200" w:firstLine="480"/>
        <w:rPr>
          <w:lang w:eastAsia="zh-CN"/>
        </w:rPr>
      </w:pPr>
      <w:r w:rsidRPr="000212DC">
        <w:rPr>
          <w:lang w:eastAsia="zh-CN"/>
        </w:rPr>
        <w:t>ITU-T X.1642</w:t>
      </w:r>
      <w:r>
        <w:rPr>
          <w:rFonts w:hint="eastAsia"/>
          <w:lang w:eastAsia="zh-CN"/>
        </w:rPr>
        <w:t>建议书从云业务提供商（</w:t>
      </w:r>
      <w:r>
        <w:rPr>
          <w:rFonts w:hint="eastAsia"/>
          <w:lang w:eastAsia="zh-CN"/>
        </w:rPr>
        <w:t>CSP</w:t>
      </w:r>
      <w:r>
        <w:rPr>
          <w:rFonts w:hint="eastAsia"/>
          <w:lang w:eastAsia="zh-CN"/>
        </w:rPr>
        <w:t>）的角度为云计算提供了一般性的操作安全导则。本建议书分析了云计算操作的安全要求和标准，为日常维护提供了一系列安全措施并详细阐述了安全工作，以帮助</w:t>
      </w:r>
      <w:r w:rsidRPr="000212DC">
        <w:rPr>
          <w:lang w:eastAsia="zh-CN"/>
        </w:rPr>
        <w:t>CSP</w:t>
      </w:r>
      <w:r>
        <w:rPr>
          <w:rFonts w:hint="eastAsia"/>
          <w:lang w:eastAsia="zh-CN"/>
        </w:rPr>
        <w:t>缓解云计算的安全风险及其操作面临的安全挑战。</w:t>
      </w:r>
    </w:p>
    <w:p w:rsidR="005B7162" w:rsidRPr="009438B7" w:rsidRDefault="005B7162" w:rsidP="005B7162">
      <w:pPr>
        <w:rPr>
          <w:strike/>
          <w:lang w:eastAsia="zh-CN"/>
        </w:rPr>
      </w:pPr>
    </w:p>
    <w:p w:rsidR="0063445E" w:rsidRPr="000D6324" w:rsidRDefault="005B7162" w:rsidP="000D6324">
      <w:pPr>
        <w:jc w:val="center"/>
      </w:pPr>
      <w:r>
        <w:t>______________</w:t>
      </w:r>
    </w:p>
    <w:sectPr w:rsidR="0063445E" w:rsidRPr="000D6324">
      <w:headerReference w:type="default" r:id="rId10"/>
      <w:footerReference w:type="default" r:id="rId11"/>
      <w:footerReference w:type="first" r:id="rId12"/>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0EE" w:rsidRDefault="005E20EE">
      <w:r>
        <w:separator/>
      </w:r>
    </w:p>
  </w:endnote>
  <w:endnote w:type="continuationSeparator" w:id="0">
    <w:p w:rsidR="005E20EE" w:rsidRDefault="005E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5D7A4D" w:rsidRDefault="005D7A4D" w:rsidP="005D7A4D">
    <w:pPr>
      <w:tabs>
        <w:tab w:val="clear" w:pos="794"/>
        <w:tab w:val="clear" w:pos="1191"/>
        <w:tab w:val="clear" w:pos="1588"/>
        <w:tab w:val="clear" w:pos="1985"/>
        <w:tab w:val="left" w:pos="5954"/>
        <w:tab w:val="right" w:pos="9639"/>
      </w:tabs>
      <w:spacing w:before="0"/>
      <w:rPr>
        <w:rFonts w:ascii="Calibri" w:eastAsia="Times New Roman" w:hAnsi="Calibri"/>
        <w:caps/>
        <w:noProof/>
        <w:sz w:val="16"/>
        <w:lang w:val="fr-CH"/>
      </w:rPr>
    </w:pPr>
    <w:r w:rsidRPr="005D7A4D">
      <w:rPr>
        <w:rFonts w:ascii="Calibri" w:eastAsia="Times New Roman" w:hAnsi="Calibri"/>
        <w:caps/>
        <w:noProof/>
        <w:sz w:val="16"/>
        <w:lang w:val="fr-CH"/>
      </w:rPr>
      <w:t>ITU-T\BUREAU\CIRC\174</w:t>
    </w:r>
    <w:r>
      <w:rPr>
        <w:rFonts w:ascii="Calibri" w:eastAsia="Times New Roman" w:hAnsi="Calibri"/>
        <w:caps/>
        <w:noProof/>
        <w:sz w:val="16"/>
        <w:lang w:val="fr-CH"/>
      </w:rPr>
      <w:t>C</w:t>
    </w:r>
    <w:r w:rsidRPr="005D7A4D">
      <w:rPr>
        <w:rFonts w:ascii="Calibri" w:eastAsia="Times New Roman" w:hAnsi="Calibri"/>
        <w:caps/>
        <w:noProof/>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39" w:rsidRPr="00E41E39" w:rsidRDefault="00E41E39" w:rsidP="00A55D76">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eastAsia="Times New Roman" w:hAnsi="Calibri" w:cs="Calibri"/>
        <w:color w:val="3E8EDE"/>
        <w:sz w:val="18"/>
        <w:szCs w:val="18"/>
        <w:lang w:val="fr-CH"/>
      </w:rPr>
    </w:pPr>
    <w:r w:rsidRPr="00E41E39">
      <w:rPr>
        <w:rFonts w:ascii="Calibri" w:eastAsia="Times New Roman" w:hAnsi="Calibri" w:cs="Calibri"/>
        <w:color w:val="3E8EDE"/>
        <w:sz w:val="18"/>
        <w:szCs w:val="18"/>
        <w:lang w:val="fr-CH"/>
      </w:rPr>
      <w:t>International Telecommunication Union • Place des Nations, CH</w:t>
    </w:r>
    <w:r w:rsidRPr="00E41E39">
      <w:rPr>
        <w:rFonts w:ascii="Calibri" w:eastAsia="Times New Roman" w:hAnsi="Calibri" w:cs="Calibri"/>
        <w:color w:val="3E8EDE"/>
        <w:sz w:val="18"/>
        <w:szCs w:val="18"/>
        <w:lang w:val="fr-CH"/>
      </w:rPr>
      <w:noBreakHyphen/>
      <w:t xml:space="preserve">1211 Geneva 20, Switzerland </w:t>
    </w:r>
    <w:r w:rsidRPr="00E41E39">
      <w:rPr>
        <w:rFonts w:ascii="Calibri" w:eastAsia="Times New Roman" w:hAnsi="Calibri" w:cs="Calibri"/>
        <w:color w:val="3E8EDE"/>
        <w:sz w:val="18"/>
        <w:szCs w:val="18"/>
        <w:lang w:val="fr-CH"/>
      </w:rPr>
      <w:br/>
      <w:t xml:space="preserve">Tel: +41 22 730 5111 • Fax: +41 22 733 7256 • </w:t>
    </w:r>
    <w:r w:rsidRPr="00E41E39">
      <w:rPr>
        <w:rFonts w:ascii="Calibri" w:eastAsia="Times New Roman" w:hAnsi="Calibri" w:cs="Calibri"/>
        <w:color w:val="3E8EDE"/>
        <w:sz w:val="18"/>
        <w:szCs w:val="18"/>
        <w:lang w:val="fr-CH"/>
      </w:rPr>
      <w:br/>
      <w:t xml:space="preserve">E-mail: </w:t>
    </w:r>
    <w:hyperlink r:id="rId1" w:history="1">
      <w:r w:rsidRPr="00E41E39">
        <w:rPr>
          <w:rFonts w:ascii="Calibri" w:eastAsia="Times New Roman" w:hAnsi="Calibri" w:cs="Calibri"/>
          <w:color w:val="3E8EDE"/>
          <w:sz w:val="18"/>
          <w:szCs w:val="18"/>
          <w:lang w:val="fr-CH"/>
        </w:rPr>
        <w:t>itumail@itu.int</w:t>
      </w:r>
    </w:hyperlink>
    <w:r w:rsidRPr="00E41E39">
      <w:rPr>
        <w:rFonts w:ascii="Calibri" w:eastAsia="Times New Roman" w:hAnsi="Calibri" w:cs="Calibri"/>
        <w:color w:val="3E8EDE"/>
        <w:sz w:val="18"/>
        <w:szCs w:val="18"/>
        <w:lang w:val="fr-CH"/>
      </w:rPr>
      <w:t xml:space="preserve"> • </w:t>
    </w:r>
    <w:hyperlink r:id="rId2" w:history="1">
      <w:r w:rsidRPr="00E41E39">
        <w:rPr>
          <w:rFonts w:ascii="Calibri" w:eastAsia="Times New Roman" w:hAnsi="Calibri" w:cs="Calibri"/>
          <w:color w:val="3E8EDE"/>
          <w:sz w:val="18"/>
          <w:szCs w:val="18"/>
          <w:lang w:val="fr-CH"/>
        </w:rPr>
        <w:t>www.itu.int</w:t>
      </w:r>
    </w:hyperlink>
    <w:r w:rsidRPr="00E41E39">
      <w:rPr>
        <w:rFonts w:ascii="Calibri" w:eastAsia="Times New Roman" w:hAnsi="Calibri" w:cs="Calibri"/>
        <w:color w:val="3E8EDE"/>
        <w:sz w:val="18"/>
        <w:szCs w:val="18"/>
        <w:lang w:val="fr-CH"/>
      </w:rPr>
      <w:t xml:space="preserve"> • </w:t>
    </w:r>
    <w:hyperlink r:id="rId3" w:history="1">
      <w:r w:rsidR="00A55D76" w:rsidRPr="00CD768E">
        <w:rPr>
          <w:color w:val="3E8EDE"/>
          <w:sz w:val="18"/>
          <w:szCs w:val="22"/>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0EE" w:rsidRDefault="005E20EE">
      <w:r>
        <w:separator/>
      </w:r>
    </w:p>
  </w:footnote>
  <w:footnote w:type="continuationSeparator" w:id="0">
    <w:p w:rsidR="005E20EE" w:rsidRDefault="005E2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Default="00841612" w:rsidP="00590119">
    <w:pPr>
      <w:pStyle w:val="Header"/>
    </w:pPr>
    <w:r>
      <w:fldChar w:fldCharType="begin"/>
    </w:r>
    <w:r>
      <w:instrText>PAGE</w:instrText>
    </w:r>
    <w:r>
      <w:fldChar w:fldCharType="separate"/>
    </w:r>
    <w:r w:rsidR="00CC4AE6">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1D"/>
    <w:rsid w:val="00027EE3"/>
    <w:rsid w:val="00081BA5"/>
    <w:rsid w:val="00090E72"/>
    <w:rsid w:val="00094C0B"/>
    <w:rsid w:val="000A2484"/>
    <w:rsid w:val="000D6324"/>
    <w:rsid w:val="00117471"/>
    <w:rsid w:val="00160A43"/>
    <w:rsid w:val="00174E9D"/>
    <w:rsid w:val="001D6E70"/>
    <w:rsid w:val="00234A9B"/>
    <w:rsid w:val="00282732"/>
    <w:rsid w:val="00284869"/>
    <w:rsid w:val="002E05E3"/>
    <w:rsid w:val="00303A2A"/>
    <w:rsid w:val="003064AD"/>
    <w:rsid w:val="00334A24"/>
    <w:rsid w:val="0035674D"/>
    <w:rsid w:val="003F1CCA"/>
    <w:rsid w:val="00457CC5"/>
    <w:rsid w:val="00464015"/>
    <w:rsid w:val="00486359"/>
    <w:rsid w:val="00537563"/>
    <w:rsid w:val="00590119"/>
    <w:rsid w:val="005B7162"/>
    <w:rsid w:val="005C26FD"/>
    <w:rsid w:val="005D7A4D"/>
    <w:rsid w:val="005E20EE"/>
    <w:rsid w:val="00627AE8"/>
    <w:rsid w:val="0063445E"/>
    <w:rsid w:val="006B463C"/>
    <w:rsid w:val="006D22B1"/>
    <w:rsid w:val="006D42C6"/>
    <w:rsid w:val="007568DA"/>
    <w:rsid w:val="00841612"/>
    <w:rsid w:val="0084436D"/>
    <w:rsid w:val="008B2BDA"/>
    <w:rsid w:val="009128F1"/>
    <w:rsid w:val="009424FC"/>
    <w:rsid w:val="00956D38"/>
    <w:rsid w:val="009727EA"/>
    <w:rsid w:val="00974486"/>
    <w:rsid w:val="009C2FF6"/>
    <w:rsid w:val="00A1090D"/>
    <w:rsid w:val="00A16AB0"/>
    <w:rsid w:val="00A55D76"/>
    <w:rsid w:val="00A577A3"/>
    <w:rsid w:val="00B01F79"/>
    <w:rsid w:val="00B56B75"/>
    <w:rsid w:val="00BB5392"/>
    <w:rsid w:val="00BC7AEE"/>
    <w:rsid w:val="00BD77CF"/>
    <w:rsid w:val="00BE339D"/>
    <w:rsid w:val="00C03E87"/>
    <w:rsid w:val="00C6016A"/>
    <w:rsid w:val="00C7008A"/>
    <w:rsid w:val="00C70EDA"/>
    <w:rsid w:val="00C91313"/>
    <w:rsid w:val="00C916ED"/>
    <w:rsid w:val="00CA3478"/>
    <w:rsid w:val="00CC4AE6"/>
    <w:rsid w:val="00D16F47"/>
    <w:rsid w:val="00D34F86"/>
    <w:rsid w:val="00D70069"/>
    <w:rsid w:val="00E35907"/>
    <w:rsid w:val="00E41E39"/>
    <w:rsid w:val="00E47AFF"/>
    <w:rsid w:val="00EC44DB"/>
    <w:rsid w:val="00F07A3C"/>
    <w:rsid w:val="00F346AB"/>
    <w:rsid w:val="00F9383A"/>
    <w:rsid w:val="00FE1D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2DAE2DD-AF3F-406D-B112-D46DE0F6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5B716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paragraph" w:customStyle="1" w:styleId="AppendixRef">
    <w:name w:val="Appendix_Ref"/>
    <w:basedOn w:val="Normal"/>
    <w:next w:val="Normal"/>
    <w:rsid w:val="005B7162"/>
    <w:pPr>
      <w:keepNext/>
      <w:keepLines/>
      <w:jc w:val="center"/>
    </w:pPr>
    <w:rPr>
      <w:rFonts w:ascii="Times New Roman" w:eastAsiaTheme="minorEastAsia" w:hAnsi="Times New Roman"/>
    </w:rPr>
  </w:style>
  <w:style w:type="paragraph" w:customStyle="1" w:styleId="AnnexNo">
    <w:name w:val="Annex_No"/>
    <w:basedOn w:val="Normal"/>
    <w:next w:val="Normal"/>
    <w:rsid w:val="00EC44DB"/>
    <w:pPr>
      <w:keepNext/>
      <w:keepLines/>
      <w:tabs>
        <w:tab w:val="clear" w:pos="794"/>
        <w:tab w:val="clear" w:pos="1191"/>
        <w:tab w:val="clear" w:pos="1588"/>
        <w:tab w:val="clear" w:pos="1985"/>
        <w:tab w:val="left" w:pos="1134"/>
        <w:tab w:val="left" w:pos="1871"/>
        <w:tab w:val="left" w:pos="2268"/>
      </w:tabs>
      <w:spacing w:before="480" w:after="80"/>
      <w:jc w:val="center"/>
    </w:pPr>
    <w:rPr>
      <w:rFonts w:ascii="Times New Roman" w:hAnsi="Times New Roman"/>
      <w:caps/>
      <w:sz w:val="28"/>
    </w:rPr>
  </w:style>
  <w:style w:type="paragraph" w:customStyle="1" w:styleId="Annextitle">
    <w:name w:val="Annex_title"/>
    <w:basedOn w:val="Normal"/>
    <w:next w:val="Normal"/>
    <w:rsid w:val="00EC44D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7@itu.i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tu.int/ip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0</TotalTime>
  <Pages>4</Pages>
  <Words>2113</Words>
  <Characters>687</Characters>
  <Application>Microsoft Office Word</Application>
  <DocSecurity>4</DocSecurity>
  <Lines>5</Lines>
  <Paragraphs>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2795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 Sanp</dc:creator>
  <cp:keywords/>
  <dc:description>174V2C.docx  For: _x000d_Document date: _x000d_Saved by ITU51006837 at 15:32:31 on 11/11/15</dc:description>
  <cp:lastModifiedBy>Bettini, Nadine</cp:lastModifiedBy>
  <cp:revision>2</cp:revision>
  <cp:lastPrinted>2015-11-11T16:11:00Z</cp:lastPrinted>
  <dcterms:created xsi:type="dcterms:W3CDTF">2015-11-12T07:19:00Z</dcterms:created>
  <dcterms:modified xsi:type="dcterms:W3CDTF">2015-11-12T07:19:00Z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174V2C.docx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