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Light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134"/>
        <w:gridCol w:w="142"/>
        <w:gridCol w:w="4111"/>
        <w:gridCol w:w="2410"/>
        <w:gridCol w:w="1984"/>
      </w:tblGrid>
      <w:tr w:rsidR="00CF35AE" w14:paraId="172791BC" w14:textId="77777777" w:rsidTr="004D6971">
        <w:trPr>
          <w:trHeight w:val="1282"/>
        </w:trPr>
        <w:tc>
          <w:tcPr>
            <w:tcW w:w="1276" w:type="dxa"/>
            <w:gridSpan w:val="2"/>
            <w:tcMar>
              <w:left w:w="0" w:type="dxa"/>
              <w:right w:w="0" w:type="dxa"/>
            </w:tcMar>
            <w:vAlign w:val="center"/>
          </w:tcPr>
          <w:p w14:paraId="132EF3AD" w14:textId="77777777" w:rsidR="00CF35AE" w:rsidRPr="009A54D9" w:rsidRDefault="00CF35AE" w:rsidP="004D6971">
            <w:pPr>
              <w:pStyle w:val="Tabletext"/>
              <w:jc w:val="center"/>
            </w:pPr>
            <w:bookmarkStart w:id="0" w:name="ditulogo"/>
            <w:bookmarkStart w:id="1" w:name="_GoBack"/>
            <w:bookmarkEnd w:id="0"/>
            <w:bookmarkEnd w:id="1"/>
            <w:r>
              <w:rPr>
                <w:noProof/>
                <w:lang w:eastAsia="zh-CN"/>
              </w:rPr>
              <w:drawing>
                <wp:inline distT="0" distB="0" distL="0" distR="0" wp14:anchorId="6BD14DD5" wp14:editId="57A3D5E5">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tcMar>
              <w:left w:w="142" w:type="dxa"/>
            </w:tcMar>
            <w:vAlign w:val="center"/>
          </w:tcPr>
          <w:p w14:paraId="0B46E4EE" w14:textId="77777777" w:rsidR="00B653A8" w:rsidRDefault="00B653A8" w:rsidP="004D6971">
            <w:pPr>
              <w:spacing w:before="0"/>
              <w:rPr>
                <w:rFonts w:cs="Times New Roman Bold"/>
                <w:b/>
                <w:bCs/>
                <w:smallCaps/>
                <w:sz w:val="26"/>
                <w:szCs w:val="26"/>
              </w:rPr>
            </w:pPr>
            <w:r w:rsidRPr="00C27BDB">
              <w:rPr>
                <w:rFonts w:cs="Times New Roman Bold"/>
                <w:b/>
                <w:bCs/>
                <w:smallCaps/>
                <w:sz w:val="36"/>
                <w:szCs w:val="36"/>
              </w:rPr>
              <w:t>International telecommunication union</w:t>
            </w:r>
          </w:p>
          <w:p w14:paraId="39C930F7" w14:textId="77777777" w:rsidR="00CF35AE" w:rsidRPr="00F50108" w:rsidRDefault="00B653A8" w:rsidP="004D6971">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984" w:type="dxa"/>
            <w:vAlign w:val="center"/>
          </w:tcPr>
          <w:p w14:paraId="7668378A" w14:textId="77777777" w:rsidR="00CF35AE" w:rsidRPr="00F50108" w:rsidRDefault="00CF35AE" w:rsidP="004D6971">
            <w:pPr>
              <w:spacing w:before="0"/>
              <w:jc w:val="right"/>
              <w:rPr>
                <w:rFonts w:ascii="Verdana" w:hAnsi="Verdana"/>
                <w:color w:val="FFFFFF"/>
                <w:sz w:val="26"/>
                <w:szCs w:val="26"/>
              </w:rPr>
            </w:pPr>
            <w:r>
              <w:rPr>
                <w:noProof/>
                <w:lang w:eastAsia="zh-CN"/>
              </w:rPr>
              <w:drawing>
                <wp:inline distT="0" distB="0" distL="0" distR="0" wp14:anchorId="43519339" wp14:editId="2B89D42A">
                  <wp:extent cx="1181100" cy="8855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50logo-Blue-vertic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3224" cy="902187"/>
                          </a:xfrm>
                          <a:prstGeom prst="rect">
                            <a:avLst/>
                          </a:prstGeom>
                        </pic:spPr>
                      </pic:pic>
                    </a:graphicData>
                  </a:graphic>
                </wp:inline>
              </w:drawing>
            </w:r>
          </w:p>
        </w:tc>
      </w:tr>
      <w:tr w:rsidR="000305E1" w14:paraId="513A0A68" w14:textId="77777777" w:rsidTr="004D6971">
        <w:trPr>
          <w:trHeight w:val="80"/>
        </w:trPr>
        <w:tc>
          <w:tcPr>
            <w:tcW w:w="5387" w:type="dxa"/>
            <w:gridSpan w:val="3"/>
            <w:tcMar>
              <w:left w:w="0" w:type="dxa"/>
              <w:right w:w="0" w:type="dxa"/>
            </w:tcMar>
          </w:tcPr>
          <w:p w14:paraId="640EA2A6" w14:textId="77777777" w:rsidR="000305E1" w:rsidRDefault="000305E1" w:rsidP="004D6971">
            <w:pPr>
              <w:pStyle w:val="Tabletext"/>
              <w:jc w:val="right"/>
            </w:pPr>
          </w:p>
        </w:tc>
        <w:tc>
          <w:tcPr>
            <w:tcW w:w="4394" w:type="dxa"/>
            <w:gridSpan w:val="2"/>
            <w:tcMar>
              <w:left w:w="0" w:type="dxa"/>
              <w:right w:w="0" w:type="dxa"/>
            </w:tcMar>
            <w:vAlign w:val="center"/>
          </w:tcPr>
          <w:p w14:paraId="2082B3D7" w14:textId="369B2DBA" w:rsidR="000305E1" w:rsidRDefault="00EC05AA" w:rsidP="00F45AF4">
            <w:pPr>
              <w:pStyle w:val="Tabletext"/>
              <w:spacing w:before="480" w:after="120"/>
            </w:pPr>
            <w:r>
              <w:t xml:space="preserve">Geneva, </w:t>
            </w:r>
            <w:r w:rsidRPr="00632634">
              <w:t>2</w:t>
            </w:r>
            <w:r w:rsidR="00F45AF4">
              <w:t>1</w:t>
            </w:r>
            <w:r w:rsidR="00632634" w:rsidRPr="00632634">
              <w:t xml:space="preserve"> October</w:t>
            </w:r>
            <w:r w:rsidR="0005218B">
              <w:t xml:space="preserve"> 2015</w:t>
            </w:r>
          </w:p>
        </w:tc>
      </w:tr>
      <w:tr w:rsidR="00B653A8" w14:paraId="43741132" w14:textId="77777777" w:rsidTr="004D6971">
        <w:trPr>
          <w:trHeight w:val="835"/>
        </w:trPr>
        <w:tc>
          <w:tcPr>
            <w:tcW w:w="1134" w:type="dxa"/>
            <w:tcMar>
              <w:left w:w="0" w:type="dxa"/>
              <w:right w:w="0" w:type="dxa"/>
            </w:tcMar>
          </w:tcPr>
          <w:p w14:paraId="3AAE26AD" w14:textId="77777777" w:rsidR="00B653A8" w:rsidRPr="00F36AC4" w:rsidRDefault="00B653A8" w:rsidP="004D6971">
            <w:pPr>
              <w:pStyle w:val="Tabletext"/>
              <w:rPr>
                <w:rFonts w:ascii="Futura Lt BT" w:hAnsi="Futura Lt BT"/>
              </w:rPr>
            </w:pPr>
            <w:bookmarkStart w:id="2" w:name="Adress_E" w:colFirst="2" w:colLast="2"/>
            <w:r w:rsidRPr="00F36AC4">
              <w:t>Ref:</w:t>
            </w:r>
          </w:p>
        </w:tc>
        <w:tc>
          <w:tcPr>
            <w:tcW w:w="4253" w:type="dxa"/>
            <w:gridSpan w:val="2"/>
            <w:tcMar>
              <w:left w:w="0" w:type="dxa"/>
              <w:right w:w="0" w:type="dxa"/>
            </w:tcMar>
          </w:tcPr>
          <w:p w14:paraId="460E8E18" w14:textId="77777777" w:rsidR="00B653A8" w:rsidRPr="000305E1" w:rsidRDefault="00EC05AA" w:rsidP="004D6971">
            <w:pPr>
              <w:pStyle w:val="Tabletext"/>
              <w:rPr>
                <w:b/>
                <w:bCs/>
              </w:rPr>
            </w:pPr>
            <w:r>
              <w:rPr>
                <w:b/>
                <w:bCs/>
              </w:rPr>
              <w:t xml:space="preserve">TSB Circular </w:t>
            </w:r>
            <w:r w:rsidR="00632634">
              <w:rPr>
                <w:b/>
                <w:bCs/>
              </w:rPr>
              <w:t>174</w:t>
            </w:r>
          </w:p>
          <w:p w14:paraId="376E00FE" w14:textId="77777777" w:rsidR="00B653A8" w:rsidRPr="00F36AC4" w:rsidRDefault="0005218B" w:rsidP="004D6971">
            <w:pPr>
              <w:pStyle w:val="Tabletext"/>
            </w:pPr>
            <w:r>
              <w:t>COM 17/MEU</w:t>
            </w:r>
          </w:p>
        </w:tc>
        <w:tc>
          <w:tcPr>
            <w:tcW w:w="4394" w:type="dxa"/>
            <w:gridSpan w:val="2"/>
            <w:vMerge w:val="restart"/>
            <w:tcMar>
              <w:left w:w="0" w:type="dxa"/>
              <w:right w:w="0" w:type="dxa"/>
            </w:tcMar>
          </w:tcPr>
          <w:p w14:paraId="1228D4B0" w14:textId="77777777" w:rsidR="00B653A8" w:rsidRDefault="00B653A8" w:rsidP="004D6971">
            <w:pPr>
              <w:pStyle w:val="Tabletext"/>
              <w:ind w:left="283" w:hanging="283"/>
            </w:pPr>
            <w:r>
              <w:t>-</w:t>
            </w:r>
            <w:r>
              <w:tab/>
              <w:t>To Administrations of Member States of the Union</w:t>
            </w:r>
          </w:p>
        </w:tc>
      </w:tr>
      <w:bookmarkEnd w:id="2"/>
      <w:tr w:rsidR="00951309" w14:paraId="53A13E9C" w14:textId="77777777" w:rsidTr="004D6971">
        <w:trPr>
          <w:trHeight w:val="221"/>
        </w:trPr>
        <w:tc>
          <w:tcPr>
            <w:tcW w:w="1134" w:type="dxa"/>
            <w:tcMar>
              <w:left w:w="0" w:type="dxa"/>
              <w:right w:w="0" w:type="dxa"/>
            </w:tcMar>
          </w:tcPr>
          <w:p w14:paraId="56C479EA" w14:textId="77777777" w:rsidR="00951309" w:rsidRPr="00F36AC4" w:rsidRDefault="00951309" w:rsidP="004D6971">
            <w:pPr>
              <w:pStyle w:val="Tabletext"/>
            </w:pPr>
            <w:r w:rsidRPr="00F36AC4">
              <w:t>Tel:</w:t>
            </w:r>
          </w:p>
        </w:tc>
        <w:tc>
          <w:tcPr>
            <w:tcW w:w="4253" w:type="dxa"/>
            <w:gridSpan w:val="2"/>
            <w:tcMar>
              <w:left w:w="0" w:type="dxa"/>
              <w:right w:w="0" w:type="dxa"/>
            </w:tcMar>
          </w:tcPr>
          <w:p w14:paraId="4A85DC2D" w14:textId="77777777" w:rsidR="00951309" w:rsidRPr="00F36AC4" w:rsidRDefault="00951309" w:rsidP="004D6971">
            <w:pPr>
              <w:pStyle w:val="Tabletext"/>
              <w:rPr>
                <w:b/>
              </w:rPr>
            </w:pPr>
            <w:r w:rsidRPr="00F36AC4">
              <w:t>+41 22 730</w:t>
            </w:r>
            <w:r w:rsidR="0005218B">
              <w:t xml:space="preserve"> 5866</w:t>
            </w:r>
          </w:p>
        </w:tc>
        <w:tc>
          <w:tcPr>
            <w:tcW w:w="4394" w:type="dxa"/>
            <w:gridSpan w:val="2"/>
            <w:vMerge/>
            <w:tcMar>
              <w:left w:w="0" w:type="dxa"/>
              <w:right w:w="0" w:type="dxa"/>
            </w:tcMar>
          </w:tcPr>
          <w:p w14:paraId="0C5C7FD8" w14:textId="77777777" w:rsidR="00951309" w:rsidRDefault="00951309" w:rsidP="004D6971">
            <w:pPr>
              <w:pStyle w:val="Tabletext"/>
              <w:ind w:left="142" w:hanging="142"/>
            </w:pPr>
          </w:p>
        </w:tc>
      </w:tr>
      <w:tr w:rsidR="00951309" w14:paraId="61902C9C" w14:textId="77777777" w:rsidTr="004D6971">
        <w:trPr>
          <w:trHeight w:val="282"/>
        </w:trPr>
        <w:tc>
          <w:tcPr>
            <w:tcW w:w="1134" w:type="dxa"/>
            <w:tcMar>
              <w:left w:w="0" w:type="dxa"/>
              <w:right w:w="0" w:type="dxa"/>
            </w:tcMar>
          </w:tcPr>
          <w:p w14:paraId="6BEBC8E7" w14:textId="77777777" w:rsidR="00951309" w:rsidRPr="00F36AC4" w:rsidRDefault="00951309" w:rsidP="004D6971">
            <w:pPr>
              <w:pStyle w:val="Tabletext"/>
            </w:pPr>
            <w:r w:rsidRPr="00F36AC4">
              <w:t>Fax:</w:t>
            </w:r>
          </w:p>
        </w:tc>
        <w:tc>
          <w:tcPr>
            <w:tcW w:w="4253" w:type="dxa"/>
            <w:gridSpan w:val="2"/>
            <w:tcMar>
              <w:left w:w="0" w:type="dxa"/>
              <w:right w:w="0" w:type="dxa"/>
            </w:tcMar>
          </w:tcPr>
          <w:p w14:paraId="4F8724C7" w14:textId="77777777" w:rsidR="00951309" w:rsidRPr="00F36AC4" w:rsidRDefault="00951309" w:rsidP="004D6971">
            <w:pPr>
              <w:pStyle w:val="Tabletext"/>
              <w:rPr>
                <w:b/>
              </w:rPr>
            </w:pPr>
            <w:r w:rsidRPr="00F36AC4">
              <w:t>+41 22 730 5853</w:t>
            </w:r>
          </w:p>
        </w:tc>
        <w:tc>
          <w:tcPr>
            <w:tcW w:w="4394" w:type="dxa"/>
            <w:gridSpan w:val="2"/>
            <w:vMerge/>
            <w:tcMar>
              <w:left w:w="0" w:type="dxa"/>
              <w:right w:w="0" w:type="dxa"/>
            </w:tcMar>
          </w:tcPr>
          <w:p w14:paraId="0E9ABEA3" w14:textId="77777777" w:rsidR="00951309" w:rsidRDefault="00951309" w:rsidP="004D6971">
            <w:pPr>
              <w:pStyle w:val="Tabletext"/>
              <w:ind w:left="142" w:hanging="142"/>
            </w:pPr>
          </w:p>
        </w:tc>
      </w:tr>
      <w:tr w:rsidR="00951309" w14:paraId="3CB40DD0" w14:textId="77777777" w:rsidTr="004D6971">
        <w:trPr>
          <w:trHeight w:val="2640"/>
        </w:trPr>
        <w:tc>
          <w:tcPr>
            <w:tcW w:w="1134" w:type="dxa"/>
            <w:tcMar>
              <w:left w:w="0" w:type="dxa"/>
              <w:right w:w="0" w:type="dxa"/>
            </w:tcMar>
          </w:tcPr>
          <w:p w14:paraId="730C3BC1" w14:textId="77777777" w:rsidR="00951309" w:rsidRPr="00F36AC4" w:rsidRDefault="00951309" w:rsidP="004D6971">
            <w:pPr>
              <w:pStyle w:val="Tabletext"/>
            </w:pPr>
            <w:r w:rsidRPr="00F36AC4">
              <w:t>E-mail:</w:t>
            </w:r>
          </w:p>
        </w:tc>
        <w:tc>
          <w:tcPr>
            <w:tcW w:w="4253" w:type="dxa"/>
            <w:gridSpan w:val="2"/>
            <w:tcMar>
              <w:left w:w="0" w:type="dxa"/>
              <w:right w:w="0" w:type="dxa"/>
            </w:tcMar>
          </w:tcPr>
          <w:p w14:paraId="375D4836" w14:textId="77777777" w:rsidR="00951309" w:rsidRPr="00F36AC4" w:rsidRDefault="00A23BC5" w:rsidP="004D6971">
            <w:pPr>
              <w:pStyle w:val="Tabletext"/>
            </w:pPr>
            <w:hyperlink r:id="rId10" w:history="1">
              <w:r w:rsidR="0005218B" w:rsidRPr="00A61487">
                <w:rPr>
                  <w:rStyle w:val="Hyperlink"/>
                  <w:szCs w:val="22"/>
                </w:rPr>
                <w:t>tsbsg17@itu.int</w:t>
              </w:r>
            </w:hyperlink>
            <w:r w:rsidR="0005218B">
              <w:t xml:space="preserve"> </w:t>
            </w:r>
          </w:p>
        </w:tc>
        <w:tc>
          <w:tcPr>
            <w:tcW w:w="4394" w:type="dxa"/>
            <w:gridSpan w:val="2"/>
            <w:tcMar>
              <w:left w:w="0" w:type="dxa"/>
              <w:right w:w="0" w:type="dxa"/>
            </w:tcMar>
          </w:tcPr>
          <w:p w14:paraId="10A80514" w14:textId="77777777" w:rsidR="00951309" w:rsidRDefault="00951309" w:rsidP="004D6971">
            <w:pPr>
              <w:pStyle w:val="Tabletext"/>
              <w:rPr>
                <w:b/>
              </w:rPr>
            </w:pPr>
            <w:r>
              <w:rPr>
                <w:b/>
              </w:rPr>
              <w:t>Copy:</w:t>
            </w:r>
          </w:p>
          <w:p w14:paraId="18D7925B" w14:textId="77777777" w:rsidR="00951309" w:rsidRDefault="00951309" w:rsidP="004D6971">
            <w:pPr>
              <w:pStyle w:val="Tabletext"/>
              <w:tabs>
                <w:tab w:val="clear" w:pos="284"/>
                <w:tab w:val="clear" w:pos="567"/>
                <w:tab w:val="left" w:pos="283"/>
              </w:tabs>
              <w:ind w:left="283" w:hanging="283"/>
            </w:pPr>
            <w:r>
              <w:t>-</w:t>
            </w:r>
            <w:r>
              <w:tab/>
              <w:t>To ITU-T Sector Members;</w:t>
            </w:r>
          </w:p>
          <w:p w14:paraId="2116687B" w14:textId="77777777" w:rsidR="00951309" w:rsidRDefault="00951309" w:rsidP="004D6971">
            <w:pPr>
              <w:pStyle w:val="Tabletext"/>
              <w:tabs>
                <w:tab w:val="clear" w:pos="284"/>
                <w:tab w:val="clear" w:pos="567"/>
                <w:tab w:val="left" w:pos="283"/>
              </w:tabs>
              <w:ind w:left="283" w:hanging="283"/>
            </w:pPr>
            <w:r>
              <w:t>-</w:t>
            </w:r>
            <w:r w:rsidR="00E17CCC">
              <w:tab/>
            </w:r>
            <w:r>
              <w:t>To ITU-T Associates;</w:t>
            </w:r>
          </w:p>
          <w:p w14:paraId="73B2EBBB" w14:textId="6BF46376" w:rsidR="00951309" w:rsidRDefault="00951309" w:rsidP="00F45AF4">
            <w:pPr>
              <w:pStyle w:val="Tabletext"/>
              <w:tabs>
                <w:tab w:val="clear" w:pos="284"/>
                <w:tab w:val="clear" w:pos="567"/>
                <w:tab w:val="left" w:pos="283"/>
              </w:tabs>
              <w:ind w:left="283" w:hanging="283"/>
            </w:pPr>
            <w:r>
              <w:t>-</w:t>
            </w:r>
            <w:r>
              <w:tab/>
              <w:t>To ITU Academia;</w:t>
            </w:r>
          </w:p>
          <w:p w14:paraId="320A55DA" w14:textId="77777777" w:rsidR="00951309" w:rsidRDefault="00951309" w:rsidP="004D6971">
            <w:pPr>
              <w:pStyle w:val="Tabletext"/>
              <w:tabs>
                <w:tab w:val="clear" w:pos="284"/>
                <w:tab w:val="clear" w:pos="567"/>
                <w:tab w:val="left" w:pos="283"/>
              </w:tabs>
              <w:ind w:left="283" w:hanging="283"/>
            </w:pPr>
            <w:r>
              <w:t>-</w:t>
            </w:r>
            <w:r>
              <w:tab/>
              <w:t>To the Chairman and</w:t>
            </w:r>
            <w:r w:rsidR="0005218B">
              <w:t xml:space="preserve"> Vice-Chairmen of Study Group 17</w:t>
            </w:r>
            <w:r>
              <w:t>;</w:t>
            </w:r>
          </w:p>
          <w:p w14:paraId="518C5BD8" w14:textId="77777777" w:rsidR="00951309" w:rsidRDefault="00951309" w:rsidP="004D6971">
            <w:pPr>
              <w:pStyle w:val="Tabletext"/>
              <w:tabs>
                <w:tab w:val="clear" w:pos="284"/>
                <w:tab w:val="clear" w:pos="567"/>
                <w:tab w:val="left" w:pos="283"/>
              </w:tabs>
              <w:ind w:left="283" w:hanging="283"/>
            </w:pPr>
            <w:r>
              <w:t>-</w:t>
            </w:r>
            <w:r>
              <w:tab/>
              <w:t>To the Director of the Telecommunication Development Bureau;</w:t>
            </w:r>
          </w:p>
          <w:p w14:paraId="10AC4A88" w14:textId="77777777" w:rsidR="00951309" w:rsidRDefault="00951309" w:rsidP="004D6971">
            <w:pPr>
              <w:pStyle w:val="Tabletext"/>
              <w:tabs>
                <w:tab w:val="clear" w:pos="284"/>
                <w:tab w:val="clear" w:pos="567"/>
                <w:tab w:val="left" w:pos="283"/>
              </w:tabs>
              <w:ind w:left="283" w:hanging="283"/>
            </w:pPr>
            <w:r>
              <w:t>-</w:t>
            </w:r>
            <w:r>
              <w:tab/>
              <w:t>To the Director of the Radiocommunication Bureau</w:t>
            </w:r>
          </w:p>
        </w:tc>
      </w:tr>
      <w:tr w:rsidR="00951309" w:rsidRPr="009B6449" w14:paraId="240F7C10" w14:textId="77777777" w:rsidTr="004D6971">
        <w:trPr>
          <w:trHeight w:val="660"/>
        </w:trPr>
        <w:tc>
          <w:tcPr>
            <w:tcW w:w="1134" w:type="dxa"/>
            <w:tcMar>
              <w:left w:w="0" w:type="dxa"/>
              <w:right w:w="0" w:type="dxa"/>
            </w:tcMar>
          </w:tcPr>
          <w:p w14:paraId="6282A633" w14:textId="77777777" w:rsidR="00951309" w:rsidRPr="009B6449" w:rsidRDefault="00951309" w:rsidP="004D6971">
            <w:pPr>
              <w:pStyle w:val="Tabletext"/>
            </w:pPr>
            <w:r w:rsidRPr="009B6449">
              <w:t>Subject:</w:t>
            </w:r>
          </w:p>
        </w:tc>
        <w:tc>
          <w:tcPr>
            <w:tcW w:w="8647" w:type="dxa"/>
            <w:gridSpan w:val="4"/>
            <w:tcMar>
              <w:left w:w="0" w:type="dxa"/>
              <w:right w:w="0" w:type="dxa"/>
            </w:tcMar>
          </w:tcPr>
          <w:p w14:paraId="492ED0DD" w14:textId="77777777" w:rsidR="00951309" w:rsidRPr="009B6449" w:rsidRDefault="0005218B" w:rsidP="00626A54">
            <w:pPr>
              <w:pStyle w:val="Tabletext"/>
            </w:pPr>
            <w:r w:rsidRPr="000305E1">
              <w:rPr>
                <w:b/>
                <w:bCs/>
              </w:rPr>
              <w:t xml:space="preserve">Meeting of Study Group </w:t>
            </w:r>
            <w:r>
              <w:rPr>
                <w:b/>
                <w:bCs/>
              </w:rPr>
              <w:t>17</w:t>
            </w:r>
            <w:r w:rsidRPr="000305E1">
              <w:rPr>
                <w:b/>
                <w:bCs/>
              </w:rPr>
              <w:t xml:space="preserve"> with a view to approving draft </w:t>
            </w:r>
            <w:r>
              <w:rPr>
                <w:b/>
                <w:bCs/>
              </w:rPr>
              <w:t>new Recommendations ITU</w:t>
            </w:r>
            <w:r>
              <w:rPr>
                <w:b/>
                <w:bCs/>
              </w:rPr>
              <w:noBreakHyphen/>
            </w:r>
            <w:r w:rsidRPr="000305E1">
              <w:rPr>
                <w:b/>
                <w:bCs/>
              </w:rPr>
              <w:t xml:space="preserve">T </w:t>
            </w:r>
            <w:r w:rsidR="00C304AC" w:rsidRPr="00C304AC">
              <w:rPr>
                <w:b/>
                <w:bCs/>
              </w:rPr>
              <w:t xml:space="preserve">X.1247, X.1256, X.1257, </w:t>
            </w:r>
            <w:r w:rsidR="00522E54">
              <w:rPr>
                <w:b/>
                <w:bCs/>
              </w:rPr>
              <w:t xml:space="preserve">X.1602, </w:t>
            </w:r>
            <w:r w:rsidR="00C304AC" w:rsidRPr="00C304AC">
              <w:rPr>
                <w:b/>
                <w:bCs/>
              </w:rPr>
              <w:t>X.1642</w:t>
            </w:r>
            <w:r w:rsidR="00522E54">
              <w:rPr>
                <w:b/>
                <w:bCs/>
              </w:rPr>
              <w:t xml:space="preserve"> and </w:t>
            </w:r>
            <w:r w:rsidR="00D0793D">
              <w:rPr>
                <w:b/>
                <w:bCs/>
              </w:rPr>
              <w:t xml:space="preserve">draft </w:t>
            </w:r>
            <w:r w:rsidR="00522E54">
              <w:rPr>
                <w:b/>
                <w:bCs/>
              </w:rPr>
              <w:t>revised Recommendation ITU</w:t>
            </w:r>
            <w:r w:rsidR="00522E54">
              <w:rPr>
                <w:b/>
                <w:bCs/>
              </w:rPr>
              <w:noBreakHyphen/>
            </w:r>
            <w:r w:rsidR="00522E54" w:rsidRPr="000305E1">
              <w:rPr>
                <w:b/>
                <w:bCs/>
              </w:rPr>
              <w:t>T</w:t>
            </w:r>
            <w:r w:rsidR="00522E54" w:rsidRPr="00C304AC">
              <w:rPr>
                <w:b/>
                <w:bCs/>
              </w:rPr>
              <w:t xml:space="preserve"> </w:t>
            </w:r>
            <w:r w:rsidR="00522E54">
              <w:rPr>
                <w:b/>
                <w:bCs/>
              </w:rPr>
              <w:t>X.1521,</w:t>
            </w:r>
            <w:r>
              <w:rPr>
                <w:b/>
                <w:bCs/>
              </w:rPr>
              <w:t xml:space="preserve"> </w:t>
            </w:r>
            <w:r w:rsidRPr="00D41B55">
              <w:rPr>
                <w:b/>
                <w:bCs/>
              </w:rPr>
              <w:t>in</w:t>
            </w:r>
            <w:r w:rsidRPr="000305E1">
              <w:rPr>
                <w:b/>
                <w:bCs/>
              </w:rPr>
              <w:t xml:space="preserve"> accordance with the provisions of Resolution 1, Section 9, of WTSA (Dubai, 2012)</w:t>
            </w:r>
            <w:r w:rsidR="00626A54">
              <w:rPr>
                <w:b/>
                <w:bCs/>
              </w:rPr>
              <w:t xml:space="preserve"> </w:t>
            </w:r>
            <w:r w:rsidRPr="000305E1">
              <w:rPr>
                <w:b/>
                <w:bCs/>
              </w:rPr>
              <w:t xml:space="preserve">Geneva, </w:t>
            </w:r>
            <w:r w:rsidR="00C265F7">
              <w:rPr>
                <w:b/>
                <w:bCs/>
              </w:rPr>
              <w:t>23</w:t>
            </w:r>
            <w:r w:rsidR="00EC05AA">
              <w:rPr>
                <w:b/>
                <w:bCs/>
              </w:rPr>
              <w:t xml:space="preserve"> March 2016</w:t>
            </w:r>
          </w:p>
        </w:tc>
      </w:tr>
    </w:tbl>
    <w:p w14:paraId="01173A1F" w14:textId="77777777" w:rsidR="0005218B" w:rsidRPr="0005218B" w:rsidRDefault="0005218B" w:rsidP="0043796D">
      <w:pPr>
        <w:tabs>
          <w:tab w:val="clear" w:pos="1985"/>
          <w:tab w:val="left" w:pos="3270"/>
        </w:tabs>
        <w:spacing w:before="360"/>
        <w:rPr>
          <w:szCs w:val="22"/>
        </w:rPr>
      </w:pPr>
      <w:bookmarkStart w:id="3" w:name="StartTyping_E"/>
      <w:bookmarkEnd w:id="3"/>
      <w:r w:rsidRPr="0005218B">
        <w:rPr>
          <w:szCs w:val="22"/>
        </w:rPr>
        <w:t>Dear Sir/Madam,</w:t>
      </w:r>
      <w:r w:rsidR="0043796D">
        <w:rPr>
          <w:szCs w:val="22"/>
        </w:rPr>
        <w:tab/>
      </w:r>
    </w:p>
    <w:p w14:paraId="731D7599" w14:textId="77777777" w:rsidR="0005218B" w:rsidRPr="0005218B" w:rsidRDefault="0005218B" w:rsidP="00C304AC">
      <w:pPr>
        <w:spacing w:before="360"/>
        <w:rPr>
          <w:szCs w:val="22"/>
        </w:rPr>
      </w:pPr>
      <w:r w:rsidRPr="0005218B">
        <w:rPr>
          <w:bCs/>
          <w:szCs w:val="22"/>
        </w:rPr>
        <w:t>1</w:t>
      </w:r>
      <w:r w:rsidRPr="0005218B">
        <w:rPr>
          <w:szCs w:val="22"/>
        </w:rPr>
        <w:tab/>
        <w:t xml:space="preserve">At the request of the Chairman of Study Group 17, </w:t>
      </w:r>
      <w:r w:rsidRPr="0005218B">
        <w:rPr>
          <w:i/>
          <w:iCs/>
          <w:szCs w:val="22"/>
        </w:rPr>
        <w:t>Security</w:t>
      </w:r>
      <w:r w:rsidRPr="0005218B">
        <w:rPr>
          <w:szCs w:val="22"/>
        </w:rPr>
        <w:t xml:space="preserve">, I have the honour to inform you that this Study Group, which will meet from </w:t>
      </w:r>
      <w:r w:rsidR="00C304AC">
        <w:rPr>
          <w:szCs w:val="22"/>
        </w:rPr>
        <w:t>14 to 23 March</w:t>
      </w:r>
      <w:r w:rsidRPr="0005218B">
        <w:rPr>
          <w:szCs w:val="22"/>
        </w:rPr>
        <w:t xml:space="preserve"> 201</w:t>
      </w:r>
      <w:r w:rsidR="00C304AC">
        <w:rPr>
          <w:szCs w:val="22"/>
        </w:rPr>
        <w:t>6</w:t>
      </w:r>
      <w:r w:rsidRPr="0005218B">
        <w:rPr>
          <w:szCs w:val="22"/>
        </w:rPr>
        <w:t>, intends to apply the procedure described in Resolution 1, Section 9, of WTSA (Dubai, 2012) for the approval o</w:t>
      </w:r>
      <w:r w:rsidR="00D0793D">
        <w:rPr>
          <w:szCs w:val="22"/>
        </w:rPr>
        <w:t xml:space="preserve">f the above-mentioned draft revised and draft new </w:t>
      </w:r>
      <w:r w:rsidRPr="0005218B">
        <w:rPr>
          <w:szCs w:val="22"/>
        </w:rPr>
        <w:t>Recommendations.</w:t>
      </w:r>
    </w:p>
    <w:p w14:paraId="4C357395" w14:textId="027E5F5A" w:rsidR="0005218B" w:rsidRPr="0005218B" w:rsidRDefault="0005218B" w:rsidP="00D0793D">
      <w:pPr>
        <w:spacing w:before="360"/>
        <w:rPr>
          <w:szCs w:val="22"/>
        </w:rPr>
      </w:pPr>
      <w:r w:rsidRPr="0005218B">
        <w:rPr>
          <w:bCs/>
          <w:szCs w:val="22"/>
        </w:rPr>
        <w:t>2</w:t>
      </w:r>
      <w:r w:rsidRPr="0005218B">
        <w:rPr>
          <w:szCs w:val="22"/>
        </w:rPr>
        <w:tab/>
        <w:t>The title</w:t>
      </w:r>
      <w:r w:rsidR="00D0793D">
        <w:rPr>
          <w:szCs w:val="22"/>
        </w:rPr>
        <w:t>s</w:t>
      </w:r>
      <w:r w:rsidRPr="0005218B">
        <w:rPr>
          <w:szCs w:val="22"/>
        </w:rPr>
        <w:t>, summar</w:t>
      </w:r>
      <w:r w:rsidR="00D0793D">
        <w:rPr>
          <w:szCs w:val="22"/>
        </w:rPr>
        <w:t>ies</w:t>
      </w:r>
      <w:r w:rsidRPr="0005218B">
        <w:rPr>
          <w:szCs w:val="22"/>
        </w:rPr>
        <w:t xml:space="preserve"> and location</w:t>
      </w:r>
      <w:r w:rsidR="00D0793D">
        <w:rPr>
          <w:szCs w:val="22"/>
        </w:rPr>
        <w:t>s</w:t>
      </w:r>
      <w:r w:rsidRPr="0005218B">
        <w:rPr>
          <w:szCs w:val="22"/>
        </w:rPr>
        <w:t xml:space="preserve"> of the draft </w:t>
      </w:r>
      <w:r w:rsidR="00D0793D">
        <w:rPr>
          <w:szCs w:val="22"/>
        </w:rPr>
        <w:t xml:space="preserve">revised and </w:t>
      </w:r>
      <w:r w:rsidR="00014D26">
        <w:rPr>
          <w:szCs w:val="22"/>
        </w:rPr>
        <w:t xml:space="preserve">draft </w:t>
      </w:r>
      <w:r w:rsidRPr="0005218B">
        <w:rPr>
          <w:szCs w:val="22"/>
        </w:rPr>
        <w:t xml:space="preserve">new ITU-T Recommendations proposed for approval will be found in </w:t>
      </w:r>
      <w:r w:rsidRPr="0005218B">
        <w:rPr>
          <w:b/>
          <w:szCs w:val="22"/>
        </w:rPr>
        <w:t>Annex 1</w:t>
      </w:r>
      <w:r w:rsidRPr="0005218B">
        <w:rPr>
          <w:szCs w:val="22"/>
        </w:rPr>
        <w:t>.</w:t>
      </w:r>
    </w:p>
    <w:p w14:paraId="399FEA07" w14:textId="77777777" w:rsidR="0005218B" w:rsidRPr="0005218B" w:rsidRDefault="0005218B" w:rsidP="0005218B">
      <w:pPr>
        <w:spacing w:before="360"/>
        <w:rPr>
          <w:szCs w:val="22"/>
        </w:rPr>
      </w:pPr>
      <w:r w:rsidRPr="0005218B">
        <w:rPr>
          <w:bCs/>
          <w:szCs w:val="22"/>
        </w:rPr>
        <w:t>3</w:t>
      </w:r>
      <w:r w:rsidRPr="0005218B">
        <w:rPr>
          <w:szCs w:val="22"/>
        </w:rPr>
        <w:tab/>
        <w:t>Any ITU Member State, Sector Member, Associate or Academic Institution aware of a patent held by itself or others which may fully or partly cover elements of the draft Recommendation</w:t>
      </w:r>
      <w:r w:rsidR="00D0793D">
        <w:rPr>
          <w:szCs w:val="22"/>
        </w:rPr>
        <w:t>s</w:t>
      </w:r>
      <w:r w:rsidRPr="0005218B">
        <w:rPr>
          <w:szCs w:val="22"/>
        </w:rPr>
        <w:t xml:space="preserve"> proposed for approval is requested to disclose such information to TSB, in accordance with the Common Patent Policy for ITU-T/ITU-R/ISO/IEC.</w:t>
      </w:r>
    </w:p>
    <w:p w14:paraId="46E1F2A6" w14:textId="77777777" w:rsidR="0005218B" w:rsidRPr="0005218B" w:rsidRDefault="0005218B" w:rsidP="0005218B">
      <w:pPr>
        <w:spacing w:before="360"/>
        <w:rPr>
          <w:szCs w:val="22"/>
        </w:rPr>
      </w:pPr>
      <w:r w:rsidRPr="0005218B">
        <w:rPr>
          <w:szCs w:val="22"/>
        </w:rPr>
        <w:t>Available patent information can be accessed on</w:t>
      </w:r>
      <w:r w:rsidRPr="0005218B">
        <w:rPr>
          <w:szCs w:val="22"/>
        </w:rPr>
        <w:noBreakHyphen/>
        <w:t>line via the ITU</w:t>
      </w:r>
      <w:r w:rsidRPr="0005218B">
        <w:rPr>
          <w:szCs w:val="22"/>
        </w:rPr>
        <w:noBreakHyphen/>
        <w:t>T website (</w:t>
      </w:r>
      <w:hyperlink r:id="rId11" w:history="1">
        <w:r w:rsidRPr="0005218B">
          <w:rPr>
            <w:rStyle w:val="Hyperlink"/>
            <w:szCs w:val="22"/>
          </w:rPr>
          <w:t>www.itu.int/ipr/</w:t>
        </w:r>
      </w:hyperlink>
      <w:r w:rsidRPr="0005218B">
        <w:rPr>
          <w:szCs w:val="22"/>
        </w:rPr>
        <w:t>).</w:t>
      </w:r>
    </w:p>
    <w:p w14:paraId="6526978E" w14:textId="496BCAC5" w:rsidR="0005218B" w:rsidRPr="0005218B" w:rsidRDefault="0005218B" w:rsidP="00CF3625">
      <w:pPr>
        <w:spacing w:before="360"/>
        <w:rPr>
          <w:szCs w:val="22"/>
        </w:rPr>
      </w:pPr>
      <w:r w:rsidRPr="0005218B">
        <w:rPr>
          <w:bCs/>
          <w:szCs w:val="22"/>
        </w:rPr>
        <w:br w:type="page"/>
      </w:r>
      <w:r w:rsidRPr="0005218B">
        <w:rPr>
          <w:bCs/>
          <w:szCs w:val="22"/>
        </w:rPr>
        <w:lastRenderedPageBreak/>
        <w:t>4</w:t>
      </w:r>
      <w:r w:rsidRPr="0005218B">
        <w:rPr>
          <w:szCs w:val="22"/>
        </w:rPr>
        <w:tab/>
        <w:t xml:space="preserve">Having regard to the provisions of Resolution 1, Section 9, I should be grateful if you would inform me by 2400 hours UTC </w:t>
      </w:r>
      <w:r w:rsidRPr="00A217D3">
        <w:rPr>
          <w:b/>
          <w:szCs w:val="22"/>
        </w:rPr>
        <w:t>on 2</w:t>
      </w:r>
      <w:r w:rsidR="00A217D3" w:rsidRPr="00A217D3">
        <w:rPr>
          <w:b/>
          <w:szCs w:val="22"/>
        </w:rPr>
        <w:t xml:space="preserve"> March</w:t>
      </w:r>
      <w:r w:rsidRPr="00A217D3">
        <w:rPr>
          <w:b/>
          <w:szCs w:val="22"/>
        </w:rPr>
        <w:t xml:space="preserve"> 201</w:t>
      </w:r>
      <w:r w:rsidR="008A270F" w:rsidRPr="00A217D3">
        <w:rPr>
          <w:b/>
          <w:szCs w:val="22"/>
        </w:rPr>
        <w:t>6</w:t>
      </w:r>
      <w:r w:rsidRPr="00A217D3">
        <w:rPr>
          <w:szCs w:val="22"/>
        </w:rPr>
        <w:t xml:space="preserve"> whether your Administration assigns authority to Study Group 17 that th</w:t>
      </w:r>
      <w:r w:rsidR="00CF3625">
        <w:rPr>
          <w:szCs w:val="22"/>
        </w:rPr>
        <w:t>ese</w:t>
      </w:r>
      <w:r w:rsidRPr="0005218B">
        <w:rPr>
          <w:szCs w:val="22"/>
        </w:rPr>
        <w:t xml:space="preserve"> draft new </w:t>
      </w:r>
      <w:r w:rsidR="00CF3625">
        <w:rPr>
          <w:szCs w:val="22"/>
        </w:rPr>
        <w:t xml:space="preserve">and revised </w:t>
      </w:r>
      <w:r w:rsidRPr="0005218B">
        <w:rPr>
          <w:szCs w:val="22"/>
        </w:rPr>
        <w:t>Recommendation</w:t>
      </w:r>
      <w:r w:rsidR="00CF3625">
        <w:rPr>
          <w:szCs w:val="22"/>
        </w:rPr>
        <w:t>s</w:t>
      </w:r>
      <w:r w:rsidRPr="0005218B">
        <w:rPr>
          <w:szCs w:val="22"/>
        </w:rPr>
        <w:t xml:space="preserve"> should be considered for approval at the Study Group meeting.</w:t>
      </w:r>
    </w:p>
    <w:p w14:paraId="149106D8" w14:textId="77777777" w:rsidR="0005218B" w:rsidRPr="0005218B" w:rsidRDefault="0005218B" w:rsidP="0005218B">
      <w:pPr>
        <w:spacing w:before="360"/>
        <w:rPr>
          <w:szCs w:val="22"/>
        </w:rPr>
      </w:pPr>
      <w:r w:rsidRPr="0005218B">
        <w:rPr>
          <w:szCs w:val="22"/>
        </w:rPr>
        <w:tab/>
        <w:t xml:space="preserve">Should any Member States be of the opinion that consideration for approval should not proceed, they should advise their reasons for disapproving and indicate the possible changes that would facilitate further consideration and approval of the draft </w:t>
      </w:r>
      <w:r w:rsidR="00D0793D">
        <w:rPr>
          <w:szCs w:val="22"/>
        </w:rPr>
        <w:t xml:space="preserve">revised or </w:t>
      </w:r>
      <w:r w:rsidRPr="0005218B">
        <w:rPr>
          <w:szCs w:val="22"/>
        </w:rPr>
        <w:t>new Recommendation</w:t>
      </w:r>
      <w:r w:rsidR="00D0793D">
        <w:rPr>
          <w:szCs w:val="22"/>
        </w:rPr>
        <w:t>s</w:t>
      </w:r>
      <w:r w:rsidRPr="0005218B">
        <w:rPr>
          <w:szCs w:val="22"/>
        </w:rPr>
        <w:t>.</w:t>
      </w:r>
    </w:p>
    <w:p w14:paraId="1AC0414C" w14:textId="0B83FBCD" w:rsidR="0005218B" w:rsidRPr="0005218B" w:rsidRDefault="0005218B" w:rsidP="008F4E7C">
      <w:pPr>
        <w:spacing w:before="360"/>
        <w:rPr>
          <w:szCs w:val="22"/>
        </w:rPr>
      </w:pPr>
      <w:r w:rsidRPr="0005218B">
        <w:rPr>
          <w:bCs/>
          <w:szCs w:val="22"/>
        </w:rPr>
        <w:t>5</w:t>
      </w:r>
      <w:r w:rsidRPr="0005218B">
        <w:rPr>
          <w:szCs w:val="22"/>
        </w:rPr>
        <w:tab/>
        <w:t xml:space="preserve">If 70% or more of the replies from Member States support consideration for approval of these draft new </w:t>
      </w:r>
      <w:r w:rsidR="00152106">
        <w:rPr>
          <w:szCs w:val="22"/>
        </w:rPr>
        <w:t xml:space="preserve">and revised </w:t>
      </w:r>
      <w:r w:rsidRPr="0005218B">
        <w:rPr>
          <w:szCs w:val="22"/>
        </w:rPr>
        <w:t xml:space="preserve">Recommendations at the Study Group meeting, one Plenary session will be devoted </w:t>
      </w:r>
      <w:r w:rsidR="008F4E7C">
        <w:rPr>
          <w:b/>
          <w:szCs w:val="22"/>
        </w:rPr>
        <w:t>on 23 March</w:t>
      </w:r>
      <w:r w:rsidRPr="0005218B">
        <w:rPr>
          <w:b/>
          <w:szCs w:val="22"/>
        </w:rPr>
        <w:t xml:space="preserve"> 201</w:t>
      </w:r>
      <w:r w:rsidR="008F4E7C">
        <w:rPr>
          <w:b/>
          <w:szCs w:val="22"/>
        </w:rPr>
        <w:t>6</w:t>
      </w:r>
      <w:r w:rsidRPr="0005218B">
        <w:rPr>
          <w:szCs w:val="22"/>
        </w:rPr>
        <w:t xml:space="preserve"> to apply the approval procedure.</w:t>
      </w:r>
    </w:p>
    <w:p w14:paraId="5C95B642" w14:textId="77777777" w:rsidR="0005218B" w:rsidRPr="0005218B" w:rsidRDefault="0005218B" w:rsidP="0005218B">
      <w:pPr>
        <w:spacing w:before="360"/>
        <w:rPr>
          <w:szCs w:val="22"/>
        </w:rPr>
      </w:pPr>
      <w:r w:rsidRPr="0005218B">
        <w:rPr>
          <w:szCs w:val="22"/>
        </w:rPr>
        <w:t xml:space="preserve">I accordingly invite your Administration to send a representative to the meeting. </w:t>
      </w:r>
      <w:r w:rsidRPr="0005218B">
        <w:rPr>
          <w:b/>
          <w:szCs w:val="22"/>
        </w:rPr>
        <w:t>The Administrations of Member States of the Union</w:t>
      </w:r>
      <w:r w:rsidRPr="0005218B">
        <w:rPr>
          <w:szCs w:val="22"/>
        </w:rPr>
        <w:t xml:space="preserve"> are invited to supply the name of the head of their delegation. If your Administration wishes to be represented at the meeting by a recognized operating agency, a scientific or industrial organization or another entity dealing with telecommunication matters, the Director should be duly informed, in accordance with Article 19, No. 239, of the ITU Convention.</w:t>
      </w:r>
    </w:p>
    <w:p w14:paraId="767DDDE9" w14:textId="77777777" w:rsidR="0005218B" w:rsidRPr="0005218B" w:rsidRDefault="0005218B" w:rsidP="00C51FD0">
      <w:pPr>
        <w:spacing w:before="360"/>
        <w:rPr>
          <w:szCs w:val="22"/>
        </w:rPr>
      </w:pPr>
      <w:r w:rsidRPr="0005218B">
        <w:rPr>
          <w:bCs/>
          <w:szCs w:val="22"/>
        </w:rPr>
        <w:t>6</w:t>
      </w:r>
      <w:r w:rsidRPr="0005218B">
        <w:rPr>
          <w:szCs w:val="22"/>
        </w:rPr>
        <w:tab/>
        <w:t xml:space="preserve">The agenda and all relevant information concerning the Study Group 17 meeting will be available from Collective letter </w:t>
      </w:r>
      <w:r w:rsidR="00C51FD0">
        <w:rPr>
          <w:szCs w:val="22"/>
        </w:rPr>
        <w:t>7</w:t>
      </w:r>
      <w:r w:rsidRPr="0005218B">
        <w:rPr>
          <w:szCs w:val="22"/>
        </w:rPr>
        <w:t>/17.</w:t>
      </w:r>
    </w:p>
    <w:p w14:paraId="55B72EFA" w14:textId="77777777" w:rsidR="0005218B" w:rsidRPr="0005218B" w:rsidRDefault="0005218B" w:rsidP="0005218B">
      <w:pPr>
        <w:spacing w:before="360"/>
        <w:rPr>
          <w:szCs w:val="22"/>
        </w:rPr>
      </w:pPr>
      <w:r w:rsidRPr="0005218B">
        <w:rPr>
          <w:bCs/>
          <w:szCs w:val="22"/>
        </w:rPr>
        <w:t>7</w:t>
      </w:r>
      <w:r w:rsidRPr="0005218B">
        <w:rPr>
          <w:szCs w:val="22"/>
        </w:rPr>
        <w:tab/>
        <w:t>After the meeting, the Director of TSB will notify, in a circular, the decision taken on these Recommendations. This information will also be published in the ITU Operational Bulletin.</w:t>
      </w:r>
    </w:p>
    <w:p w14:paraId="6F92060F" w14:textId="77777777" w:rsidR="0005218B" w:rsidRPr="0005218B" w:rsidRDefault="0005218B" w:rsidP="0005218B">
      <w:pPr>
        <w:spacing w:before="360"/>
        <w:rPr>
          <w:szCs w:val="22"/>
        </w:rPr>
      </w:pPr>
      <w:r w:rsidRPr="0005218B">
        <w:rPr>
          <w:szCs w:val="22"/>
        </w:rPr>
        <w:t>Yours faithfully,</w:t>
      </w:r>
    </w:p>
    <w:p w14:paraId="4FFF541A" w14:textId="77777777" w:rsidR="0005218B" w:rsidRPr="0005218B" w:rsidRDefault="00096901" w:rsidP="0005218B">
      <w:pPr>
        <w:spacing w:before="1560"/>
        <w:rPr>
          <w:szCs w:val="22"/>
        </w:rPr>
      </w:pPr>
      <w:r>
        <w:rPr>
          <w:szCs w:val="22"/>
          <w:lang w:val="en-US"/>
        </w:rPr>
        <w:t>Chaes</w:t>
      </w:r>
      <w:r w:rsidR="0005218B" w:rsidRPr="0005218B">
        <w:rPr>
          <w:szCs w:val="22"/>
          <w:lang w:val="en-US"/>
        </w:rPr>
        <w:t>ub Lee</w:t>
      </w:r>
      <w:r w:rsidR="0005218B" w:rsidRPr="0005218B">
        <w:rPr>
          <w:szCs w:val="22"/>
        </w:rPr>
        <w:br/>
        <w:t>Director of the Telecommunication</w:t>
      </w:r>
      <w:r w:rsidR="0005218B" w:rsidRPr="0005218B">
        <w:rPr>
          <w:szCs w:val="22"/>
        </w:rPr>
        <w:br/>
        <w:t>Standardization Bureau</w:t>
      </w:r>
    </w:p>
    <w:p w14:paraId="114A3D98" w14:textId="77777777" w:rsidR="0005218B" w:rsidRPr="0005218B" w:rsidRDefault="0005218B" w:rsidP="0005218B">
      <w:pPr>
        <w:spacing w:before="360"/>
        <w:rPr>
          <w:szCs w:val="22"/>
        </w:rPr>
      </w:pPr>
      <w:r w:rsidRPr="0005218B">
        <w:rPr>
          <w:b/>
          <w:szCs w:val="22"/>
        </w:rPr>
        <w:t>Annex</w:t>
      </w:r>
      <w:r w:rsidRPr="0005218B">
        <w:rPr>
          <w:szCs w:val="22"/>
        </w:rPr>
        <w:t>:</w:t>
      </w:r>
      <w:r w:rsidRPr="0005218B">
        <w:rPr>
          <w:szCs w:val="22"/>
        </w:rPr>
        <w:tab/>
      </w:r>
      <w:r w:rsidRPr="00626A54">
        <w:rPr>
          <w:b/>
          <w:bCs/>
          <w:szCs w:val="22"/>
        </w:rPr>
        <w:t>1</w:t>
      </w:r>
    </w:p>
    <w:p w14:paraId="6829A305" w14:textId="77777777" w:rsidR="0005218B" w:rsidRPr="00626A54" w:rsidRDefault="0005218B" w:rsidP="00370771">
      <w:pPr>
        <w:spacing w:before="360"/>
        <w:jc w:val="center"/>
        <w:rPr>
          <w:lang w:val="en-US"/>
        </w:rPr>
      </w:pPr>
      <w:r w:rsidRPr="0005218B">
        <w:rPr>
          <w:b/>
          <w:bCs/>
          <w:szCs w:val="22"/>
          <w:lang w:val="en-US"/>
        </w:rPr>
        <w:br w:type="page"/>
      </w:r>
      <w:r w:rsidR="00C51FD0" w:rsidRPr="00626A54">
        <w:rPr>
          <w:lang w:val="en-US"/>
        </w:rPr>
        <w:lastRenderedPageBreak/>
        <w:t>ANNEX 1</w:t>
      </w:r>
      <w:r w:rsidR="00C51FD0" w:rsidRPr="00626A54">
        <w:rPr>
          <w:lang w:val="en-US"/>
        </w:rPr>
        <w:br/>
        <w:t xml:space="preserve">(to TSB Circular </w:t>
      </w:r>
      <w:r w:rsidR="00632634" w:rsidRPr="00626A54">
        <w:rPr>
          <w:lang w:val="en-US"/>
        </w:rPr>
        <w:t>174</w:t>
      </w:r>
      <w:r w:rsidRPr="00626A54">
        <w:rPr>
          <w:lang w:val="en-US"/>
        </w:rPr>
        <w:t>)</w:t>
      </w:r>
    </w:p>
    <w:p w14:paraId="205FD681" w14:textId="77777777" w:rsidR="0005218B" w:rsidRPr="0005218B" w:rsidRDefault="0005218B" w:rsidP="0005218B">
      <w:pPr>
        <w:pStyle w:val="AppendixRef0"/>
        <w:spacing w:before="0"/>
        <w:rPr>
          <w:rFonts w:asciiTheme="minorHAnsi" w:hAnsiTheme="minorHAnsi"/>
          <w:b/>
          <w:bCs/>
          <w:lang w:val="en-US"/>
        </w:rPr>
      </w:pPr>
      <w:r w:rsidRPr="0005218B">
        <w:rPr>
          <w:rFonts w:asciiTheme="minorHAnsi" w:hAnsiTheme="minorHAnsi"/>
          <w:b/>
          <w:bCs/>
          <w:lang w:val="en-US"/>
        </w:rPr>
        <w:t>Summary and location of the texts</w:t>
      </w:r>
    </w:p>
    <w:p w14:paraId="17B4C49E" w14:textId="77777777" w:rsidR="0005218B" w:rsidRPr="005D0E19" w:rsidRDefault="0088798E" w:rsidP="0088798E">
      <w:pPr>
        <w:spacing w:before="240"/>
        <w:rPr>
          <w:b/>
          <w:bCs/>
          <w:sz w:val="28"/>
          <w:szCs w:val="28"/>
          <w:lang w:val="en-US"/>
        </w:rPr>
      </w:pPr>
      <w:r w:rsidRPr="0088798E">
        <w:rPr>
          <w:b/>
          <w:bCs/>
          <w:lang w:val="en-US"/>
        </w:rPr>
        <w:t>Draft new Recommendation ITU-T X.1247 (X.tfcmm)</w:t>
      </w:r>
      <w:r>
        <w:rPr>
          <w:b/>
          <w:bCs/>
          <w:lang w:val="en-US"/>
        </w:rPr>
        <w:t xml:space="preserve">, </w:t>
      </w:r>
      <w:r w:rsidRPr="0088798E">
        <w:rPr>
          <w:b/>
          <w:bCs/>
          <w:lang w:val="en-US"/>
        </w:rPr>
        <w:t>Technical framework for countering mobile messaging spam</w:t>
      </w:r>
      <w:r w:rsidR="0005218B" w:rsidRPr="005D0E19">
        <w:rPr>
          <w:b/>
          <w:bCs/>
          <w:lang w:val="en-US"/>
        </w:rPr>
        <w:br/>
      </w:r>
      <w:r w:rsidR="0005218B" w:rsidRPr="00C540DD">
        <w:rPr>
          <w:b/>
          <w:bCs/>
          <w:szCs w:val="24"/>
          <w:lang w:val="en-US"/>
        </w:rPr>
        <w:t xml:space="preserve">COM 17 – R </w:t>
      </w:r>
      <w:r>
        <w:rPr>
          <w:b/>
          <w:bCs/>
          <w:szCs w:val="24"/>
          <w:lang w:val="en-US"/>
        </w:rPr>
        <w:t>50</w:t>
      </w:r>
    </w:p>
    <w:p w14:paraId="0CE7AC41" w14:textId="77777777" w:rsidR="0005218B" w:rsidRPr="005D0E19" w:rsidRDefault="0005218B" w:rsidP="0005218B">
      <w:pPr>
        <w:rPr>
          <w:b/>
          <w:lang w:val="en-US"/>
        </w:rPr>
      </w:pPr>
      <w:r w:rsidRPr="005D0E19">
        <w:rPr>
          <w:b/>
          <w:lang w:val="en-US"/>
        </w:rPr>
        <w:t>Summary</w:t>
      </w:r>
    </w:p>
    <w:p w14:paraId="2EC7FEB3" w14:textId="77777777" w:rsidR="0005218B" w:rsidRDefault="0088798E" w:rsidP="009B5C06">
      <w:pPr>
        <w:spacing w:after="120"/>
        <w:rPr>
          <w:szCs w:val="24"/>
          <w:lang w:eastAsia="ko-KR"/>
        </w:rPr>
      </w:pPr>
      <w:r w:rsidRPr="0088798E">
        <w:rPr>
          <w:szCs w:val="24"/>
          <w:lang w:eastAsia="ko-KR"/>
        </w:rPr>
        <w:t>Mobile messaging spam is proliferating dramatically along with the fast development of mobile messaging services. Unfortunately, no single measure has proved to be the silver bullet against mobile messaging spam. Therefore, it is necessary to establish a practical framework for countering mobile messaging spam. Recommendation ITU-T X.1247 gives an overview of mobile messaging anti-spam processes, and proposes a technical framework for countering mobile messaging spam. Entity functions and processing procedures are specified in this framework. In addition, this Recommendation provides information sharing mechanisms against mobile messaging spam within the anti-spam domain and among anti-spam domains.</w:t>
      </w:r>
    </w:p>
    <w:p w14:paraId="4982DEA3" w14:textId="77777777" w:rsidR="0005218B" w:rsidRPr="00CE588B" w:rsidRDefault="0005218B" w:rsidP="00CE588B">
      <w:pPr>
        <w:spacing w:before="240"/>
        <w:rPr>
          <w:b/>
          <w:bCs/>
          <w:lang w:val="en-US"/>
        </w:rPr>
      </w:pPr>
      <w:r w:rsidRPr="00CE588B">
        <w:rPr>
          <w:b/>
          <w:bCs/>
          <w:lang w:val="en-US"/>
        </w:rPr>
        <w:t xml:space="preserve">Draft new Recommendation ITU-T </w:t>
      </w:r>
      <w:r w:rsidR="00CE588B" w:rsidRPr="00CE588B">
        <w:rPr>
          <w:b/>
          <w:bCs/>
          <w:lang w:val="en-US"/>
        </w:rPr>
        <w:t>X.1256 (X.authi), Guidelines and framework for sharing network authentication results with service applications</w:t>
      </w:r>
      <w:r w:rsidRPr="00CE588B">
        <w:rPr>
          <w:b/>
          <w:bCs/>
          <w:lang w:val="en-US"/>
        </w:rPr>
        <w:br/>
      </w:r>
      <w:r w:rsidR="00CE588B" w:rsidRPr="00CE588B">
        <w:rPr>
          <w:b/>
          <w:bCs/>
          <w:szCs w:val="24"/>
          <w:lang w:val="en-US"/>
        </w:rPr>
        <w:t>COM 17 – R 54</w:t>
      </w:r>
    </w:p>
    <w:p w14:paraId="3CA3E33D" w14:textId="77777777" w:rsidR="0005218B" w:rsidRPr="00CE588B" w:rsidRDefault="0005218B" w:rsidP="0005218B">
      <w:pPr>
        <w:rPr>
          <w:b/>
          <w:lang w:val="en-US"/>
        </w:rPr>
      </w:pPr>
      <w:r w:rsidRPr="00CE588B">
        <w:rPr>
          <w:b/>
          <w:lang w:val="en-US"/>
        </w:rPr>
        <w:t>Summary</w:t>
      </w:r>
    </w:p>
    <w:p w14:paraId="765174B2" w14:textId="77777777" w:rsidR="00CE588B" w:rsidRPr="00CE588B" w:rsidRDefault="00CE588B" w:rsidP="00CE588B">
      <w:pPr>
        <w:rPr>
          <w:rFonts w:eastAsia="SimSun"/>
          <w:lang w:eastAsia="zh-CN"/>
        </w:rPr>
      </w:pPr>
      <w:r w:rsidRPr="00CE588B">
        <w:rPr>
          <w:rFonts w:eastAsia="SimSun"/>
          <w:lang w:eastAsia="zh-CN"/>
        </w:rPr>
        <w:t>With the surge of mobile devices and applications accessing the Internet, the network and the service environment are becoming increasingly complicated. As a result, there is a pressing need to simplify the user authentication mechanism to improve user experience and service quality.</w:t>
      </w:r>
    </w:p>
    <w:p w14:paraId="2DF6D331" w14:textId="77777777" w:rsidR="00CE588B" w:rsidRPr="00CE588B" w:rsidRDefault="00CE588B" w:rsidP="00CE588B">
      <w:pPr>
        <w:rPr>
          <w:rFonts w:eastAsia="SimSun"/>
          <w:lang w:eastAsia="zh-CN"/>
        </w:rPr>
      </w:pPr>
      <w:r w:rsidRPr="00CE588B">
        <w:rPr>
          <w:rFonts w:eastAsia="SimSun"/>
          <w:lang w:eastAsia="zh-CN"/>
        </w:rPr>
        <w:t>Many standardization organizations including ITU-T have conducted a lot of research work on the unified authentication mechanism (i.e., single sign-on). However, all the current work is basically focused on unified authentication among the service applications, without considering the relationship with the network authentication.</w:t>
      </w:r>
    </w:p>
    <w:p w14:paraId="7110C275" w14:textId="77777777" w:rsidR="00CE588B" w:rsidRPr="00CE588B" w:rsidRDefault="00CE588B" w:rsidP="00CE588B">
      <w:pPr>
        <w:rPr>
          <w:rFonts w:eastAsia="SimSun"/>
          <w:lang w:eastAsia="zh-CN"/>
        </w:rPr>
      </w:pPr>
      <w:r w:rsidRPr="00CE588B">
        <w:rPr>
          <w:rFonts w:eastAsia="SimSun"/>
          <w:lang w:eastAsia="zh-CN"/>
        </w:rPr>
        <w:t>From the network operator's perspective, users undergo some forms of network authentication when they access the network, however, when they log in again to request access to a service their initial network authentication is not reused anymore. When adopting an authentication results sharing mechanism between the service and the network, the service applications can identify a user by using the authentication results from the network. Such mechanism allows a user to be authenticated only once by the network and directly gain access to the service.</w:t>
      </w:r>
    </w:p>
    <w:p w14:paraId="2B010388" w14:textId="77777777" w:rsidR="0005218B" w:rsidRPr="00CE588B" w:rsidRDefault="00CE588B" w:rsidP="00CE588B">
      <w:pPr>
        <w:rPr>
          <w:rFonts w:eastAsia="SimSun"/>
          <w:lang w:eastAsia="zh-CN"/>
        </w:rPr>
      </w:pPr>
      <w:r w:rsidRPr="00CE588B">
        <w:rPr>
          <w:rFonts w:eastAsia="SimSun"/>
          <w:lang w:eastAsia="zh-CN"/>
        </w:rPr>
        <w:lastRenderedPageBreak/>
        <w:t>Recommendation ITU-T X.1256 develops guidelines for network operators and service providers to share network authentication results, and provides a framework for sharing minimum attributes across multiple services within an established trust relationship.</w:t>
      </w:r>
    </w:p>
    <w:p w14:paraId="60F14A27" w14:textId="77777777" w:rsidR="0005218B" w:rsidRPr="004B4EF5" w:rsidRDefault="0005218B" w:rsidP="004B4EF5">
      <w:pPr>
        <w:spacing w:before="240"/>
        <w:rPr>
          <w:b/>
          <w:bCs/>
          <w:lang w:val="en-US"/>
        </w:rPr>
      </w:pPr>
      <w:r w:rsidRPr="004B4EF5">
        <w:rPr>
          <w:b/>
          <w:bCs/>
          <w:lang w:val="en-US"/>
        </w:rPr>
        <w:t xml:space="preserve">Draft new Recommendation ITU-T </w:t>
      </w:r>
      <w:r w:rsidR="004B4EF5" w:rsidRPr="004B4EF5">
        <w:rPr>
          <w:b/>
          <w:bCs/>
          <w:lang w:val="en-US"/>
        </w:rPr>
        <w:t>X.1257 (X.iamt)</w:t>
      </w:r>
      <w:r w:rsidR="004B4EF5">
        <w:rPr>
          <w:b/>
          <w:bCs/>
          <w:lang w:val="en-US"/>
        </w:rPr>
        <w:t xml:space="preserve">, </w:t>
      </w:r>
      <w:r w:rsidR="004B4EF5" w:rsidRPr="004B4EF5">
        <w:rPr>
          <w:b/>
          <w:bCs/>
          <w:lang w:val="en-US"/>
        </w:rPr>
        <w:t>Identity and access management taxonomy</w:t>
      </w:r>
      <w:r w:rsidR="004B4EF5">
        <w:rPr>
          <w:b/>
          <w:bCs/>
          <w:highlight w:val="yellow"/>
          <w:lang w:val="en-US"/>
        </w:rPr>
        <w:br/>
      </w:r>
      <w:r w:rsidR="004B4EF5" w:rsidRPr="004B4EF5">
        <w:rPr>
          <w:b/>
          <w:bCs/>
          <w:lang w:val="en-US"/>
        </w:rPr>
        <w:t>COM 17 – R 5</w:t>
      </w:r>
      <w:r w:rsidRPr="004B4EF5">
        <w:rPr>
          <w:b/>
          <w:bCs/>
          <w:lang w:val="en-US"/>
        </w:rPr>
        <w:t>5</w:t>
      </w:r>
    </w:p>
    <w:p w14:paraId="23B69A87" w14:textId="77777777" w:rsidR="0005218B" w:rsidRPr="004B4EF5" w:rsidRDefault="0005218B" w:rsidP="0005218B">
      <w:pPr>
        <w:rPr>
          <w:b/>
          <w:lang w:val="en-US"/>
        </w:rPr>
      </w:pPr>
      <w:r w:rsidRPr="004B4EF5">
        <w:rPr>
          <w:b/>
          <w:lang w:val="en-US"/>
        </w:rPr>
        <w:t>Summary</w:t>
      </w:r>
    </w:p>
    <w:p w14:paraId="2F52F726" w14:textId="77777777" w:rsidR="0005218B" w:rsidRDefault="002D35C7" w:rsidP="00D17015">
      <w:r w:rsidRPr="002D35C7">
        <w:t>Recommendation ITU-T X.1257 develops a specification to ensure that necessary business meaning is assigned to IAM roles and permissions and that this business meaning is traceable and reference-able throughout IAM process lifecycle so that permissions can be efficiently assigned to user, separation of duties (SoD) controls successfully implemented across applications, and access review and reconciliation processes can be carried out efficiently.</w:t>
      </w:r>
    </w:p>
    <w:p w14:paraId="1CE038EF" w14:textId="77777777" w:rsidR="00DB205C" w:rsidRPr="004B4EF5" w:rsidRDefault="00DB205C" w:rsidP="006A45F7">
      <w:pPr>
        <w:spacing w:before="240"/>
        <w:rPr>
          <w:b/>
          <w:bCs/>
          <w:lang w:val="en-US"/>
        </w:rPr>
      </w:pPr>
      <w:r w:rsidRPr="004B4EF5">
        <w:rPr>
          <w:b/>
          <w:bCs/>
          <w:lang w:val="en-US"/>
        </w:rPr>
        <w:t xml:space="preserve">Draft </w:t>
      </w:r>
      <w:r w:rsidR="006A45F7">
        <w:rPr>
          <w:b/>
          <w:bCs/>
          <w:lang w:val="en-US"/>
        </w:rPr>
        <w:t>revised</w:t>
      </w:r>
      <w:r w:rsidRPr="004B4EF5">
        <w:rPr>
          <w:b/>
          <w:bCs/>
          <w:lang w:val="en-US"/>
        </w:rPr>
        <w:t xml:space="preserve"> Recommendation ITU-T </w:t>
      </w:r>
      <w:r w:rsidRPr="00DB205C">
        <w:rPr>
          <w:b/>
          <w:bCs/>
          <w:lang w:val="en-US"/>
        </w:rPr>
        <w:t>X.1521 (X.cvss)</w:t>
      </w:r>
      <w:r>
        <w:rPr>
          <w:b/>
          <w:bCs/>
          <w:lang w:val="en-US"/>
        </w:rPr>
        <w:t xml:space="preserve">, </w:t>
      </w:r>
      <w:r w:rsidRPr="00DB205C">
        <w:rPr>
          <w:b/>
          <w:bCs/>
          <w:lang w:val="en-US"/>
        </w:rPr>
        <w:t>Common vulnerability scoring system 3.0</w:t>
      </w:r>
      <w:r>
        <w:rPr>
          <w:b/>
          <w:bCs/>
          <w:highlight w:val="yellow"/>
          <w:lang w:val="en-US"/>
        </w:rPr>
        <w:br/>
      </w:r>
      <w:r w:rsidR="00473787">
        <w:rPr>
          <w:b/>
          <w:bCs/>
          <w:lang w:val="en-US"/>
        </w:rPr>
        <w:t>COM 17 – R 49</w:t>
      </w:r>
    </w:p>
    <w:p w14:paraId="60F4F147" w14:textId="77777777" w:rsidR="00DB205C" w:rsidRPr="004B4EF5" w:rsidRDefault="00DB205C" w:rsidP="00DB205C">
      <w:pPr>
        <w:rPr>
          <w:b/>
          <w:lang w:val="en-US"/>
        </w:rPr>
      </w:pPr>
      <w:r w:rsidRPr="004B4EF5">
        <w:rPr>
          <w:b/>
          <w:lang w:val="en-US"/>
        </w:rPr>
        <w:t>Summary</w:t>
      </w:r>
    </w:p>
    <w:p w14:paraId="2FD9236F" w14:textId="77777777" w:rsidR="00DB205C" w:rsidRDefault="00212756" w:rsidP="006B6C1F">
      <w:r w:rsidRPr="00212756">
        <w:t>Recommendation ITU-T X.1521 on the common vulnerability scoring system (CVSS) provides an open framework for communicating the characteristics and impacts of information and communication technologies (ICT) vulnerabilities in the commercial or open source software used in communications networks, end user devices, or any of the other types of ICT capable of running software. The goal of the Recommendation is to enable ICT managers, vulnerability bulletin providers, security vendors, application vendors and researchers to speak from a common language of scoring ICT vulnerabilities.</w:t>
      </w:r>
    </w:p>
    <w:p w14:paraId="38312FB8" w14:textId="77777777" w:rsidR="00D50AEC" w:rsidRPr="004B4EF5" w:rsidRDefault="00D50AEC" w:rsidP="00D50AEC">
      <w:pPr>
        <w:spacing w:before="240"/>
        <w:rPr>
          <w:b/>
          <w:bCs/>
          <w:lang w:val="en-US"/>
        </w:rPr>
      </w:pPr>
      <w:r w:rsidRPr="004B4EF5">
        <w:rPr>
          <w:b/>
          <w:bCs/>
          <w:lang w:val="en-US"/>
        </w:rPr>
        <w:t xml:space="preserve">Draft new Recommendation ITU-T </w:t>
      </w:r>
      <w:r w:rsidRPr="00D50AEC">
        <w:rPr>
          <w:b/>
          <w:bCs/>
          <w:lang w:val="en-US"/>
        </w:rPr>
        <w:t>X.1602 (X.sfcse)</w:t>
      </w:r>
      <w:r>
        <w:rPr>
          <w:b/>
          <w:bCs/>
          <w:lang w:val="en-US"/>
        </w:rPr>
        <w:t xml:space="preserve">, </w:t>
      </w:r>
      <w:r w:rsidRPr="00D50AEC">
        <w:rPr>
          <w:b/>
          <w:bCs/>
          <w:lang w:val="en-US"/>
        </w:rPr>
        <w:t>Security requirements for software as a service application environments</w:t>
      </w:r>
      <w:r>
        <w:rPr>
          <w:b/>
          <w:bCs/>
          <w:highlight w:val="yellow"/>
          <w:lang w:val="en-US"/>
        </w:rPr>
        <w:br/>
      </w:r>
      <w:r>
        <w:rPr>
          <w:b/>
          <w:bCs/>
          <w:lang w:val="en-US"/>
        </w:rPr>
        <w:t>COM 17 – R 52</w:t>
      </w:r>
    </w:p>
    <w:p w14:paraId="520069E1" w14:textId="77777777" w:rsidR="00D50AEC" w:rsidRPr="004B4EF5" w:rsidRDefault="00D50AEC" w:rsidP="00D50AEC">
      <w:pPr>
        <w:rPr>
          <w:b/>
          <w:lang w:val="en-US"/>
        </w:rPr>
      </w:pPr>
      <w:r w:rsidRPr="004B4EF5">
        <w:rPr>
          <w:b/>
          <w:lang w:val="en-US"/>
        </w:rPr>
        <w:t>Summary</w:t>
      </w:r>
    </w:p>
    <w:p w14:paraId="74EAB3E1" w14:textId="77777777" w:rsidR="00D50AEC" w:rsidRDefault="00D50AEC" w:rsidP="006B6C1F">
      <w:r w:rsidRPr="00D50AEC">
        <w:t>Recommendation ITU-T X.1602 analyses the maturity levels of software as a service (SaaS) application and proposes security requirements to provide a consistent and secure service execution environment for SaaS applications. These proposed requirements originate from cloud service providers (CSP) and cloud service partners (CSN) as they need a SaaS application environment to meet their demands on security. The requirements are general and independent of any service or scenario specific model (e.g. web services, or representational state transfer (REST)), assumptions or solutions.</w:t>
      </w:r>
    </w:p>
    <w:p w14:paraId="6B03A217" w14:textId="77777777" w:rsidR="0044658F" w:rsidRPr="004B4EF5" w:rsidRDefault="0044658F" w:rsidP="0044658F">
      <w:pPr>
        <w:spacing w:before="240"/>
        <w:rPr>
          <w:b/>
          <w:bCs/>
          <w:lang w:val="en-US"/>
        </w:rPr>
      </w:pPr>
      <w:r w:rsidRPr="004B4EF5">
        <w:rPr>
          <w:b/>
          <w:bCs/>
          <w:lang w:val="en-US"/>
        </w:rPr>
        <w:lastRenderedPageBreak/>
        <w:t xml:space="preserve">Draft new Recommendation ITU-T </w:t>
      </w:r>
      <w:r>
        <w:rPr>
          <w:b/>
          <w:bCs/>
          <w:lang w:val="en-US"/>
        </w:rPr>
        <w:t>X</w:t>
      </w:r>
      <w:r w:rsidRPr="0044658F">
        <w:rPr>
          <w:b/>
          <w:bCs/>
          <w:lang w:val="en-US"/>
        </w:rPr>
        <w:t>.1642 (X.goscc)</w:t>
      </w:r>
      <w:r>
        <w:rPr>
          <w:b/>
          <w:bCs/>
          <w:lang w:val="en-US"/>
        </w:rPr>
        <w:t xml:space="preserve">, </w:t>
      </w:r>
      <w:r w:rsidRPr="0044658F">
        <w:rPr>
          <w:b/>
          <w:bCs/>
          <w:lang w:val="en-US"/>
        </w:rPr>
        <w:t>Guidelines for the operational security of cloud computing</w:t>
      </w:r>
      <w:r>
        <w:rPr>
          <w:b/>
          <w:bCs/>
          <w:highlight w:val="yellow"/>
          <w:lang w:val="en-US"/>
        </w:rPr>
        <w:br/>
      </w:r>
      <w:r>
        <w:rPr>
          <w:b/>
          <w:bCs/>
          <w:lang w:val="en-US"/>
        </w:rPr>
        <w:t>COM 17 – R 53</w:t>
      </w:r>
    </w:p>
    <w:p w14:paraId="056E472B" w14:textId="77777777" w:rsidR="0044658F" w:rsidRPr="004B4EF5" w:rsidRDefault="0044658F" w:rsidP="0044658F">
      <w:pPr>
        <w:rPr>
          <w:b/>
          <w:lang w:val="en-US"/>
        </w:rPr>
      </w:pPr>
      <w:r w:rsidRPr="004B4EF5">
        <w:rPr>
          <w:b/>
          <w:lang w:val="en-US"/>
        </w:rPr>
        <w:t>Summary</w:t>
      </w:r>
    </w:p>
    <w:p w14:paraId="72ACE501" w14:textId="77777777" w:rsidR="0044658F" w:rsidRDefault="0044658F" w:rsidP="006B6C1F">
      <w:r w:rsidRPr="00D50AEC">
        <w:t>Recommendation ITU-T X.1602 analyses the maturity levels of software as a service (SaaS) application and proposes security requirements to provide a consistent and secure service execution environment for SaaS applications. These proposed requirements originate from cloud service providers (CSP) and cloud service partners (CSN) as they need a SaaS application environment to meet their demands on security. The requirements are general and independent of any service or scenario specific model (e.g. web services, or representational state transfer (REST)), assumptions or solutions.</w:t>
      </w:r>
    </w:p>
    <w:p w14:paraId="6DDA53E4" w14:textId="77777777" w:rsidR="0005218B" w:rsidRPr="00FB036A" w:rsidRDefault="0005218B" w:rsidP="0005218B">
      <w:pPr>
        <w:jc w:val="center"/>
      </w:pPr>
      <w:r>
        <w:t>______________</w:t>
      </w:r>
    </w:p>
    <w:sectPr w:rsidR="0005218B" w:rsidRPr="00FB036A" w:rsidSect="00096901">
      <w:headerReference w:type="default" r:id="rId12"/>
      <w:footerReference w:type="default" r:id="rId13"/>
      <w:footerReference w:type="first" r:id="rId14"/>
      <w:type w:val="oddPage"/>
      <w:pgSz w:w="11907" w:h="16834" w:code="9"/>
      <w:pgMar w:top="567" w:right="1089" w:bottom="567" w:left="1089"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C7732" w14:textId="77777777" w:rsidR="00A64519" w:rsidRDefault="00A64519">
      <w:r>
        <w:separator/>
      </w:r>
    </w:p>
  </w:endnote>
  <w:endnote w:type="continuationSeparator" w:id="0">
    <w:p w14:paraId="1152EB25" w14:textId="77777777" w:rsidR="00A64519" w:rsidRDefault="00A6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3D1AE" w14:textId="77777777" w:rsidR="00FA124A" w:rsidRPr="00196AB1" w:rsidRDefault="00C51FD0" w:rsidP="00A55EDC">
    <w:pPr>
      <w:pStyle w:val="Footer"/>
      <w:tabs>
        <w:tab w:val="clear" w:pos="794"/>
        <w:tab w:val="clear" w:pos="1191"/>
        <w:tab w:val="clear" w:pos="1588"/>
        <w:tab w:val="clear" w:pos="1985"/>
      </w:tabs>
      <w:rPr>
        <w:lang w:val="fr-CH"/>
      </w:rPr>
    </w:pPr>
    <w:r>
      <w:rPr>
        <w:lang w:val="fr-CH"/>
      </w:rPr>
      <w:t>ITU-T\BUREAU\CIRC\</w:t>
    </w:r>
    <w:r w:rsidR="00632634">
      <w:rPr>
        <w:lang w:val="fr-CH"/>
      </w:rPr>
      <w:t>174</w:t>
    </w:r>
    <w:r w:rsidR="00A55EDC">
      <w:rPr>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694EA" w14:textId="77777777" w:rsidR="00FA124A" w:rsidRPr="004E3CF9" w:rsidRDefault="004E3CF9" w:rsidP="004E3CF9">
    <w:pPr>
      <w:pStyle w:val="FirstFooter"/>
      <w:ind w:left="-397" w:right="-397"/>
      <w:jc w:val="cente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B8C6F" w14:textId="77777777" w:rsidR="00A64519" w:rsidRDefault="00A64519">
      <w:r>
        <w:t>____________________</w:t>
      </w:r>
    </w:p>
  </w:footnote>
  <w:footnote w:type="continuationSeparator" w:id="0">
    <w:p w14:paraId="04B5C817" w14:textId="77777777" w:rsidR="00A64519" w:rsidRDefault="00A64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617C1" w14:textId="77777777" w:rsidR="00C740E1" w:rsidRDefault="00A23BC5">
    <w:pPr>
      <w:pStyle w:val="Header"/>
    </w:pPr>
    <w:sdt>
      <w:sdtPr>
        <w:id w:val="526448189"/>
        <w:docPartObj>
          <w:docPartGallery w:val="Page Numbers (Top of Page)"/>
          <w:docPartUnique/>
        </w:docPartObj>
      </w:sdtPr>
      <w:sdtEndPr>
        <w:rPr>
          <w:noProof/>
        </w:rPr>
      </w:sdtEndPr>
      <w:sdtContent>
        <w:r w:rsidR="00C740E1">
          <w:t xml:space="preserve">- </w:t>
        </w:r>
        <w:r w:rsidR="00C740E1">
          <w:fldChar w:fldCharType="begin"/>
        </w:r>
        <w:r w:rsidR="00C740E1">
          <w:instrText xml:space="preserve"> PAGE   \* MERGEFORMAT </w:instrText>
        </w:r>
        <w:r w:rsidR="00C740E1">
          <w:fldChar w:fldCharType="separate"/>
        </w:r>
        <w:r>
          <w:rPr>
            <w:noProof/>
          </w:rPr>
          <w:t>4</w:t>
        </w:r>
        <w:r w:rsidR="00C740E1">
          <w:rPr>
            <w:noProof/>
          </w:rPr>
          <w:fldChar w:fldCharType="end"/>
        </w:r>
      </w:sdtContent>
    </w:sdt>
    <w:r w:rsidR="00C740E1">
      <w:rPr>
        <w:noProof/>
      </w:rPr>
      <w:t xml:space="preserve"> -</w:t>
    </w:r>
  </w:p>
  <w:p w14:paraId="7A5A3BA0" w14:textId="77777777" w:rsidR="00C740E1" w:rsidRPr="00C740E1" w:rsidRDefault="00C740E1">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18B"/>
    <w:rsid w:val="000035BE"/>
    <w:rsid w:val="000069D4"/>
    <w:rsid w:val="00014D26"/>
    <w:rsid w:val="000174AD"/>
    <w:rsid w:val="000305E1"/>
    <w:rsid w:val="0005218B"/>
    <w:rsid w:val="00096901"/>
    <w:rsid w:val="000A7D55"/>
    <w:rsid w:val="000C2E8E"/>
    <w:rsid w:val="000D49FB"/>
    <w:rsid w:val="000E0E7C"/>
    <w:rsid w:val="000F1B4B"/>
    <w:rsid w:val="0012744F"/>
    <w:rsid w:val="00152106"/>
    <w:rsid w:val="00156DFF"/>
    <w:rsid w:val="00156F66"/>
    <w:rsid w:val="00182528"/>
    <w:rsid w:val="0018500B"/>
    <w:rsid w:val="00196A19"/>
    <w:rsid w:val="00196AB1"/>
    <w:rsid w:val="001E5FE1"/>
    <w:rsid w:val="00202DC1"/>
    <w:rsid w:val="002116EE"/>
    <w:rsid w:val="00212756"/>
    <w:rsid w:val="002309D8"/>
    <w:rsid w:val="002313CC"/>
    <w:rsid w:val="00241545"/>
    <w:rsid w:val="0024447A"/>
    <w:rsid w:val="002568B4"/>
    <w:rsid w:val="00287BF1"/>
    <w:rsid w:val="002A7FE2"/>
    <w:rsid w:val="002B711C"/>
    <w:rsid w:val="002C2C3E"/>
    <w:rsid w:val="002D35C7"/>
    <w:rsid w:val="002E1B4F"/>
    <w:rsid w:val="002F2E67"/>
    <w:rsid w:val="002F6530"/>
    <w:rsid w:val="00301779"/>
    <w:rsid w:val="00315546"/>
    <w:rsid w:val="00330567"/>
    <w:rsid w:val="00351DA5"/>
    <w:rsid w:val="00370771"/>
    <w:rsid w:val="00383598"/>
    <w:rsid w:val="00386A9D"/>
    <w:rsid w:val="00391081"/>
    <w:rsid w:val="003B2789"/>
    <w:rsid w:val="003C13CE"/>
    <w:rsid w:val="003E19C4"/>
    <w:rsid w:val="003E2518"/>
    <w:rsid w:val="00403DC3"/>
    <w:rsid w:val="004314A2"/>
    <w:rsid w:val="0043796D"/>
    <w:rsid w:val="0044658F"/>
    <w:rsid w:val="00473787"/>
    <w:rsid w:val="004B1EF7"/>
    <w:rsid w:val="004B3FAD"/>
    <w:rsid w:val="004B4EF5"/>
    <w:rsid w:val="004D6971"/>
    <w:rsid w:val="004E3CF9"/>
    <w:rsid w:val="00501DCA"/>
    <w:rsid w:val="00513A47"/>
    <w:rsid w:val="00522E54"/>
    <w:rsid w:val="005408DF"/>
    <w:rsid w:val="0055318D"/>
    <w:rsid w:val="0055788A"/>
    <w:rsid w:val="00573344"/>
    <w:rsid w:val="00583F9B"/>
    <w:rsid w:val="005D40F2"/>
    <w:rsid w:val="005E1223"/>
    <w:rsid w:val="005E5C10"/>
    <w:rsid w:val="005F2C78"/>
    <w:rsid w:val="006144E4"/>
    <w:rsid w:val="00624555"/>
    <w:rsid w:val="00626A54"/>
    <w:rsid w:val="00632634"/>
    <w:rsid w:val="00650299"/>
    <w:rsid w:val="00655FC5"/>
    <w:rsid w:val="00677D70"/>
    <w:rsid w:val="006A3479"/>
    <w:rsid w:val="006A45F7"/>
    <w:rsid w:val="006B6C1F"/>
    <w:rsid w:val="007632B1"/>
    <w:rsid w:val="007D2F64"/>
    <w:rsid w:val="00801031"/>
    <w:rsid w:val="00802953"/>
    <w:rsid w:val="00807FF1"/>
    <w:rsid w:val="00822581"/>
    <w:rsid w:val="008309DD"/>
    <w:rsid w:val="0083227A"/>
    <w:rsid w:val="00857C67"/>
    <w:rsid w:val="00866900"/>
    <w:rsid w:val="00870336"/>
    <w:rsid w:val="0087300D"/>
    <w:rsid w:val="00881BA1"/>
    <w:rsid w:val="008862B6"/>
    <w:rsid w:val="00886374"/>
    <w:rsid w:val="0088798E"/>
    <w:rsid w:val="008A0A55"/>
    <w:rsid w:val="008A270F"/>
    <w:rsid w:val="008C26B8"/>
    <w:rsid w:val="008F4E7C"/>
    <w:rsid w:val="009273EC"/>
    <w:rsid w:val="00932E45"/>
    <w:rsid w:val="00951309"/>
    <w:rsid w:val="00964CF0"/>
    <w:rsid w:val="00982084"/>
    <w:rsid w:val="00991A72"/>
    <w:rsid w:val="00995963"/>
    <w:rsid w:val="009A220F"/>
    <w:rsid w:val="009A54D9"/>
    <w:rsid w:val="009A611F"/>
    <w:rsid w:val="009B5C06"/>
    <w:rsid w:val="009B61EB"/>
    <w:rsid w:val="009B6449"/>
    <w:rsid w:val="009C2064"/>
    <w:rsid w:val="009D1697"/>
    <w:rsid w:val="009E5F82"/>
    <w:rsid w:val="00A014F8"/>
    <w:rsid w:val="00A11ACD"/>
    <w:rsid w:val="00A11DCA"/>
    <w:rsid w:val="00A217D3"/>
    <w:rsid w:val="00A23BC5"/>
    <w:rsid w:val="00A50B21"/>
    <w:rsid w:val="00A5173C"/>
    <w:rsid w:val="00A55EDC"/>
    <w:rsid w:val="00A61AEF"/>
    <w:rsid w:val="00A64519"/>
    <w:rsid w:val="00AA1543"/>
    <w:rsid w:val="00AB0FFD"/>
    <w:rsid w:val="00AD7192"/>
    <w:rsid w:val="00AF10F1"/>
    <w:rsid w:val="00AF173A"/>
    <w:rsid w:val="00B066A4"/>
    <w:rsid w:val="00B07A13"/>
    <w:rsid w:val="00B143E2"/>
    <w:rsid w:val="00B4279B"/>
    <w:rsid w:val="00B45FC9"/>
    <w:rsid w:val="00B653A8"/>
    <w:rsid w:val="00B83461"/>
    <w:rsid w:val="00BA63F4"/>
    <w:rsid w:val="00BC7CCF"/>
    <w:rsid w:val="00BD0E50"/>
    <w:rsid w:val="00BE470B"/>
    <w:rsid w:val="00C018E7"/>
    <w:rsid w:val="00C265F7"/>
    <w:rsid w:val="00C304AC"/>
    <w:rsid w:val="00C347FF"/>
    <w:rsid w:val="00C505E4"/>
    <w:rsid w:val="00C51FD0"/>
    <w:rsid w:val="00C57A91"/>
    <w:rsid w:val="00C740E1"/>
    <w:rsid w:val="00CB43AF"/>
    <w:rsid w:val="00CC01C2"/>
    <w:rsid w:val="00CE588B"/>
    <w:rsid w:val="00CF21F2"/>
    <w:rsid w:val="00CF35AE"/>
    <w:rsid w:val="00CF3625"/>
    <w:rsid w:val="00D02712"/>
    <w:rsid w:val="00D0793D"/>
    <w:rsid w:val="00D17015"/>
    <w:rsid w:val="00D214D0"/>
    <w:rsid w:val="00D50AEC"/>
    <w:rsid w:val="00D60432"/>
    <w:rsid w:val="00D6546B"/>
    <w:rsid w:val="00D65A6D"/>
    <w:rsid w:val="00DB205C"/>
    <w:rsid w:val="00DB586F"/>
    <w:rsid w:val="00DD4BED"/>
    <w:rsid w:val="00DE39F0"/>
    <w:rsid w:val="00DF0AF3"/>
    <w:rsid w:val="00E17CCC"/>
    <w:rsid w:val="00E27D7E"/>
    <w:rsid w:val="00E34935"/>
    <w:rsid w:val="00E42E13"/>
    <w:rsid w:val="00E46F5E"/>
    <w:rsid w:val="00E6257C"/>
    <w:rsid w:val="00E63C59"/>
    <w:rsid w:val="00E91C72"/>
    <w:rsid w:val="00EC05AA"/>
    <w:rsid w:val="00EC51E0"/>
    <w:rsid w:val="00F45AF4"/>
    <w:rsid w:val="00F71679"/>
    <w:rsid w:val="00FA124A"/>
    <w:rsid w:val="00FC08DD"/>
    <w:rsid w:val="00FC2316"/>
    <w:rsid w:val="00FC2CFD"/>
    <w:rsid w:val="00FD06C7"/>
    <w:rsid w:val="00FE1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F3A99F"/>
  <w15:docId w15:val="{6F47D43B-C2A7-4533-A7DB-33CCB5B3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table" w:customStyle="1" w:styleId="TableGridLight1">
    <w:name w:val="Table Grid Light1"/>
    <w:basedOn w:val="TableNormal"/>
    <w:uiPriority w:val="40"/>
    <w:rsid w:val="009A611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ppendixRef0">
    <w:name w:val="Appendix_Ref"/>
    <w:basedOn w:val="Annexref"/>
    <w:next w:val="Appendixtitle"/>
    <w:rsid w:val="0005218B"/>
    <w:pPr>
      <w:spacing w:after="0"/>
    </w:pPr>
    <w:rPr>
      <w:rFonts w:ascii="Times New Roman" w:hAnsi="Times New Roman"/>
    </w:rPr>
  </w:style>
  <w:style w:type="character" w:styleId="CommentReference">
    <w:name w:val="annotation reference"/>
    <w:basedOn w:val="DefaultParagraphFont"/>
    <w:semiHidden/>
    <w:unhideWhenUsed/>
    <w:rsid w:val="002568B4"/>
    <w:rPr>
      <w:sz w:val="16"/>
      <w:szCs w:val="16"/>
    </w:rPr>
  </w:style>
  <w:style w:type="paragraph" w:styleId="CommentText">
    <w:name w:val="annotation text"/>
    <w:basedOn w:val="Normal"/>
    <w:link w:val="CommentTextChar"/>
    <w:semiHidden/>
    <w:unhideWhenUsed/>
    <w:rsid w:val="002568B4"/>
    <w:rPr>
      <w:sz w:val="20"/>
    </w:rPr>
  </w:style>
  <w:style w:type="character" w:customStyle="1" w:styleId="CommentTextChar">
    <w:name w:val="Comment Text Char"/>
    <w:basedOn w:val="DefaultParagraphFont"/>
    <w:link w:val="CommentText"/>
    <w:semiHidden/>
    <w:rsid w:val="002568B4"/>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2568B4"/>
    <w:rPr>
      <w:b/>
      <w:bCs/>
    </w:rPr>
  </w:style>
  <w:style w:type="character" w:customStyle="1" w:styleId="CommentSubjectChar">
    <w:name w:val="Comment Subject Char"/>
    <w:basedOn w:val="CommentTextChar"/>
    <w:link w:val="CommentSubject"/>
    <w:semiHidden/>
    <w:rsid w:val="002568B4"/>
    <w:rPr>
      <w:rFonts w:asciiTheme="minorHAnsi" w:hAnsiTheme="minorHAnsi"/>
      <w:b/>
      <w:bCs/>
      <w:lang w:val="en-GB" w:eastAsia="en-US"/>
    </w:rPr>
  </w:style>
  <w:style w:type="paragraph" w:styleId="Revision">
    <w:name w:val="Revision"/>
    <w:hidden/>
    <w:uiPriority w:val="99"/>
    <w:semiHidden/>
    <w:rsid w:val="002568B4"/>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p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sbsg17@itu.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AppData\Roaming\Microsoft\Templates\TSB%20DOC\CIR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C597F-DF32-4B2F-A831-C69CA4DBC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CIRC-E.dotx</Template>
  <TotalTime>0</TotalTime>
  <Pages>4</Pages>
  <Words>1271</Words>
  <Characters>7485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Sarah</dc:creator>
  <cp:keywords/>
  <dc:description>CIR-xxx_Determined_texts.docx  For: _x000d_Document date: _x000d_Saved by ITU51010110 at 17:20:55 on 21/09/15</dc:description>
  <cp:lastModifiedBy>Bettini, Nadine</cp:lastModifiedBy>
  <cp:revision>2</cp:revision>
  <cp:lastPrinted>2014-05-21T07:44:00Z</cp:lastPrinted>
  <dcterms:created xsi:type="dcterms:W3CDTF">2015-10-21T13:11:00Z</dcterms:created>
  <dcterms:modified xsi:type="dcterms:W3CDTF">2015-10-21T13:11:00Z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CIR-xxx_Determined_texts.docx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