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085662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6E4F7B" w:rsidRPr="00BB01E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30895" w:rsidRPr="00566B79" w:rsidRDefault="00457F43" w:rsidP="009D44B0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360" w:after="240"/>
      </w:pPr>
      <w:r>
        <w:t xml:space="preserve">                                                                                                   </w:t>
      </w:r>
      <w:r w:rsidR="00830895" w:rsidRPr="00566B79">
        <w:t>Ginebra, 7 de octubre de 2015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28"/>
        <w:gridCol w:w="66"/>
      </w:tblGrid>
      <w:tr w:rsidR="00830895" w:rsidRPr="00566B79" w:rsidTr="000B1A52">
        <w:trPr>
          <w:gridAfter w:val="1"/>
          <w:wAfter w:w="66" w:type="dxa"/>
          <w:cantSplit/>
          <w:trHeight w:val="704"/>
        </w:trPr>
        <w:tc>
          <w:tcPr>
            <w:tcW w:w="1276" w:type="dxa"/>
          </w:tcPr>
          <w:p w:rsidR="00830895" w:rsidRPr="00566B79" w:rsidRDefault="00830895" w:rsidP="00E35FAB">
            <w:pPr>
              <w:spacing w:before="0"/>
            </w:pPr>
            <w:r w:rsidRPr="00566B79">
              <w:t>Ref.:</w:t>
            </w:r>
          </w:p>
        </w:tc>
        <w:tc>
          <w:tcPr>
            <w:tcW w:w="4111" w:type="dxa"/>
          </w:tcPr>
          <w:p w:rsidR="00830895" w:rsidRPr="005422AB" w:rsidRDefault="00830895" w:rsidP="00E6497D">
            <w:pPr>
              <w:spacing w:before="0"/>
              <w:rPr>
                <w:lang w:val="en-US"/>
              </w:rPr>
            </w:pPr>
            <w:r w:rsidRPr="005422AB">
              <w:rPr>
                <w:b/>
                <w:lang w:val="en-US"/>
              </w:rPr>
              <w:t>Circular TSB 176</w:t>
            </w:r>
            <w:r w:rsidRPr="005422AB">
              <w:rPr>
                <w:lang w:val="en-US"/>
              </w:rPr>
              <w:br/>
              <w:t>TSB Workshops/M.A.</w:t>
            </w:r>
          </w:p>
        </w:tc>
        <w:tc>
          <w:tcPr>
            <w:tcW w:w="4328" w:type="dxa"/>
            <w:vMerge w:val="restart"/>
          </w:tcPr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 las Administraciones de los Estados Miembros de la Unión;</w:t>
            </w:r>
          </w:p>
          <w:p w:rsidR="00830895" w:rsidRPr="00566B79" w:rsidRDefault="00830895" w:rsidP="00BE56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 los Miembros de Sector del UIT-T;</w:t>
            </w:r>
          </w:p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 los Asociados del UIT-T;</w:t>
            </w:r>
          </w:p>
          <w:p w:rsidR="00830895" w:rsidRPr="00566B79" w:rsidRDefault="00830895" w:rsidP="000C07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 las Instituciones Académicas de la UIT</w:t>
            </w:r>
          </w:p>
        </w:tc>
      </w:tr>
      <w:tr w:rsidR="00830895" w:rsidRPr="00566B79" w:rsidTr="000B1A52">
        <w:trPr>
          <w:gridAfter w:val="1"/>
          <w:wAfter w:w="66" w:type="dxa"/>
          <w:cantSplit/>
          <w:trHeight w:val="749"/>
        </w:trPr>
        <w:tc>
          <w:tcPr>
            <w:tcW w:w="1276" w:type="dxa"/>
          </w:tcPr>
          <w:p w:rsidR="00830895" w:rsidRPr="00566B79" w:rsidRDefault="00830895" w:rsidP="00E35FAB">
            <w:pPr>
              <w:spacing w:before="0"/>
              <w:rPr>
                <w:rFonts w:ascii="Futura Lt BT" w:hAnsi="Futura Lt BT"/>
                <w:sz w:val="20"/>
              </w:rPr>
            </w:pPr>
            <w:r w:rsidRPr="00566B79">
              <w:t>Contacto:</w:t>
            </w:r>
          </w:p>
        </w:tc>
        <w:tc>
          <w:tcPr>
            <w:tcW w:w="4111" w:type="dxa"/>
          </w:tcPr>
          <w:p w:rsidR="00830895" w:rsidRPr="00566B79" w:rsidRDefault="00830895" w:rsidP="00E35FAB">
            <w:pPr>
              <w:spacing w:before="0"/>
              <w:rPr>
                <w:b/>
              </w:rPr>
            </w:pPr>
            <w:r w:rsidRPr="00566B79">
              <w:rPr>
                <w:b/>
              </w:rPr>
              <w:t>Martin Adolph</w:t>
            </w:r>
          </w:p>
        </w:tc>
        <w:tc>
          <w:tcPr>
            <w:tcW w:w="4328" w:type="dxa"/>
            <w:vMerge/>
          </w:tcPr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830895" w:rsidRPr="00566B79" w:rsidTr="000B1A52">
        <w:trPr>
          <w:gridAfter w:val="1"/>
          <w:wAfter w:w="66" w:type="dxa"/>
          <w:cantSplit/>
          <w:trHeight w:val="340"/>
        </w:trPr>
        <w:tc>
          <w:tcPr>
            <w:tcW w:w="1276" w:type="dxa"/>
          </w:tcPr>
          <w:p w:rsidR="00830895" w:rsidRPr="00566B79" w:rsidRDefault="00830895" w:rsidP="00E35FAB">
            <w:pPr>
              <w:spacing w:before="0"/>
            </w:pPr>
            <w:r w:rsidRPr="00566B79">
              <w:t>Tel.:</w:t>
            </w:r>
          </w:p>
        </w:tc>
        <w:tc>
          <w:tcPr>
            <w:tcW w:w="4111" w:type="dxa"/>
          </w:tcPr>
          <w:p w:rsidR="00830895" w:rsidRPr="00566B79" w:rsidRDefault="00830895" w:rsidP="00E35FAB">
            <w:pPr>
              <w:spacing w:before="0"/>
              <w:rPr>
                <w:b/>
              </w:rPr>
            </w:pPr>
            <w:r w:rsidRPr="00566B79">
              <w:t xml:space="preserve">+41 22 730 </w:t>
            </w:r>
            <w:r w:rsidRPr="00942001">
              <w:rPr>
                <w:lang w:val="en-US"/>
              </w:rPr>
              <w:t>6828</w:t>
            </w:r>
          </w:p>
        </w:tc>
        <w:tc>
          <w:tcPr>
            <w:tcW w:w="4328" w:type="dxa"/>
            <w:vMerge/>
          </w:tcPr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830895" w:rsidRPr="00566B79" w:rsidTr="000B1A52">
        <w:trPr>
          <w:gridAfter w:val="1"/>
          <w:wAfter w:w="66" w:type="dxa"/>
          <w:cantSplit/>
          <w:trHeight w:val="231"/>
        </w:trPr>
        <w:tc>
          <w:tcPr>
            <w:tcW w:w="1276" w:type="dxa"/>
          </w:tcPr>
          <w:p w:rsidR="00830895" w:rsidRPr="00566B79" w:rsidRDefault="00830895" w:rsidP="00E35FAB">
            <w:pPr>
              <w:spacing w:before="0"/>
            </w:pPr>
            <w:r w:rsidRPr="00566B79">
              <w:t>Fax.:</w:t>
            </w:r>
          </w:p>
        </w:tc>
        <w:tc>
          <w:tcPr>
            <w:tcW w:w="4111" w:type="dxa"/>
          </w:tcPr>
          <w:p w:rsidR="00830895" w:rsidRPr="00566B79" w:rsidRDefault="00830895" w:rsidP="00E35FAB">
            <w:pPr>
              <w:spacing w:before="0"/>
            </w:pPr>
            <w:r w:rsidRPr="00566B79">
              <w:t>+41 22 730 58 53</w:t>
            </w:r>
          </w:p>
        </w:tc>
        <w:tc>
          <w:tcPr>
            <w:tcW w:w="4328" w:type="dxa"/>
            <w:vMerge w:val="restart"/>
          </w:tcPr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rPr>
                <w:b/>
              </w:rPr>
              <w:t>Copia:</w:t>
            </w:r>
          </w:p>
          <w:p w:rsidR="00830895" w:rsidRPr="00566B79" w:rsidRDefault="00830895" w:rsidP="00E649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 xml:space="preserve">A los Presidentes y Vicepresidentes </w:t>
            </w:r>
            <w:r w:rsidRPr="00566B79">
              <w:br/>
              <w:t>de las Comisiones de Estudio del UIT</w:t>
            </w:r>
            <w:r w:rsidRPr="00566B79">
              <w:noBreakHyphen/>
              <w:t>T;</w:t>
            </w:r>
          </w:p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Al Director de la Oficina de Desarrollo</w:t>
            </w:r>
            <w:r w:rsidRPr="00566B79">
              <w:br/>
              <w:t>de las Telecomunicaciones;</w:t>
            </w:r>
          </w:p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Al Director de la Oficina de Radiocomunicaciones</w:t>
            </w:r>
            <w:r w:rsidR="00695D45">
              <w:t>;</w:t>
            </w:r>
          </w:p>
          <w:p w:rsidR="00830895" w:rsidRPr="00566B79" w:rsidRDefault="00830895" w:rsidP="00E649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Al Director de la Oficina Regional de la UIT, Addis Abeba,(Etiopía);</w:t>
            </w:r>
          </w:p>
          <w:p w:rsidR="00830895" w:rsidRPr="00566B79" w:rsidRDefault="00830895" w:rsidP="00E649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Al Jefe de la Oficina de Zona de la UIT, Harare (</w:t>
            </w:r>
            <w:proofErr w:type="spellStart"/>
            <w:r w:rsidRPr="00566B79">
              <w:t>Zimbabwe</w:t>
            </w:r>
            <w:proofErr w:type="spellEnd"/>
            <w:r w:rsidRPr="00566B79">
              <w:t>);</w:t>
            </w:r>
          </w:p>
          <w:p w:rsidR="00830895" w:rsidRPr="00566B79" w:rsidRDefault="00830895" w:rsidP="001322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6B79">
              <w:t>–</w:t>
            </w:r>
            <w:r w:rsidRPr="00566B79">
              <w:tab/>
              <w:t>A la Misión</w:t>
            </w:r>
            <w:r>
              <w:t xml:space="preserve"> Permanente de </w:t>
            </w:r>
            <w:proofErr w:type="spellStart"/>
            <w:r>
              <w:t>Kenya</w:t>
            </w:r>
            <w:proofErr w:type="spellEnd"/>
            <w:r>
              <w:t xml:space="preserve"> en Ginebra</w:t>
            </w:r>
          </w:p>
        </w:tc>
      </w:tr>
      <w:tr w:rsidR="00830895" w:rsidRPr="00566B79" w:rsidTr="000B1A52">
        <w:trPr>
          <w:gridAfter w:val="1"/>
          <w:wAfter w:w="66" w:type="dxa"/>
          <w:cantSplit/>
          <w:trHeight w:val="1820"/>
        </w:trPr>
        <w:tc>
          <w:tcPr>
            <w:tcW w:w="1276" w:type="dxa"/>
          </w:tcPr>
          <w:p w:rsidR="00830895" w:rsidRPr="00566B79" w:rsidRDefault="00830895" w:rsidP="00E35FAB">
            <w:pPr>
              <w:spacing w:before="0"/>
              <w:rPr>
                <w:rFonts w:ascii="Futura Lt BT" w:hAnsi="Futura Lt BT"/>
                <w:sz w:val="20"/>
              </w:rPr>
            </w:pPr>
            <w:r w:rsidRPr="00566B79">
              <w:t>Correo-e:</w:t>
            </w:r>
          </w:p>
        </w:tc>
        <w:tc>
          <w:tcPr>
            <w:tcW w:w="4111" w:type="dxa"/>
          </w:tcPr>
          <w:p w:rsidR="00830895" w:rsidRPr="00566B79" w:rsidRDefault="003E0B2D" w:rsidP="00E35FAB">
            <w:pPr>
              <w:spacing w:before="0"/>
            </w:pPr>
            <w:hyperlink r:id="rId10" w:history="1">
              <w:r w:rsidR="00830895" w:rsidRPr="00566B79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4328" w:type="dxa"/>
            <w:vMerge/>
          </w:tcPr>
          <w:p w:rsidR="00830895" w:rsidRPr="00566B79" w:rsidRDefault="00830895" w:rsidP="00E35F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</w:rPr>
            </w:pPr>
          </w:p>
        </w:tc>
      </w:tr>
      <w:tr w:rsidR="00830895" w:rsidRPr="00566B79" w:rsidTr="000B1A52">
        <w:trPr>
          <w:cantSplit/>
          <w:trHeight w:val="680"/>
        </w:trPr>
        <w:tc>
          <w:tcPr>
            <w:tcW w:w="1276" w:type="dxa"/>
          </w:tcPr>
          <w:p w:rsidR="00830895" w:rsidRPr="00566B79" w:rsidRDefault="00830895" w:rsidP="000B1A52">
            <w:pPr>
              <w:spacing w:before="240"/>
            </w:pPr>
            <w:r w:rsidRPr="00566B79">
              <w:t>Asunto:</w:t>
            </w:r>
          </w:p>
        </w:tc>
        <w:tc>
          <w:tcPr>
            <w:tcW w:w="8505" w:type="dxa"/>
            <w:gridSpan w:val="3"/>
          </w:tcPr>
          <w:p w:rsidR="00830895" w:rsidRPr="00566B79" w:rsidRDefault="00830895" w:rsidP="000B1A52">
            <w:pPr>
              <w:spacing w:before="240"/>
              <w:rPr>
                <w:b/>
                <w:bCs/>
              </w:rPr>
            </w:pPr>
            <w:bookmarkStart w:id="1" w:name="lt_pId031"/>
            <w:r w:rsidRPr="00566B79">
              <w:rPr>
                <w:b/>
                <w:bCs/>
              </w:rPr>
              <w:t xml:space="preserve">Foro de Partes Interesadas en la Calidad de Servicio y </w:t>
            </w:r>
            <w:r w:rsidR="009D44B0">
              <w:rPr>
                <w:b/>
                <w:bCs/>
              </w:rPr>
              <w:t xml:space="preserve">la Experiencia del Consumidor </w:t>
            </w:r>
            <w:r w:rsidRPr="00566B79">
              <w:rPr>
                <w:b/>
                <w:bCs/>
              </w:rPr>
              <w:t>Nairobi (</w:t>
            </w:r>
            <w:proofErr w:type="spellStart"/>
            <w:r w:rsidRPr="00566B79">
              <w:rPr>
                <w:b/>
                <w:bCs/>
              </w:rPr>
              <w:t>Kenya</w:t>
            </w:r>
            <w:proofErr w:type="spellEnd"/>
            <w:r w:rsidRPr="00566B79">
              <w:rPr>
                <w:b/>
                <w:bCs/>
              </w:rPr>
              <w:t xml:space="preserve">), 23-25 de noviembre de 2015 </w:t>
            </w:r>
            <w:bookmarkEnd w:id="1"/>
          </w:p>
        </w:tc>
      </w:tr>
    </w:tbl>
    <w:p w:rsidR="00830895" w:rsidRPr="00566B79" w:rsidRDefault="00830895" w:rsidP="008C798E">
      <w:pPr>
        <w:spacing w:before="240"/>
      </w:pPr>
      <w:r w:rsidRPr="00566B79">
        <w:t>Muy Señora mía/Muy Señor mío:</w:t>
      </w:r>
    </w:p>
    <w:p w:rsidR="00830895" w:rsidRPr="00566B79" w:rsidRDefault="00830895" w:rsidP="00E6497D">
      <w:r w:rsidRPr="00566B79">
        <w:t>1</w:t>
      </w:r>
      <w:r w:rsidRPr="00566B79">
        <w:tab/>
        <w:t xml:space="preserve">Por amable invitación de la Organización para las Comunicaciones de África Oriental (EACO) y el Organismo de Comunicaciones de </w:t>
      </w:r>
      <w:proofErr w:type="spellStart"/>
      <w:r w:rsidRPr="00566B79">
        <w:t>Kenya</w:t>
      </w:r>
      <w:proofErr w:type="spellEnd"/>
      <w:r w:rsidRPr="00566B79">
        <w:t xml:space="preserve"> (CA), la Unión Internacional de Telecomunicaciones está organizando, en asociación con la Organización para las Comunicaciones de África Oriental (EACO), un </w:t>
      </w:r>
      <w:r w:rsidRPr="00566B79">
        <w:rPr>
          <w:b/>
          <w:bCs/>
        </w:rPr>
        <w:t>Foro de Partes Interesadas en la Calidad de Servicio y la Experiencia del Consumidor</w:t>
      </w:r>
      <w:r w:rsidRPr="00566B79">
        <w:t xml:space="preserve"> que tendrá lugar del 23 al 25 de noviembre de 2015 en Nairobi (</w:t>
      </w:r>
      <w:proofErr w:type="spellStart"/>
      <w:r w:rsidRPr="00566B79">
        <w:t>Kenya</w:t>
      </w:r>
      <w:proofErr w:type="spellEnd"/>
      <w:r w:rsidRPr="00566B79">
        <w:t xml:space="preserve">). El lugar de celebración exacto se indicará en su momento en el sitio web de la UIT: </w:t>
      </w:r>
      <w:hyperlink r:id="rId11" w:history="1">
        <w:r w:rsidRPr="00566B79">
          <w:rPr>
            <w:rStyle w:val="Hyperlink"/>
          </w:rPr>
          <w:t>http://www.itu.int/en/ITU-T/Workshops-and-Seminars/qos/201511/Pages/default.aspx</w:t>
        </w:r>
      </w:hyperlink>
      <w:r w:rsidRPr="00566B79">
        <w:t>. El foro comenzará a las 10.00 horas del 23 de noviembre de 2015. La inscripción de participantes comenzará a las 09.00 horas. En las entradas del lugar de celebración se indicará la información detallada relativa a las salas de reunión.</w:t>
      </w:r>
    </w:p>
    <w:p w:rsidR="00830895" w:rsidRPr="00566B79" w:rsidRDefault="00830895" w:rsidP="000B1A52">
      <w:pPr>
        <w:rPr>
          <w:szCs w:val="24"/>
        </w:rPr>
      </w:pPr>
      <w:r w:rsidRPr="00566B79">
        <w:rPr>
          <w:szCs w:val="24"/>
        </w:rPr>
        <w:t>2</w:t>
      </w:r>
      <w:r w:rsidRPr="00566B79">
        <w:rPr>
          <w:szCs w:val="24"/>
        </w:rPr>
        <w:tab/>
        <w:t>Los debates tendrán lugar únicamente en inglés.</w:t>
      </w:r>
    </w:p>
    <w:p w:rsidR="00830895" w:rsidRPr="00566B79" w:rsidRDefault="00830895" w:rsidP="000B1A52">
      <w:pPr>
        <w:rPr>
          <w:szCs w:val="24"/>
        </w:rPr>
      </w:pPr>
      <w:r w:rsidRPr="00566B79">
        <w:rPr>
          <w:szCs w:val="24"/>
        </w:rPr>
        <w:t>3</w:t>
      </w:r>
      <w:r w:rsidRPr="00566B79">
        <w:rPr>
          <w:szCs w:val="24"/>
        </w:rPr>
        <w:tab/>
        <w:t>La participación está abierta a los Estados Miembros, a los Miembros de Sector, a los Asociados y a las Instituciones Académicas de la UIT, así como a cualquier persona de un país que sea Miembro de la UIT y desee contribuir a los trabajos, comprendidas las personas que también sean miembros de organizaciones nacionales, regionales e internacionales. La participación en el Foro es gratuita.</w:t>
      </w:r>
    </w:p>
    <w:p w:rsidR="00830895" w:rsidRDefault="00830895" w:rsidP="00BC11AA">
      <w:r w:rsidRPr="00566B79">
        <w:lastRenderedPageBreak/>
        <w:t>4</w:t>
      </w:r>
      <w:r w:rsidRPr="00566B79">
        <w:tab/>
      </w:r>
      <w:bookmarkStart w:id="2" w:name="lt_pId048"/>
      <w:r w:rsidRPr="00566B79">
        <w:t xml:space="preserve">El objetivo de este evento es crear un foro para las partes interesadas de los Estados Miembros de la EACO a fin de discutir sobre cuestiones relativas a la calidad de servicio y la experiencia del consumidor. Además, el Foro debatirá y convalidará documentos de política sobre </w:t>
      </w:r>
      <w:r>
        <w:t>"</w:t>
      </w:r>
      <w:r w:rsidRPr="00566B79">
        <w:t>Calidad de Servicio y Cuestiones de los Consumidores</w:t>
      </w:r>
      <w:r>
        <w:t>"</w:t>
      </w:r>
      <w:r w:rsidRPr="00566B79">
        <w:t xml:space="preserve"> que se adoptaron durante el 21º Congreso de la EACO celebrado en junio de 2015 en Kampala (Uganda).</w:t>
      </w:r>
    </w:p>
    <w:p w:rsidR="0093265C" w:rsidRDefault="0093265C" w:rsidP="0093265C">
      <w:pPr>
        <w:rPr>
          <w:rFonts w:ascii="Calibri" w:hAnsi="Calibri"/>
          <w:sz w:val="22"/>
          <w:lang w:val="es-ES" w:eastAsia="zh-CN"/>
        </w:rPr>
      </w:pPr>
      <w:r>
        <w:rPr>
          <w:lang w:val="es-ES"/>
        </w:rPr>
        <w:t>Este evento reunirá a expertos de todo el mundo, así como a responsables políticos, organismos reguladores, fabricantes y docentes de los Estados Miembros de la EACO.</w:t>
      </w:r>
    </w:p>
    <w:bookmarkEnd w:id="2"/>
    <w:p w:rsidR="00830895" w:rsidRPr="00566B79" w:rsidRDefault="00830895" w:rsidP="009341DC">
      <w:r w:rsidRPr="00566B79">
        <w:t>5</w:t>
      </w:r>
      <w:r w:rsidRPr="00566B79">
        <w:tab/>
      </w:r>
      <w:bookmarkStart w:id="3" w:name="lt_pId055"/>
      <w:r w:rsidRPr="00566B79">
        <w:t xml:space="preserve">En el sitio web de la UIT encontrará un </w:t>
      </w:r>
      <w:r w:rsidRPr="00566B79">
        <w:rPr>
          <w:b/>
          <w:bCs/>
          <w:u w:val="single"/>
        </w:rPr>
        <w:t>proyecto de programa</w:t>
      </w:r>
      <w:r w:rsidRPr="00566B79">
        <w:t xml:space="preserve"> del Foro, en la dirección: </w:t>
      </w:r>
      <w:hyperlink r:id="rId12" w:history="1">
        <w:r w:rsidRPr="00566B79">
          <w:rPr>
            <w:rStyle w:val="Hyperlink"/>
          </w:rPr>
          <w:t>http://www.itu.int/en/ITU-T/Workshops-and-Seminars/qos/201511/Pages/default.aspx</w:t>
        </w:r>
      </w:hyperlink>
      <w:r w:rsidRPr="00566B79">
        <w:t>. Este sitio web se actualizará o modificará a medida que se disponga de la información correspondiente.</w:t>
      </w:r>
      <w:bookmarkEnd w:id="3"/>
      <w:r w:rsidRPr="00566B79">
        <w:t xml:space="preserve"> </w:t>
      </w:r>
      <w:bookmarkStart w:id="4" w:name="lt_pId056"/>
      <w:r w:rsidRPr="00566B79">
        <w:t>Se pide a los participantes que comprueben periódicamente las nuevas actualizaciones.</w:t>
      </w:r>
      <w:bookmarkEnd w:id="4"/>
    </w:p>
    <w:p w:rsidR="00830895" w:rsidRPr="00566B79" w:rsidRDefault="00830895" w:rsidP="00BE56F2">
      <w:pPr>
        <w:rPr>
          <w:highlight w:val="cyan"/>
        </w:rPr>
      </w:pPr>
      <w:r w:rsidRPr="00566B79">
        <w:rPr>
          <w:bCs/>
        </w:rPr>
        <w:t>6</w:t>
      </w:r>
      <w:r w:rsidRPr="00566B79">
        <w:rPr>
          <w:bCs/>
        </w:rPr>
        <w:tab/>
        <w:t>Se facilitará información general a los participantes sobre alojamiento en hoteles, transporte y trámites de obtención de visados en la citada página web de la UIT.</w:t>
      </w:r>
    </w:p>
    <w:p w:rsidR="00830895" w:rsidRPr="00566B79" w:rsidRDefault="00830895" w:rsidP="00BE56F2">
      <w:r w:rsidRPr="00566B79">
        <w:t>7</w:t>
      </w:r>
      <w:r w:rsidRPr="00566B79">
        <w:tab/>
        <w:t xml:space="preserve">Para que las organizaciones anfitrionas y la UIT puedan tomar las disposiciones necesarias sobre la organización del Foro, le agradeceríamos que se inscribiese mediante el formulario en línea disponible en la dirección </w:t>
      </w:r>
      <w:hyperlink r:id="rId13" w:history="1">
        <w:r w:rsidRPr="00566B79">
          <w:rPr>
            <w:rStyle w:val="Hyperlink"/>
          </w:rPr>
          <w:t>http://www.itu.int/en/ITU-T/Workshops-and-Seminars/qos/201511/Pages/default.aspx</w:t>
        </w:r>
      </w:hyperlink>
      <w:r w:rsidRPr="00566B79">
        <w:t xml:space="preserve"> lo antes posible pero, </w:t>
      </w:r>
      <w:r w:rsidRPr="00566B79">
        <w:rPr>
          <w:b/>
          <w:bCs/>
        </w:rPr>
        <w:t xml:space="preserve">a más tardar, el 9 de noviembre de 2015. Rogamos tenga presente que la preinscripción de los participantes para nuestros eventos se realiza exclusivamente </w:t>
      </w:r>
      <w:r w:rsidRPr="00566B79">
        <w:rPr>
          <w:b/>
          <w:bCs/>
          <w:i/>
          <w:iCs/>
        </w:rPr>
        <w:t>en línea</w:t>
      </w:r>
      <w:r>
        <w:t>.</w:t>
      </w:r>
    </w:p>
    <w:p w:rsidR="00830895" w:rsidRPr="00566B79" w:rsidRDefault="00830895" w:rsidP="00BE56F2">
      <w:pPr>
        <w:tabs>
          <w:tab w:val="left" w:pos="1418"/>
          <w:tab w:val="left" w:pos="1702"/>
          <w:tab w:val="left" w:pos="2160"/>
        </w:tabs>
        <w:ind w:right="92"/>
        <w:rPr>
          <w:rFonts w:cstheme="majorBidi"/>
          <w:szCs w:val="24"/>
        </w:rPr>
      </w:pPr>
      <w:r w:rsidRPr="00566B79">
        <w:t>8</w:t>
      </w:r>
      <w:r w:rsidRPr="00566B79">
        <w:tab/>
      </w:r>
      <w:r w:rsidRPr="00566B79">
        <w:rPr>
          <w:rFonts w:cstheme="majorBidi"/>
          <w:szCs w:val="24"/>
        </w:rPr>
        <w:t xml:space="preserve">Le recuerdo que los ciudadanos de algunos países necesitan un visado para poder entrar y permanecer cierto tiempo en </w:t>
      </w:r>
      <w:proofErr w:type="spellStart"/>
      <w:r w:rsidRPr="00566B79">
        <w:rPr>
          <w:rFonts w:cstheme="majorBidi"/>
          <w:szCs w:val="24"/>
        </w:rPr>
        <w:t>Kenya</w:t>
      </w:r>
      <w:proofErr w:type="spellEnd"/>
      <w:r w:rsidRPr="00566B79">
        <w:rPr>
          <w:rFonts w:cstheme="majorBidi"/>
          <w:szCs w:val="24"/>
        </w:rPr>
        <w:t xml:space="preserve">. El visado debe obtenerse en la oficina (embajada o consulado) que representa a </w:t>
      </w:r>
      <w:proofErr w:type="spellStart"/>
      <w:r w:rsidRPr="00566B79">
        <w:rPr>
          <w:rFonts w:cstheme="majorBidi"/>
          <w:szCs w:val="24"/>
        </w:rPr>
        <w:t>Kenya</w:t>
      </w:r>
      <w:proofErr w:type="spellEnd"/>
      <w:r w:rsidRPr="00566B79">
        <w:rPr>
          <w:rFonts w:cstheme="majorBidi"/>
          <w:szCs w:val="24"/>
        </w:rPr>
        <w:t xml:space="preserve"> en su país o, en su defecto, en la más próxima a su país de partida. Se podrá consultar información adicional sobre los requisitos de visado en el sitio web del taller, en la siguiente dirección: </w:t>
      </w:r>
      <w:hyperlink r:id="rId14" w:history="1">
        <w:r w:rsidRPr="00566B79">
          <w:rPr>
            <w:rStyle w:val="Hyperlink"/>
          </w:rPr>
          <w:t>http://www.itu.int/en/ITU-T/Workshops-and-Seminars/qos/201511/Pages/default.aspx</w:t>
        </w:r>
      </w:hyperlink>
      <w:r w:rsidRPr="00566B79">
        <w:t>. Rogamos tenga presente que la aprobación del visado puede llevar tiempo, por lo que le alentamos a que tome sus disposiciones para la obtención del visado lo antes</w:t>
      </w:r>
      <w:r>
        <w:t xml:space="preserve"> posible.</w:t>
      </w:r>
    </w:p>
    <w:p w:rsidR="00830895" w:rsidRPr="00566B79" w:rsidRDefault="00830895" w:rsidP="00E35FAB">
      <w:pPr>
        <w:ind w:right="92"/>
        <w:rPr>
          <w:rFonts w:cstheme="majorBidi"/>
          <w:szCs w:val="24"/>
        </w:rPr>
      </w:pPr>
      <w:bookmarkStart w:id="5" w:name="_GoBack"/>
      <w:bookmarkEnd w:id="5"/>
      <w:r w:rsidRPr="00566B79">
        <w:t>Le saluda muy atentamente</w:t>
      </w:r>
      <w:r w:rsidRPr="00566B79">
        <w:rPr>
          <w:rFonts w:cstheme="majorBidi"/>
          <w:szCs w:val="24"/>
        </w:rPr>
        <w:t>.</w:t>
      </w:r>
    </w:p>
    <w:p w:rsidR="00830895" w:rsidRPr="00566B79" w:rsidRDefault="00830895" w:rsidP="000C0706">
      <w:pPr>
        <w:tabs>
          <w:tab w:val="clear" w:pos="1588"/>
          <w:tab w:val="clear" w:pos="1985"/>
          <w:tab w:val="left" w:pos="7215"/>
        </w:tabs>
        <w:spacing w:before="1200"/>
        <w:ind w:right="91"/>
        <w:rPr>
          <w:rFonts w:cstheme="majorBidi"/>
          <w:szCs w:val="24"/>
        </w:rPr>
      </w:pPr>
      <w:r w:rsidRPr="00566B79">
        <w:rPr>
          <w:rFonts w:cstheme="majorBidi"/>
          <w:szCs w:val="24"/>
        </w:rPr>
        <w:t>Chaesub Lee</w:t>
      </w:r>
      <w:r w:rsidRPr="00566B79">
        <w:rPr>
          <w:rFonts w:cstheme="majorBidi"/>
          <w:szCs w:val="24"/>
        </w:rPr>
        <w:tab/>
      </w:r>
      <w:r w:rsidRPr="00566B79">
        <w:rPr>
          <w:rFonts w:cstheme="majorBidi"/>
          <w:szCs w:val="24"/>
        </w:rPr>
        <w:br/>
        <w:t xml:space="preserve">Director de la Oficina de </w:t>
      </w:r>
      <w:r w:rsidRPr="00566B79">
        <w:rPr>
          <w:rFonts w:cstheme="majorBidi"/>
          <w:szCs w:val="24"/>
        </w:rPr>
        <w:br/>
        <w:t>Normalización de las Telecomunicaciones</w:t>
      </w:r>
    </w:p>
    <w:p w:rsidR="00401C20" w:rsidRPr="00830895" w:rsidRDefault="00401C20" w:rsidP="00830895"/>
    <w:sectPr w:rsidR="00401C20" w:rsidRPr="00830895" w:rsidSect="00B87E9E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95" w:rsidRDefault="00830895">
      <w:r>
        <w:separator/>
      </w:r>
    </w:p>
  </w:endnote>
  <w:endnote w:type="continuationSeparator" w:id="0">
    <w:p w:rsidR="00830895" w:rsidRDefault="0083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59" w:rsidRPr="00695D45" w:rsidRDefault="00695D45" w:rsidP="00695D45">
    <w:pPr>
      <w:pStyle w:val="Footer"/>
      <w:rPr>
        <w:lang w:val="fr-CH"/>
      </w:rPr>
    </w:pPr>
    <w:r w:rsidRPr="00695D45">
      <w:rPr>
        <w:szCs w:val="18"/>
        <w:lang w:val="fr-CH"/>
      </w:rPr>
      <w:t>ITU-T\BUREAU\CIRC\176</w:t>
    </w:r>
    <w:r>
      <w:rPr>
        <w:szCs w:val="18"/>
        <w:lang w:val="fr-CH"/>
      </w:rPr>
      <w:t>S</w:t>
    </w:r>
    <w:r w:rsidRPr="00695D45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Pr="006E4F7B" w:rsidRDefault="006E4F7B" w:rsidP="00AB6E3A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95" w:rsidRDefault="00830895">
      <w:r>
        <w:t>____________________</w:t>
      </w:r>
    </w:p>
  </w:footnote>
  <w:footnote w:type="continuationSeparator" w:id="0">
    <w:p w:rsidR="00830895" w:rsidRDefault="0083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70214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30895" w:rsidRPr="00830895" w:rsidRDefault="00830895">
        <w:pPr>
          <w:pStyle w:val="Header"/>
          <w:rPr>
            <w:sz w:val="18"/>
            <w:szCs w:val="18"/>
          </w:rPr>
        </w:pPr>
        <w:r w:rsidRPr="00830895">
          <w:rPr>
            <w:sz w:val="18"/>
            <w:szCs w:val="18"/>
          </w:rPr>
          <w:fldChar w:fldCharType="begin"/>
        </w:r>
        <w:r w:rsidRPr="00830895">
          <w:rPr>
            <w:sz w:val="18"/>
            <w:szCs w:val="18"/>
          </w:rPr>
          <w:instrText xml:space="preserve"> PAGE   \* MERGEFORMAT </w:instrText>
        </w:r>
        <w:r w:rsidRPr="00830895">
          <w:rPr>
            <w:sz w:val="18"/>
            <w:szCs w:val="18"/>
          </w:rPr>
          <w:fldChar w:fldCharType="separate"/>
        </w:r>
        <w:r w:rsidR="003E0B2D">
          <w:rPr>
            <w:noProof/>
            <w:sz w:val="18"/>
            <w:szCs w:val="18"/>
          </w:rPr>
          <w:t>2</w:t>
        </w:r>
        <w:r w:rsidRPr="00830895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95"/>
    <w:rsid w:val="00002529"/>
    <w:rsid w:val="00072B59"/>
    <w:rsid w:val="00085662"/>
    <w:rsid w:val="000C382F"/>
    <w:rsid w:val="001173CC"/>
    <w:rsid w:val="001A54CC"/>
    <w:rsid w:val="00257FB4"/>
    <w:rsid w:val="002E496E"/>
    <w:rsid w:val="00303D62"/>
    <w:rsid w:val="00335367"/>
    <w:rsid w:val="00370C2D"/>
    <w:rsid w:val="003D1E8D"/>
    <w:rsid w:val="003D673B"/>
    <w:rsid w:val="003E0B2D"/>
    <w:rsid w:val="003F2855"/>
    <w:rsid w:val="00401C20"/>
    <w:rsid w:val="00457F43"/>
    <w:rsid w:val="004C4144"/>
    <w:rsid w:val="00695D45"/>
    <w:rsid w:val="006969B4"/>
    <w:rsid w:val="006E4F7B"/>
    <w:rsid w:val="00781E2A"/>
    <w:rsid w:val="007933A2"/>
    <w:rsid w:val="007A3625"/>
    <w:rsid w:val="00814503"/>
    <w:rsid w:val="008258C2"/>
    <w:rsid w:val="00830895"/>
    <w:rsid w:val="008505BD"/>
    <w:rsid w:val="00850C78"/>
    <w:rsid w:val="008C17AD"/>
    <w:rsid w:val="008D02CD"/>
    <w:rsid w:val="0093265C"/>
    <w:rsid w:val="0095172A"/>
    <w:rsid w:val="009A0BA0"/>
    <w:rsid w:val="009D44B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7AC0"/>
    <w:rsid w:val="00C34772"/>
    <w:rsid w:val="00C5465A"/>
    <w:rsid w:val="00D54642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5A718C0-062B-40D3-88BD-E9C81E6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201511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511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2015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workshop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201511/Pages/defaul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9546-6122-4BB2-8BCA-94E1C99E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</TotalTime>
  <Pages>2</Pages>
  <Words>709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5215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Aveline, Marion</cp:lastModifiedBy>
  <cp:revision>4</cp:revision>
  <cp:lastPrinted>2015-11-04T08:57:00Z</cp:lastPrinted>
  <dcterms:created xsi:type="dcterms:W3CDTF">2015-11-04T08:55:00Z</dcterms:created>
  <dcterms:modified xsi:type="dcterms:W3CDTF">2015-11-04T08:57:00Z</dcterms:modified>
</cp:coreProperties>
</file>