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4889"/>
        <w:gridCol w:w="5000"/>
      </w:tblGrid>
      <w:tr w:rsidR="00534AA8" w:rsidTr="00496EBA">
        <w:trPr>
          <w:jc w:val="center"/>
        </w:trPr>
        <w:tc>
          <w:tcPr>
            <w:tcW w:w="4889" w:type="dxa"/>
            <w:shd w:val="clear" w:color="auto" w:fill="auto"/>
          </w:tcPr>
          <w:p w:rsidR="00534AA8" w:rsidRPr="00930FCB" w:rsidRDefault="00534AA8" w:rsidP="00534AA8">
            <w:pPr>
              <w:pStyle w:val="Header"/>
              <w:jc w:val="right"/>
              <w:rPr>
                <w:rFonts w:cs="Calibri"/>
                <w:lang w:val="fr-CH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D481EE3" wp14:editId="22D58FB5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shd w:val="clear" w:color="auto" w:fill="auto"/>
          </w:tcPr>
          <w:p w:rsidR="00534AA8" w:rsidRPr="00930FCB" w:rsidRDefault="00534AA8" w:rsidP="00534AA8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</w:rPr>
              <w:drawing>
                <wp:inline distT="0" distB="0" distL="0" distR="0" wp14:anchorId="7E7F9C17" wp14:editId="00942262">
                  <wp:extent cx="533400" cy="609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AA8" w:rsidTr="00496EBA">
        <w:trPr>
          <w:jc w:val="center"/>
        </w:trPr>
        <w:tc>
          <w:tcPr>
            <w:tcW w:w="4889" w:type="dxa"/>
            <w:shd w:val="clear" w:color="auto" w:fill="auto"/>
          </w:tcPr>
          <w:p w:rsidR="00534AA8" w:rsidRDefault="00534AA8" w:rsidP="00534AA8">
            <w:pPr>
              <w:pStyle w:val="Header"/>
              <w:spacing w:line="360" w:lineRule="auto"/>
              <w:jc w:val="right"/>
              <w:rPr>
                <w:noProof/>
                <w:lang w:bidi="ar-EG"/>
              </w:rPr>
            </w:pPr>
          </w:p>
        </w:tc>
        <w:tc>
          <w:tcPr>
            <w:tcW w:w="5000" w:type="dxa"/>
            <w:shd w:val="clear" w:color="auto" w:fill="auto"/>
          </w:tcPr>
          <w:p w:rsidR="00534AA8" w:rsidRPr="00930FCB" w:rsidRDefault="00534AA8" w:rsidP="00534AA8">
            <w:pPr>
              <w:pStyle w:val="Header"/>
              <w:jc w:val="left"/>
              <w:rPr>
                <w:rFonts w:cs="Calibri"/>
                <w:b/>
                <w:bCs/>
                <w:noProof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</w:tr>
    </w:tbl>
    <w:p w:rsidR="001967E8" w:rsidRPr="001967E8" w:rsidRDefault="001967E8" w:rsidP="001967E8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492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2718"/>
        <w:gridCol w:w="5244"/>
      </w:tblGrid>
      <w:tr w:rsidR="001967E8" w:rsidRPr="001967E8" w:rsidTr="00262BC0">
        <w:trPr>
          <w:cantSplit/>
          <w:trHeight w:val="340"/>
        </w:trPr>
        <w:tc>
          <w:tcPr>
            <w:tcW w:w="808" w:type="pct"/>
          </w:tcPr>
          <w:p w:rsidR="001967E8" w:rsidRPr="001967E8" w:rsidRDefault="001967E8" w:rsidP="00104930">
            <w:pPr>
              <w:spacing w:before="60" w:after="240" w:line="300" w:lineRule="exact"/>
              <w:jc w:val="left"/>
              <w:rPr>
                <w:lang w:bidi="ar-SY"/>
              </w:rPr>
            </w:pPr>
          </w:p>
        </w:tc>
        <w:tc>
          <w:tcPr>
            <w:tcW w:w="1431" w:type="pct"/>
          </w:tcPr>
          <w:p w:rsidR="001967E8" w:rsidRPr="001967E8" w:rsidRDefault="001967E8" w:rsidP="00104930">
            <w:pPr>
              <w:spacing w:before="60" w:after="24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761" w:type="pct"/>
          </w:tcPr>
          <w:p w:rsidR="001967E8" w:rsidRPr="001967E8" w:rsidRDefault="007F3A2A" w:rsidP="00104930">
            <w:pPr>
              <w:spacing w:before="60" w:after="240" w:line="300" w:lineRule="exact"/>
              <w:jc w:val="left"/>
            </w:pPr>
            <w:r w:rsidRPr="007F3A2A">
              <w:rPr>
                <w:rFonts w:hint="cs"/>
                <w:rtl/>
              </w:rPr>
              <w:t xml:space="preserve">جنيف، </w:t>
            </w:r>
            <w:r w:rsidRPr="007F3A2A">
              <w:t>22</w:t>
            </w:r>
            <w:r w:rsidRPr="007F3A2A">
              <w:rPr>
                <w:rFonts w:hint="cs"/>
                <w:rtl/>
                <w:lang w:bidi="ar-SY"/>
              </w:rPr>
              <w:t xml:space="preserve"> يناير </w:t>
            </w:r>
            <w:r w:rsidRPr="007F3A2A">
              <w:t>2016</w:t>
            </w:r>
          </w:p>
        </w:tc>
      </w:tr>
      <w:tr w:rsidR="001967E8" w:rsidRPr="001967E8" w:rsidTr="00262BC0">
        <w:trPr>
          <w:cantSplit/>
          <w:trHeight w:val="340"/>
        </w:trPr>
        <w:tc>
          <w:tcPr>
            <w:tcW w:w="808" w:type="pct"/>
          </w:tcPr>
          <w:p w:rsidR="001967E8" w:rsidRPr="001967E8" w:rsidRDefault="001967E8" w:rsidP="00C663B8">
            <w:pPr>
              <w:spacing w:before="60" w:after="60" w:line="28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431" w:type="pct"/>
          </w:tcPr>
          <w:p w:rsidR="001967E8" w:rsidRPr="004A5976" w:rsidRDefault="007F3A2A" w:rsidP="00C663B8">
            <w:pPr>
              <w:spacing w:before="60" w:after="60" w:line="280" w:lineRule="exact"/>
              <w:jc w:val="left"/>
              <w:rPr>
                <w:rtl/>
                <w:lang w:val="fr-CH" w:bidi="ar-EG"/>
              </w:rPr>
            </w:pPr>
            <w:r w:rsidRPr="007F3A2A">
              <w:rPr>
                <w:b/>
                <w:bCs/>
                <w:lang w:bidi="ar-SY"/>
              </w:rPr>
              <w:t>TSB Circular 194</w:t>
            </w:r>
          </w:p>
        </w:tc>
        <w:tc>
          <w:tcPr>
            <w:tcW w:w="2761" w:type="pct"/>
            <w:vMerge w:val="restart"/>
          </w:tcPr>
          <w:p w:rsidR="001967E8" w:rsidRPr="004B7639" w:rsidRDefault="004A5976" w:rsidP="00C663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280" w:lineRule="exact"/>
              <w:ind w:left="367" w:hanging="367"/>
              <w:jc w:val="left"/>
              <w:rPr>
                <w:b/>
                <w:bCs/>
                <w:rtl/>
                <w:lang w:bidi="ar-SY"/>
              </w:rPr>
            </w:pPr>
            <w:r w:rsidRPr="004B7639">
              <w:rPr>
                <w:rFonts w:hint="cs"/>
                <w:b/>
                <w:bCs/>
                <w:rtl/>
                <w:lang w:bidi="ar-SY"/>
              </w:rPr>
              <w:t>إلى:</w:t>
            </w:r>
          </w:p>
          <w:p w:rsidR="004A5976" w:rsidRPr="001967E8" w:rsidRDefault="004A5976" w:rsidP="00C663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280" w:lineRule="exact"/>
              <w:ind w:left="367" w:hanging="367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 w:rsidR="007F3A2A" w:rsidRPr="007F3A2A">
              <w:rPr>
                <w:rFonts w:hint="cs"/>
                <w:rtl/>
              </w:rPr>
              <w:t>إدارات الدول الأعضاء في الات‍حاد</w:t>
            </w:r>
          </w:p>
        </w:tc>
      </w:tr>
      <w:tr w:rsidR="001967E8" w:rsidRPr="001967E8" w:rsidTr="00262BC0">
        <w:trPr>
          <w:cantSplit/>
        </w:trPr>
        <w:tc>
          <w:tcPr>
            <w:tcW w:w="808" w:type="pct"/>
          </w:tcPr>
          <w:p w:rsidR="001967E8" w:rsidRPr="001967E8" w:rsidRDefault="001967E8" w:rsidP="00C663B8">
            <w:pPr>
              <w:spacing w:before="60" w:after="60" w:line="28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431" w:type="pct"/>
          </w:tcPr>
          <w:p w:rsidR="001967E8" w:rsidRPr="001967E8" w:rsidRDefault="007F3A2A" w:rsidP="00C663B8">
            <w:pPr>
              <w:spacing w:before="60" w:after="60" w:line="280" w:lineRule="exact"/>
              <w:jc w:val="left"/>
              <w:rPr>
                <w:rtl/>
                <w:lang w:bidi="ar-EG"/>
              </w:rPr>
            </w:pPr>
            <w:r w:rsidRPr="007F3A2A">
              <w:rPr>
                <w:lang w:bidi="ar-SY"/>
              </w:rPr>
              <w:t>+41 22 730 5780</w:t>
            </w:r>
          </w:p>
        </w:tc>
        <w:tc>
          <w:tcPr>
            <w:tcW w:w="2761" w:type="pct"/>
            <w:vMerge/>
          </w:tcPr>
          <w:p w:rsidR="001967E8" w:rsidRPr="001967E8" w:rsidRDefault="001967E8" w:rsidP="00C663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28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262BC0">
        <w:trPr>
          <w:cantSplit/>
        </w:trPr>
        <w:tc>
          <w:tcPr>
            <w:tcW w:w="808" w:type="pct"/>
          </w:tcPr>
          <w:p w:rsidR="004B7639" w:rsidRPr="001967E8" w:rsidRDefault="001967E8" w:rsidP="00C663B8">
            <w:pPr>
              <w:spacing w:before="60" w:after="60" w:line="28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431" w:type="pct"/>
          </w:tcPr>
          <w:p w:rsidR="004B7639" w:rsidRPr="001967E8" w:rsidRDefault="007F3A2A" w:rsidP="00C663B8">
            <w:pPr>
              <w:spacing w:before="60" w:after="60" w:line="280" w:lineRule="exact"/>
              <w:jc w:val="left"/>
              <w:rPr>
                <w:rtl/>
                <w:lang w:bidi="ar-SY"/>
              </w:rPr>
            </w:pPr>
            <w:r w:rsidRPr="007F3A2A">
              <w:rPr>
                <w:lang w:bidi="ar-SY"/>
              </w:rPr>
              <w:t>+41 22 730 5853</w:t>
            </w:r>
          </w:p>
        </w:tc>
        <w:tc>
          <w:tcPr>
            <w:tcW w:w="2761" w:type="pct"/>
            <w:vMerge/>
          </w:tcPr>
          <w:p w:rsidR="001967E8" w:rsidRPr="001967E8" w:rsidRDefault="001967E8" w:rsidP="00C663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28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262BC0">
        <w:trPr>
          <w:cantSplit/>
        </w:trPr>
        <w:tc>
          <w:tcPr>
            <w:tcW w:w="808" w:type="pct"/>
          </w:tcPr>
          <w:p w:rsidR="001967E8" w:rsidRPr="004B7639" w:rsidRDefault="00104930" w:rsidP="00104930">
            <w:pPr>
              <w:spacing w:before="60" w:after="60" w:line="300" w:lineRule="exact"/>
              <w:ind w:left="369" w:hanging="369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431" w:type="pct"/>
          </w:tcPr>
          <w:p w:rsidR="004A5976" w:rsidRPr="001967E8" w:rsidRDefault="00212C49" w:rsidP="00104930">
            <w:pPr>
              <w:spacing w:before="60" w:after="60" w:line="300" w:lineRule="exact"/>
              <w:ind w:left="369" w:hanging="369"/>
              <w:jc w:val="left"/>
              <w:rPr>
                <w:rtl/>
                <w:lang w:bidi="ar-SY"/>
              </w:rPr>
            </w:pPr>
            <w:hyperlink r:id="rId10" w:history="1">
              <w:r w:rsidR="00104930" w:rsidRPr="007F3A2A">
                <w:rPr>
                  <w:rStyle w:val="Hyperlink"/>
                </w:rPr>
                <w:t>conformity@itu.int</w:t>
              </w:r>
            </w:hyperlink>
          </w:p>
        </w:tc>
        <w:tc>
          <w:tcPr>
            <w:tcW w:w="2761" w:type="pct"/>
          </w:tcPr>
          <w:p w:rsidR="001967E8" w:rsidRPr="001967E8" w:rsidRDefault="001967E8" w:rsidP="0010493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9" w:hanging="369"/>
              <w:jc w:val="left"/>
              <w:rPr>
                <w:b/>
                <w:bCs/>
                <w:rtl/>
              </w:rPr>
            </w:pPr>
            <w:r w:rsidRPr="001967E8">
              <w:rPr>
                <w:rFonts w:hint="cs"/>
                <w:b/>
                <w:bCs/>
                <w:rtl/>
              </w:rPr>
              <w:t>نسخة إلى:</w:t>
            </w:r>
          </w:p>
          <w:p w:rsidR="007F3A2A" w:rsidRPr="007F3A2A" w:rsidRDefault="007F3A2A" w:rsidP="0070061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7F3A2A">
              <w:rPr>
                <w:rFonts w:hint="cs"/>
                <w:rtl/>
              </w:rPr>
              <w:t>-</w:t>
            </w:r>
            <w:r w:rsidRPr="007F3A2A">
              <w:rPr>
                <w:rtl/>
              </w:rPr>
              <w:tab/>
            </w:r>
            <w:r w:rsidRPr="007F3A2A">
              <w:rPr>
                <w:rFonts w:hint="cs"/>
                <w:rtl/>
              </w:rPr>
              <w:t>أعضاء قطاع تقييس الاتصالات؛</w:t>
            </w:r>
          </w:p>
          <w:p w:rsidR="007F3A2A" w:rsidRPr="007F3A2A" w:rsidRDefault="007F3A2A" w:rsidP="0070061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7F3A2A">
              <w:rPr>
                <w:rFonts w:hint="cs"/>
                <w:rtl/>
              </w:rPr>
              <w:t>-</w:t>
            </w:r>
            <w:r w:rsidRPr="007F3A2A">
              <w:rPr>
                <w:rtl/>
              </w:rPr>
              <w:tab/>
              <w:t>ال</w:t>
            </w:r>
            <w:r w:rsidRPr="007F3A2A">
              <w:rPr>
                <w:rFonts w:hint="cs"/>
                <w:rtl/>
              </w:rPr>
              <w:t>‍</w:t>
            </w:r>
            <w:r w:rsidRPr="007F3A2A">
              <w:rPr>
                <w:rtl/>
              </w:rPr>
              <w:t xml:space="preserve">منتسبين </w:t>
            </w:r>
            <w:r w:rsidRPr="007F3A2A">
              <w:rPr>
                <w:rFonts w:hint="cs"/>
                <w:rtl/>
              </w:rPr>
              <w:t>إلى</w:t>
            </w:r>
            <w:r w:rsidRPr="007F3A2A">
              <w:rPr>
                <w:rtl/>
              </w:rPr>
              <w:t xml:space="preserve"> قطاع تقييس الاتصالات</w:t>
            </w:r>
            <w:r w:rsidRPr="007F3A2A">
              <w:rPr>
                <w:rFonts w:hint="cs"/>
                <w:rtl/>
              </w:rPr>
              <w:t>؛</w:t>
            </w:r>
          </w:p>
          <w:p w:rsidR="007F3A2A" w:rsidRPr="007F3A2A" w:rsidRDefault="007F3A2A" w:rsidP="0070061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7F3A2A">
              <w:rPr>
                <w:rFonts w:hint="cs"/>
                <w:rtl/>
              </w:rPr>
              <w:t>-</w:t>
            </w:r>
            <w:r w:rsidRPr="007F3A2A">
              <w:rPr>
                <w:rtl/>
              </w:rPr>
              <w:tab/>
            </w:r>
            <w:r w:rsidRPr="007F3A2A">
              <w:rPr>
                <w:rFonts w:hint="cs"/>
                <w:rtl/>
              </w:rPr>
              <w:t>الهيئات الأكادي‍مية ال‍منضمة إلى الات</w:t>
            </w:r>
            <w:r w:rsidR="00700610">
              <w:rPr>
                <w:rFonts w:hint="cs"/>
                <w:rtl/>
              </w:rPr>
              <w:t>‍</w:t>
            </w:r>
            <w:r w:rsidRPr="007F3A2A">
              <w:rPr>
                <w:rFonts w:hint="cs"/>
                <w:rtl/>
              </w:rPr>
              <w:t>حاد؛</w:t>
            </w:r>
          </w:p>
          <w:p w:rsidR="007F3A2A" w:rsidRPr="007F3A2A" w:rsidRDefault="007F3A2A" w:rsidP="0070061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7F3A2A">
              <w:rPr>
                <w:rFonts w:hint="cs"/>
                <w:rtl/>
              </w:rPr>
              <w:t>-</w:t>
            </w:r>
            <w:r w:rsidRPr="007F3A2A">
              <w:rPr>
                <w:rtl/>
              </w:rPr>
              <w:tab/>
            </w:r>
            <w:r w:rsidRPr="007F3A2A">
              <w:rPr>
                <w:rFonts w:hint="cs"/>
                <w:rtl/>
              </w:rPr>
              <w:t>رؤساء ل‍جان دراسات قطاع تقييس الاتصالات ونوابهم</w:t>
            </w:r>
            <w:r w:rsidRPr="007F3A2A">
              <w:rPr>
                <w:rFonts w:hint="cs"/>
                <w:rtl/>
                <w:lang w:bidi="ar-EG"/>
              </w:rPr>
              <w:t>؛</w:t>
            </w:r>
          </w:p>
          <w:p w:rsidR="007F3A2A" w:rsidRPr="007F3A2A" w:rsidRDefault="007F3A2A" w:rsidP="0070061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7F3A2A">
              <w:rPr>
                <w:rFonts w:hint="cs"/>
                <w:rtl/>
              </w:rPr>
              <w:t>-</w:t>
            </w:r>
            <w:r w:rsidRPr="007F3A2A">
              <w:rPr>
                <w:rtl/>
              </w:rPr>
              <w:tab/>
              <w:t xml:space="preserve">مدير </w:t>
            </w:r>
            <w:r w:rsidRPr="007F3A2A">
              <w:rPr>
                <w:rFonts w:hint="cs"/>
                <w:rtl/>
              </w:rPr>
              <w:t xml:space="preserve">مكتب </w:t>
            </w:r>
            <w:r w:rsidRPr="007F3A2A">
              <w:rPr>
                <w:rtl/>
              </w:rPr>
              <w:t>تنمية الاتصالات</w:t>
            </w:r>
            <w:r w:rsidR="00F56C35">
              <w:rPr>
                <w:rFonts w:hint="cs"/>
                <w:rtl/>
              </w:rPr>
              <w:t>؛</w:t>
            </w:r>
          </w:p>
          <w:p w:rsidR="004A5976" w:rsidRPr="001967E8" w:rsidRDefault="007F3A2A" w:rsidP="0070061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7F3A2A">
              <w:rPr>
                <w:rFonts w:hint="cs"/>
                <w:rtl/>
              </w:rPr>
              <w:t>-</w:t>
            </w:r>
            <w:r w:rsidRPr="007F3A2A">
              <w:rPr>
                <w:rtl/>
              </w:rPr>
              <w:tab/>
            </w:r>
            <w:r w:rsidRPr="007F3A2A">
              <w:rPr>
                <w:rFonts w:hint="cs"/>
                <w:rtl/>
              </w:rPr>
              <w:t xml:space="preserve">مدير مكتب </w:t>
            </w:r>
            <w:r w:rsidRPr="007F3A2A">
              <w:rPr>
                <w:rtl/>
              </w:rPr>
              <w:t>الاتصالات</w:t>
            </w:r>
            <w:r w:rsidRPr="007F3A2A">
              <w:rPr>
                <w:rFonts w:hint="cs"/>
                <w:rtl/>
              </w:rPr>
              <w:t xml:space="preserve"> الراديوية</w:t>
            </w:r>
          </w:p>
        </w:tc>
      </w:tr>
      <w:tr w:rsidR="001967E8" w:rsidRPr="001967E8" w:rsidTr="00262BC0">
        <w:trPr>
          <w:cantSplit/>
        </w:trPr>
        <w:tc>
          <w:tcPr>
            <w:tcW w:w="808" w:type="pct"/>
          </w:tcPr>
          <w:p w:rsidR="001967E8" w:rsidRPr="001967E8" w:rsidRDefault="001967E8" w:rsidP="000A3E88">
            <w:pPr>
              <w:spacing w:before="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431" w:type="pct"/>
          </w:tcPr>
          <w:p w:rsidR="001967E8" w:rsidRPr="001967E8" w:rsidRDefault="001967E8" w:rsidP="000A3E88">
            <w:pPr>
              <w:spacing w:before="0" w:line="300" w:lineRule="exact"/>
              <w:jc w:val="left"/>
              <w:rPr>
                <w:lang w:bidi="ar-SY"/>
              </w:rPr>
            </w:pPr>
          </w:p>
        </w:tc>
        <w:tc>
          <w:tcPr>
            <w:tcW w:w="2761" w:type="pct"/>
          </w:tcPr>
          <w:p w:rsidR="001967E8" w:rsidRPr="001967E8" w:rsidRDefault="001967E8" w:rsidP="000A3E88">
            <w:pPr>
              <w:spacing w:before="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262BC0">
        <w:trPr>
          <w:cantSplit/>
        </w:trPr>
        <w:tc>
          <w:tcPr>
            <w:tcW w:w="808" w:type="pct"/>
          </w:tcPr>
          <w:p w:rsidR="001967E8" w:rsidRPr="001967E8" w:rsidRDefault="001967E8" w:rsidP="0055592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الموضوع:</w:t>
            </w:r>
          </w:p>
        </w:tc>
        <w:tc>
          <w:tcPr>
            <w:tcW w:w="4192" w:type="pct"/>
            <w:gridSpan w:val="2"/>
          </w:tcPr>
          <w:p w:rsidR="001967E8" w:rsidRPr="001967E8" w:rsidRDefault="007F3A2A" w:rsidP="00526F07">
            <w:pPr>
              <w:spacing w:before="60" w:after="60" w:line="340" w:lineRule="exact"/>
              <w:rPr>
                <w:b/>
                <w:bCs/>
                <w:rtl/>
              </w:rPr>
            </w:pPr>
            <w:r w:rsidRPr="007F3A2A">
              <w:rPr>
                <w:rFonts w:hint="cs"/>
                <w:b/>
                <w:bCs/>
                <w:rtl/>
                <w:lang w:bidi="ar-SY"/>
              </w:rPr>
              <w:t xml:space="preserve">تقييم أداء الهواتف المحمولة بوصفها بوابات لأنظمة السيارات </w:t>
            </w:r>
            <w:r w:rsidR="00B41071">
              <w:rPr>
                <w:rFonts w:hint="cs"/>
                <w:b/>
                <w:bCs/>
                <w:rtl/>
                <w:lang w:bidi="ar-EG"/>
              </w:rPr>
              <w:t>التي لا</w:t>
            </w:r>
            <w:r w:rsidR="00526F07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B41071">
              <w:rPr>
                <w:rFonts w:hint="cs"/>
                <w:b/>
                <w:bCs/>
                <w:rtl/>
                <w:lang w:bidi="ar-EG"/>
              </w:rPr>
              <w:t>تستدعي استعمال</w:t>
            </w:r>
            <w:r w:rsidRPr="007F3A2A">
              <w:rPr>
                <w:rFonts w:hint="cs"/>
                <w:b/>
                <w:bCs/>
                <w:rtl/>
                <w:lang w:bidi="ar-SY"/>
              </w:rPr>
              <w:t xml:space="preserve"> اليدين</w:t>
            </w:r>
            <w:r w:rsidR="00526F07">
              <w:rPr>
                <w:rFonts w:hint="eastAsia"/>
                <w:b/>
                <w:bCs/>
                <w:rtl/>
                <w:lang w:bidi="ar-SY"/>
              </w:rPr>
              <w:t> </w:t>
            </w:r>
            <w:r w:rsidRPr="007F3A2A">
              <w:rPr>
                <w:b/>
                <w:bCs/>
                <w:rtl/>
                <w:lang w:bidi="ar-SY"/>
              </w:rPr>
              <w:t>–</w:t>
            </w:r>
            <w:r w:rsidRPr="007F3A2A">
              <w:rPr>
                <w:rFonts w:hint="cs"/>
                <w:b/>
                <w:bCs/>
                <w:rtl/>
                <w:lang w:bidi="ar-SY"/>
              </w:rPr>
              <w:t xml:space="preserve"> دعوة إلى المشاركة في حدث الاختبار وفي الاختبار حسب الطلب</w:t>
            </w:r>
          </w:p>
        </w:tc>
      </w:tr>
    </w:tbl>
    <w:p w:rsidR="001967E8" w:rsidRPr="001967E8" w:rsidRDefault="001967E8" w:rsidP="009363CC">
      <w:pPr>
        <w:pStyle w:val="Normalaftertitle"/>
        <w:spacing w:before="600"/>
        <w:rPr>
          <w:rtl/>
        </w:rPr>
      </w:pPr>
      <w:bookmarkStart w:id="1" w:name="dtemplate"/>
      <w:bookmarkEnd w:id="1"/>
      <w:r w:rsidRPr="001967E8">
        <w:rPr>
          <w:rFonts w:hint="cs"/>
          <w:rtl/>
        </w:rPr>
        <w:t>حضرات السادة والسيدات،</w:t>
      </w:r>
    </w:p>
    <w:p w:rsidR="001967E8" w:rsidRPr="001967E8" w:rsidRDefault="001967E8" w:rsidP="001967E8">
      <w:pPr>
        <w:rPr>
          <w:rtl/>
          <w:lang w:bidi="ar-EG"/>
        </w:rPr>
      </w:pPr>
      <w:r w:rsidRPr="001967E8">
        <w:rPr>
          <w:rFonts w:hint="cs"/>
          <w:rtl/>
        </w:rPr>
        <w:t>ت</w:t>
      </w:r>
      <w:r w:rsidRPr="001967E8">
        <w:rPr>
          <w:rFonts w:hint="cs"/>
          <w:rtl/>
          <w:lang w:bidi="ar-EG"/>
        </w:rPr>
        <w:t>‍</w:t>
      </w:r>
      <w:r w:rsidRPr="001967E8">
        <w:rPr>
          <w:rFonts w:hint="cs"/>
          <w:rtl/>
        </w:rPr>
        <w:t>حية طيبة وبعد،</w:t>
      </w:r>
    </w:p>
    <w:p w:rsidR="00B41071" w:rsidRPr="007C638C" w:rsidRDefault="00B41071" w:rsidP="00210910">
      <w:pPr>
        <w:rPr>
          <w:spacing w:val="-2"/>
          <w:rtl/>
          <w:lang w:bidi="ar-EG"/>
        </w:rPr>
      </w:pPr>
      <w:r w:rsidRPr="005746C7">
        <w:rPr>
          <w:rFonts w:hint="cs"/>
          <w:spacing w:val="-4"/>
          <w:rtl/>
        </w:rPr>
        <w:t>أود أن أدعوكم إلى ال</w:t>
      </w:r>
      <w:r w:rsidR="006E4D1D">
        <w:rPr>
          <w:rFonts w:hint="cs"/>
          <w:spacing w:val="-4"/>
          <w:rtl/>
        </w:rPr>
        <w:t>‍</w:t>
      </w:r>
      <w:r w:rsidRPr="005746C7">
        <w:rPr>
          <w:rFonts w:hint="cs"/>
          <w:spacing w:val="-4"/>
          <w:rtl/>
        </w:rPr>
        <w:t>مشاركة في حدث الاختبار الثاني الذي ينظمه الات</w:t>
      </w:r>
      <w:r w:rsidR="006E4D1D">
        <w:rPr>
          <w:rFonts w:hint="cs"/>
          <w:spacing w:val="-4"/>
          <w:rtl/>
        </w:rPr>
        <w:t>‍</w:t>
      </w:r>
      <w:r w:rsidRPr="005746C7">
        <w:rPr>
          <w:rFonts w:hint="cs"/>
          <w:spacing w:val="-4"/>
          <w:rtl/>
        </w:rPr>
        <w:t>حاد الدولي للاتصالات بشأن تقييم أداء الهواتف ال</w:t>
      </w:r>
      <w:r w:rsidR="006E4D1D">
        <w:rPr>
          <w:rFonts w:hint="cs"/>
          <w:spacing w:val="-4"/>
          <w:rtl/>
        </w:rPr>
        <w:t>‍</w:t>
      </w:r>
      <w:r w:rsidRPr="005746C7">
        <w:rPr>
          <w:rFonts w:hint="cs"/>
          <w:spacing w:val="-4"/>
          <w:rtl/>
        </w:rPr>
        <w:t>محمولة بوصفها بوابات لأنظمة السيارات التي لا</w:t>
      </w:r>
      <w:r w:rsidR="00EB0EF8">
        <w:rPr>
          <w:rFonts w:hint="eastAsia"/>
          <w:spacing w:val="-4"/>
          <w:rtl/>
        </w:rPr>
        <w:t> </w:t>
      </w:r>
      <w:r w:rsidRPr="005746C7">
        <w:rPr>
          <w:rFonts w:hint="cs"/>
          <w:spacing w:val="-4"/>
          <w:rtl/>
        </w:rPr>
        <w:t>تستدعي استعمال اليدين. وستجري هذه الاختبارات طبقاً للتوصيتين</w:t>
      </w:r>
      <w:r w:rsidRPr="005746C7">
        <w:rPr>
          <w:rFonts w:hint="eastAsia"/>
          <w:spacing w:val="-4"/>
          <w:rtl/>
        </w:rPr>
        <w:t> </w:t>
      </w:r>
      <w:r w:rsidRPr="005746C7">
        <w:rPr>
          <w:spacing w:val="-4"/>
          <w:lang w:bidi="ar-EG"/>
        </w:rPr>
        <w:t>ITU</w:t>
      </w:r>
      <w:r w:rsidR="005746C7" w:rsidRPr="005746C7">
        <w:rPr>
          <w:spacing w:val="-4"/>
          <w:lang w:bidi="ar-EG"/>
        </w:rPr>
        <w:noBreakHyphen/>
      </w:r>
      <w:r w:rsidRPr="005746C7">
        <w:rPr>
          <w:spacing w:val="-4"/>
          <w:lang w:bidi="ar-EG"/>
        </w:rPr>
        <w:t>T</w:t>
      </w:r>
      <w:r w:rsidR="005746C7" w:rsidRPr="005746C7">
        <w:rPr>
          <w:spacing w:val="-4"/>
          <w:lang w:bidi="ar-EG"/>
        </w:rPr>
        <w:t> </w:t>
      </w:r>
      <w:hyperlink r:id="rId11" w:history="1">
        <w:r w:rsidRPr="005746C7">
          <w:rPr>
            <w:rStyle w:val="Hyperlink"/>
            <w:spacing w:val="-4"/>
            <w:lang w:bidi="ar-EG"/>
          </w:rPr>
          <w:t>P.11</w:t>
        </w:r>
        <w:r w:rsidR="005746C7" w:rsidRPr="005746C7">
          <w:rPr>
            <w:rStyle w:val="Hyperlink"/>
            <w:spacing w:val="-4"/>
            <w:lang w:bidi="ar-EG"/>
          </w:rPr>
          <w:t>1</w:t>
        </w:r>
        <w:r w:rsidRPr="005746C7">
          <w:rPr>
            <w:rStyle w:val="Hyperlink"/>
            <w:spacing w:val="-4"/>
            <w:lang w:bidi="ar-EG"/>
          </w:rPr>
          <w:t>0</w:t>
        </w:r>
      </w:hyperlink>
      <w:r w:rsidR="005746C7" w:rsidRPr="005746C7">
        <w:rPr>
          <w:spacing w:val="-4"/>
        </w:rPr>
        <w:t>/</w:t>
      </w:r>
      <w:hyperlink r:id="rId12" w:history="1">
        <w:r w:rsidRPr="005746C7">
          <w:rPr>
            <w:rStyle w:val="Hyperlink"/>
            <w:spacing w:val="-4"/>
            <w:lang w:bidi="ar-EG"/>
          </w:rPr>
          <w:t>P.11</w:t>
        </w:r>
        <w:r w:rsidR="005746C7" w:rsidRPr="005746C7">
          <w:rPr>
            <w:rStyle w:val="Hyperlink"/>
            <w:spacing w:val="-4"/>
            <w:lang w:bidi="ar-EG"/>
          </w:rPr>
          <w:t>0</w:t>
        </w:r>
        <w:r w:rsidRPr="005746C7">
          <w:rPr>
            <w:rStyle w:val="Hyperlink"/>
            <w:spacing w:val="-4"/>
            <w:lang w:bidi="ar-EG"/>
          </w:rPr>
          <w:t>0</w:t>
        </w:r>
      </w:hyperlink>
      <w:r w:rsidRPr="005746C7">
        <w:rPr>
          <w:rFonts w:hint="cs"/>
          <w:spacing w:val="-4"/>
          <w:rtl/>
        </w:rPr>
        <w:t xml:space="preserve"> </w:t>
      </w:r>
      <w:r w:rsidRPr="00210910">
        <w:rPr>
          <w:rFonts w:hint="cs"/>
          <w:rtl/>
        </w:rPr>
        <w:t>(الاتصال ضيق النطاق وواسع النطاق بدون استعمال اليدين في السيارات على التوالي). ومن ال</w:t>
      </w:r>
      <w:r w:rsidR="00210910" w:rsidRPr="00210910">
        <w:rPr>
          <w:rFonts w:hint="cs"/>
          <w:rtl/>
        </w:rPr>
        <w:t>‍</w:t>
      </w:r>
      <w:r w:rsidRPr="00210910">
        <w:rPr>
          <w:rFonts w:hint="cs"/>
          <w:rtl/>
        </w:rPr>
        <w:t>مقرر أن ي</w:t>
      </w:r>
      <w:r w:rsidR="004D4E15">
        <w:rPr>
          <w:rFonts w:hint="cs"/>
          <w:rtl/>
        </w:rPr>
        <w:t>ُ</w:t>
      </w:r>
      <w:r w:rsidRPr="00210910">
        <w:rPr>
          <w:rFonts w:hint="cs"/>
          <w:rtl/>
        </w:rPr>
        <w:t>عقد ال</w:t>
      </w:r>
      <w:r w:rsidR="00210910" w:rsidRPr="00210910">
        <w:rPr>
          <w:rFonts w:hint="cs"/>
          <w:rtl/>
        </w:rPr>
        <w:t>‍</w:t>
      </w:r>
      <w:r w:rsidRPr="00210910">
        <w:rPr>
          <w:rFonts w:hint="cs"/>
          <w:rtl/>
        </w:rPr>
        <w:t>حدث في</w:t>
      </w:r>
      <w:r w:rsidR="00EB0EF8" w:rsidRPr="00210910">
        <w:rPr>
          <w:rFonts w:hint="eastAsia"/>
          <w:rtl/>
        </w:rPr>
        <w:t> </w:t>
      </w:r>
      <w:r w:rsidRPr="00210910">
        <w:rPr>
          <w:rFonts w:hint="cs"/>
          <w:rtl/>
        </w:rPr>
        <w:t xml:space="preserve">الفترة من </w:t>
      </w:r>
      <w:r w:rsidRPr="00210910">
        <w:rPr>
          <w:b/>
          <w:bCs/>
          <w:lang w:bidi="ar-EG"/>
        </w:rPr>
        <w:t>23</w:t>
      </w:r>
      <w:r w:rsidRPr="00210910">
        <w:rPr>
          <w:rFonts w:hint="cs"/>
          <w:b/>
          <w:bCs/>
          <w:rtl/>
          <w:lang w:bidi="ar-EG"/>
        </w:rPr>
        <w:t xml:space="preserve"> إلى </w:t>
      </w:r>
      <w:r w:rsidRPr="00210910">
        <w:rPr>
          <w:b/>
          <w:bCs/>
          <w:lang w:bidi="ar-EG"/>
        </w:rPr>
        <w:t>27</w:t>
      </w:r>
      <w:r w:rsidRPr="00210910">
        <w:rPr>
          <w:rFonts w:hint="cs"/>
          <w:b/>
          <w:bCs/>
          <w:rtl/>
          <w:lang w:bidi="ar-EG"/>
        </w:rPr>
        <w:t xml:space="preserve"> مايو </w:t>
      </w:r>
      <w:r w:rsidRPr="00210910">
        <w:rPr>
          <w:b/>
          <w:bCs/>
          <w:lang w:bidi="ar-EG"/>
        </w:rPr>
        <w:t>2016</w:t>
      </w:r>
      <w:r w:rsidRPr="00210910">
        <w:rPr>
          <w:rFonts w:hint="cs"/>
          <w:rtl/>
          <w:lang w:bidi="ar-EG"/>
        </w:rPr>
        <w:t>. وتتاح الأحكام والشروط ورسوم ال</w:t>
      </w:r>
      <w:r w:rsidR="00210910" w:rsidRPr="00210910">
        <w:rPr>
          <w:rFonts w:hint="cs"/>
          <w:rtl/>
          <w:lang w:bidi="ar-EG"/>
        </w:rPr>
        <w:t>‍</w:t>
      </w:r>
      <w:r w:rsidRPr="00210910">
        <w:rPr>
          <w:rFonts w:hint="cs"/>
          <w:rtl/>
          <w:lang w:bidi="ar-EG"/>
        </w:rPr>
        <w:t>مشاركة في ال</w:t>
      </w:r>
      <w:r w:rsidR="00210910" w:rsidRPr="00210910">
        <w:rPr>
          <w:rFonts w:hint="cs"/>
          <w:rtl/>
          <w:lang w:bidi="ar-EG"/>
        </w:rPr>
        <w:t>‍</w:t>
      </w:r>
      <w:r w:rsidRPr="00210910">
        <w:rPr>
          <w:rFonts w:hint="cs"/>
          <w:rtl/>
          <w:lang w:bidi="ar-EG"/>
        </w:rPr>
        <w:t xml:space="preserve">حدث في </w:t>
      </w:r>
      <w:hyperlink r:id="rId13" w:history="1">
        <w:r w:rsidRPr="00210910">
          <w:rPr>
            <w:rStyle w:val="Hyperlink"/>
            <w:rFonts w:hint="cs"/>
            <w:rtl/>
            <w:lang w:bidi="ar-EG"/>
          </w:rPr>
          <w:t>الصفحة الإلكترونية</w:t>
        </w:r>
      </w:hyperlink>
      <w:r w:rsidRPr="00210910">
        <w:rPr>
          <w:rFonts w:hint="cs"/>
          <w:rtl/>
          <w:lang w:bidi="ar-EG"/>
        </w:rPr>
        <w:t xml:space="preserve"> ال</w:t>
      </w:r>
      <w:r w:rsidR="004218DB" w:rsidRPr="00210910">
        <w:rPr>
          <w:rFonts w:hint="cs"/>
          <w:rtl/>
          <w:lang w:bidi="ar-EG"/>
        </w:rPr>
        <w:t>‍</w:t>
      </w:r>
      <w:r w:rsidRPr="00210910">
        <w:rPr>
          <w:rFonts w:hint="cs"/>
          <w:rtl/>
          <w:lang w:bidi="ar-EG"/>
        </w:rPr>
        <w:t>مخصصة للحدث.</w:t>
      </w:r>
    </w:p>
    <w:p w:rsidR="00B41071" w:rsidRPr="00B41071" w:rsidRDefault="00B41071" w:rsidP="00B41071">
      <w:pPr>
        <w:rPr>
          <w:rtl/>
          <w:lang w:bidi="ar-EG"/>
        </w:rPr>
      </w:pPr>
      <w:r w:rsidRPr="00B41071">
        <w:rPr>
          <w:rFonts w:hint="cs"/>
          <w:rtl/>
          <w:lang w:bidi="ar-EG"/>
        </w:rPr>
        <w:t>ويسير هذا ال</w:t>
      </w:r>
      <w:r w:rsidR="00017D71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 xml:space="preserve">حدث على منوال </w:t>
      </w:r>
      <w:hyperlink r:id="rId14" w:history="1">
        <w:r w:rsidRPr="00B41071">
          <w:rPr>
            <w:rStyle w:val="Hyperlink"/>
            <w:rFonts w:hint="cs"/>
            <w:rtl/>
            <w:lang w:bidi="ar-EG"/>
          </w:rPr>
          <w:t>حدث الاختبار</w:t>
        </w:r>
      </w:hyperlink>
      <w:r w:rsidRPr="00B41071">
        <w:rPr>
          <w:rFonts w:hint="cs"/>
          <w:rtl/>
          <w:lang w:bidi="ar-EG"/>
        </w:rPr>
        <w:t xml:space="preserve"> الذي نظمه الات</w:t>
      </w:r>
      <w:r w:rsidR="00017D71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 xml:space="preserve">حاد في مايو </w:t>
      </w:r>
      <w:r w:rsidRPr="00B41071">
        <w:rPr>
          <w:lang w:bidi="ar-EG"/>
        </w:rPr>
        <w:t>2014</w:t>
      </w:r>
      <w:r w:rsidRPr="00B41071">
        <w:rPr>
          <w:rFonts w:hint="cs"/>
          <w:rtl/>
          <w:lang w:bidi="ar-EG"/>
        </w:rPr>
        <w:t xml:space="preserve"> والذي حقق تغطية إعلامية كبيرة وكان موضع تقدير كبير من جانب ال</w:t>
      </w:r>
      <w:r w:rsidR="00017D71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مشاركين (بوش ومرسيدس ور</w:t>
      </w:r>
      <w:r>
        <w:rPr>
          <w:rFonts w:hint="cs"/>
          <w:rtl/>
          <w:lang w:bidi="ar-EG"/>
        </w:rPr>
        <w:t>ي</w:t>
      </w:r>
      <w:r w:rsidRPr="00B41071">
        <w:rPr>
          <w:rFonts w:hint="cs"/>
          <w:rtl/>
          <w:lang w:bidi="ar-EG"/>
        </w:rPr>
        <w:t>نو وفولفو وتويوتا وغيرها). وت</w:t>
      </w:r>
      <w:r w:rsidR="00017D71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 xml:space="preserve">م اختبار حوالي </w:t>
      </w:r>
      <w:r w:rsidRPr="00B41071">
        <w:rPr>
          <w:lang w:bidi="ar-EG"/>
        </w:rPr>
        <w:t>50</w:t>
      </w:r>
      <w:r w:rsidRPr="00B41071">
        <w:rPr>
          <w:rFonts w:hint="cs"/>
          <w:rtl/>
          <w:lang w:bidi="ar-EG"/>
        </w:rPr>
        <w:t xml:space="preserve"> هاتفاً من أحدث الهواتف قدمتها الشركات ال</w:t>
      </w:r>
      <w:r w:rsidR="00017D71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مشاركة (</w:t>
      </w:r>
      <w:hyperlink r:id="rId15" w:anchor=".VnLHUrYrLmE" w:history="1">
        <w:r w:rsidRPr="00B41071">
          <w:rPr>
            <w:rStyle w:val="Hyperlink"/>
            <w:rFonts w:hint="cs"/>
            <w:rtl/>
            <w:lang w:bidi="ar-EG"/>
          </w:rPr>
          <w:t>مدونة إخبارية</w:t>
        </w:r>
      </w:hyperlink>
      <w:r w:rsidRPr="00B41071">
        <w:rPr>
          <w:rFonts w:hint="cs"/>
          <w:rtl/>
          <w:lang w:bidi="ar-EG"/>
        </w:rPr>
        <w:t>).</w:t>
      </w:r>
    </w:p>
    <w:p w:rsidR="00B41071" w:rsidRPr="00B41071" w:rsidRDefault="00B41071" w:rsidP="00044353">
      <w:pPr>
        <w:rPr>
          <w:rtl/>
          <w:lang w:bidi="ar-EG"/>
        </w:rPr>
      </w:pPr>
      <w:r w:rsidRPr="00B41071">
        <w:rPr>
          <w:rFonts w:hint="cs"/>
          <w:rtl/>
          <w:lang w:bidi="ar-EG"/>
        </w:rPr>
        <w:t>وإلى جانب التحليل التقني الذي يسمح للشركات ال</w:t>
      </w:r>
      <w:r w:rsidR="00EE069C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مصنّعة بتحسين هواتفها ال</w:t>
      </w:r>
      <w:r w:rsidR="00EE069C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محمولة، يتيح حدث الاختبار فرصة للمصنعين أو مقدمي الشبكات لإدراج الهواتف ال</w:t>
      </w:r>
      <w:r w:rsidR="00EE069C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 xml:space="preserve">محمولة في "القائمة البيضاء". وتُدرج الهواتف التي </w:t>
      </w:r>
      <w:r>
        <w:rPr>
          <w:rFonts w:hint="cs"/>
          <w:rtl/>
          <w:lang w:bidi="ar-EG"/>
        </w:rPr>
        <w:t>ت</w:t>
      </w:r>
      <w:r w:rsidR="00FD466F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 xml:space="preserve">جتاز الاختبارات </w:t>
      </w:r>
      <w:r>
        <w:rPr>
          <w:rFonts w:hint="cs"/>
          <w:rtl/>
          <w:lang w:bidi="ar-EG"/>
        </w:rPr>
        <w:t>بنجاح في</w:t>
      </w:r>
      <w:r w:rsidR="00FD466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"القائمة</w:t>
      </w:r>
      <w:r w:rsidR="00FD466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البيضاء"</w:t>
      </w:r>
      <w:r w:rsidRPr="00B41071">
        <w:rPr>
          <w:rFonts w:hint="cs"/>
          <w:rtl/>
          <w:lang w:bidi="ar-EG"/>
        </w:rPr>
        <w:t xml:space="preserve"> </w:t>
      </w:r>
      <w:hyperlink r:id="rId16" w:history="1">
        <w:r w:rsidRPr="00B41071">
          <w:rPr>
            <w:rStyle w:val="Hyperlink"/>
            <w:lang w:bidi="ar-EG"/>
          </w:rPr>
          <w:t>http://itu.int/go/phone_whitelist</w:t>
        </w:r>
      </w:hyperlink>
      <w:r w:rsidRPr="00B41071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وي</w:t>
      </w:r>
      <w:r w:rsidR="00FD466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 أن</w:t>
      </w:r>
      <w:r w:rsidRPr="00B41071">
        <w:rPr>
          <w:rFonts w:hint="cs"/>
          <w:rtl/>
          <w:lang w:bidi="ar-EG"/>
        </w:rPr>
        <w:t xml:space="preserve"> يوصى باستخدام قائمة الهواتف بالاقتران مع الأنظمة </w:t>
      </w:r>
      <w:r>
        <w:rPr>
          <w:rFonts w:hint="cs"/>
          <w:rtl/>
          <w:lang w:bidi="ar-EG"/>
        </w:rPr>
        <w:t>التي لا</w:t>
      </w:r>
      <w:r w:rsidR="00FD466F">
        <w:rPr>
          <w:rFonts w:hint="eastAsia"/>
          <w:rtl/>
          <w:lang w:bidi="ar-EG"/>
        </w:rPr>
        <w:t> </w:t>
      </w:r>
      <w:r w:rsidR="003A3ED8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ستدعي استعمال</w:t>
      </w:r>
      <w:r w:rsidRPr="00B41071">
        <w:rPr>
          <w:rFonts w:hint="cs"/>
          <w:rtl/>
          <w:lang w:bidi="ar-EG"/>
        </w:rPr>
        <w:t xml:space="preserve"> اليدين في السيارات استناداً إلى نتائج حدث الاختبار، وبالتالي ي</w:t>
      </w:r>
      <w:r w:rsidR="00044353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مكن أن يسترشد بها ال</w:t>
      </w:r>
      <w:r w:rsidR="00044353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مستهلك في</w:t>
      </w:r>
      <w:r w:rsidR="00044353">
        <w:rPr>
          <w:rFonts w:hint="eastAsia"/>
          <w:rtl/>
          <w:lang w:bidi="ar-EG"/>
        </w:rPr>
        <w:t> </w:t>
      </w:r>
      <w:r w:rsidRPr="00B41071">
        <w:rPr>
          <w:rFonts w:hint="cs"/>
          <w:rtl/>
          <w:lang w:bidi="ar-EG"/>
        </w:rPr>
        <w:t>ات</w:t>
      </w:r>
      <w:r w:rsidR="00044353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خاذ قرار الشراء وشركات صناعة السيارات في توصياتها.</w:t>
      </w:r>
    </w:p>
    <w:p w:rsidR="00B41071" w:rsidRPr="00B41071" w:rsidRDefault="00B41071" w:rsidP="00B41071">
      <w:pPr>
        <w:rPr>
          <w:rtl/>
          <w:lang w:bidi="ar-EG"/>
        </w:rPr>
      </w:pPr>
      <w:r w:rsidRPr="00B41071">
        <w:rPr>
          <w:rFonts w:hint="cs"/>
          <w:rtl/>
          <w:lang w:bidi="ar-EG"/>
        </w:rPr>
        <w:lastRenderedPageBreak/>
        <w:t>وعلاوة</w:t>
      </w:r>
      <w:r w:rsidR="00534AA8">
        <w:rPr>
          <w:rFonts w:hint="cs"/>
          <w:rtl/>
          <w:lang w:bidi="ar-EG"/>
        </w:rPr>
        <w:t>ً</w:t>
      </w:r>
      <w:r w:rsidRPr="00B41071">
        <w:rPr>
          <w:rFonts w:hint="cs"/>
          <w:rtl/>
          <w:lang w:bidi="ar-EG"/>
        </w:rPr>
        <w:t xml:space="preserve"> على ذلك، سيُعرض الاختبار حسب الطلب اعتباراً من الآن. ويتيح الاختبار حسب الطلب فرصة إضافية للشركات ال</w:t>
      </w:r>
      <w:r w:rsidR="00BA545B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مصنّعة ومقدمي ال</w:t>
      </w:r>
      <w:r w:rsidR="00BA545B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خدمات لاختبار أجهزة من أجل إدراجها في "القائمة البيضاء". وي</w:t>
      </w:r>
      <w:r w:rsidR="00BA545B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مكن للات</w:t>
      </w:r>
      <w:r w:rsidR="00BA545B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حاد أن يقوم بتنسيق الاختبار حسب الطلب في أي وقت وي</w:t>
      </w:r>
      <w:r w:rsidR="00BA545B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مكن أن يكون ذلك متزامناً مع دورة تطوير ن</w:t>
      </w:r>
      <w:r w:rsidR="00BA545B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ماذج هاتفية جديدة.</w:t>
      </w:r>
    </w:p>
    <w:p w:rsidR="00B41071" w:rsidRPr="00B41071" w:rsidRDefault="00B41071" w:rsidP="00534AA8">
      <w:pPr>
        <w:rPr>
          <w:rtl/>
          <w:lang w:bidi="ar-EG"/>
        </w:rPr>
      </w:pPr>
      <w:r w:rsidRPr="00B41071">
        <w:rPr>
          <w:rFonts w:hint="cs"/>
          <w:rtl/>
          <w:lang w:bidi="ar-EG"/>
        </w:rPr>
        <w:t>وسأكون م</w:t>
      </w:r>
      <w:r w:rsidR="00BA545B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>متناً لو ت</w:t>
      </w:r>
      <w:r w:rsidR="00BA545B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 xml:space="preserve">مكنتم من </w:t>
      </w:r>
      <w:r>
        <w:rPr>
          <w:rFonts w:hint="cs"/>
          <w:rtl/>
          <w:lang w:bidi="ar-EG"/>
        </w:rPr>
        <w:t>إبداء</w:t>
      </w:r>
      <w:r w:rsidRPr="00B41071">
        <w:rPr>
          <w:rFonts w:hint="cs"/>
          <w:rtl/>
          <w:lang w:bidi="ar-EG"/>
        </w:rPr>
        <w:t xml:space="preserve"> اهتمامكم بال</w:t>
      </w:r>
      <w:r w:rsidR="00BA545B">
        <w:rPr>
          <w:rFonts w:hint="cs"/>
          <w:rtl/>
          <w:lang w:bidi="ar-EG"/>
        </w:rPr>
        <w:t>‍</w:t>
      </w:r>
      <w:r w:rsidRPr="00B41071">
        <w:rPr>
          <w:rFonts w:hint="cs"/>
          <w:rtl/>
          <w:lang w:bidi="ar-EG"/>
        </w:rPr>
        <w:t xml:space="preserve">مشاركة إما في حدث الاختبار الثاني من خلال التسجيل قبل </w:t>
      </w:r>
      <w:r w:rsidRPr="00B41071">
        <w:rPr>
          <w:b/>
          <w:bCs/>
          <w:lang w:bidi="ar-EG"/>
        </w:rPr>
        <w:t>15</w:t>
      </w:r>
      <w:r w:rsidR="00534AA8">
        <w:rPr>
          <w:rFonts w:hint="eastAsia"/>
          <w:b/>
          <w:bCs/>
          <w:rtl/>
          <w:lang w:bidi="ar-EG"/>
        </w:rPr>
        <w:t> </w:t>
      </w:r>
      <w:r w:rsidRPr="00B41071">
        <w:rPr>
          <w:rFonts w:hint="cs"/>
          <w:b/>
          <w:bCs/>
          <w:rtl/>
          <w:lang w:bidi="ar-EG"/>
        </w:rPr>
        <w:t>مارس</w:t>
      </w:r>
      <w:r w:rsidR="00534AA8">
        <w:rPr>
          <w:rFonts w:hint="eastAsia"/>
          <w:b/>
          <w:bCs/>
          <w:rtl/>
          <w:lang w:bidi="ar-EG"/>
        </w:rPr>
        <w:t> </w:t>
      </w:r>
      <w:r w:rsidRPr="00B41071">
        <w:rPr>
          <w:b/>
          <w:bCs/>
          <w:lang w:bidi="ar-EG"/>
        </w:rPr>
        <w:t>2016</w:t>
      </w:r>
      <w:r w:rsidRPr="00B41071">
        <w:rPr>
          <w:rFonts w:hint="cs"/>
          <w:rtl/>
          <w:lang w:bidi="ar-EG"/>
        </w:rPr>
        <w:t>، أو</w:t>
      </w:r>
      <w:r w:rsidR="00534AA8">
        <w:rPr>
          <w:rFonts w:hint="eastAsia"/>
          <w:rtl/>
          <w:lang w:bidi="ar-EG"/>
        </w:rPr>
        <w:t> </w:t>
      </w:r>
      <w:r w:rsidRPr="00B41071">
        <w:rPr>
          <w:rFonts w:hint="cs"/>
          <w:rtl/>
          <w:lang w:bidi="ar-EG"/>
        </w:rPr>
        <w:t xml:space="preserve">في الاختبار حسب الطلب، وذلك من خلال الاتصال عن طريق </w:t>
      </w:r>
      <w:r w:rsidR="005746C7">
        <w:rPr>
          <w:rFonts w:hint="cs"/>
          <w:rtl/>
          <w:lang w:bidi="ar-EG"/>
        </w:rPr>
        <w:t xml:space="preserve">عنوان </w:t>
      </w:r>
      <w:r w:rsidRPr="00B41071">
        <w:rPr>
          <w:rFonts w:hint="cs"/>
          <w:rtl/>
          <w:lang w:bidi="ar-EG"/>
        </w:rPr>
        <w:t xml:space="preserve">البريد الإلكتروني التالي: </w:t>
      </w:r>
      <w:hyperlink r:id="rId17" w:history="1">
        <w:r w:rsidRPr="00B41071">
          <w:rPr>
            <w:rStyle w:val="Hyperlink"/>
            <w:lang w:bidi="ar-EG"/>
          </w:rPr>
          <w:t>conformity@itu.int</w:t>
        </w:r>
      </w:hyperlink>
      <w:r w:rsidRPr="00B41071">
        <w:rPr>
          <w:rFonts w:hint="cs"/>
          <w:rtl/>
          <w:lang w:bidi="ar-EG"/>
        </w:rPr>
        <w:t>.</w:t>
      </w:r>
    </w:p>
    <w:p w:rsidR="001967E8" w:rsidRDefault="001967E8" w:rsidP="00534AA8">
      <w:pPr>
        <w:pStyle w:val="Normalaftertitle"/>
        <w:spacing w:before="240"/>
      </w:pPr>
      <w:r w:rsidRPr="001967E8">
        <w:rPr>
          <w:rFonts w:hint="cs"/>
          <w:rtl/>
        </w:rPr>
        <w:t>وتفضلوا بقبول فائق التقدير والاحترام.</w:t>
      </w:r>
    </w:p>
    <w:p w:rsidR="001967E8" w:rsidRDefault="001967E8" w:rsidP="00534AA8">
      <w:pPr>
        <w:spacing w:before="1440"/>
        <w:jc w:val="left"/>
      </w:pPr>
      <w:r>
        <w:rPr>
          <w:rFonts w:hint="cs"/>
          <w:rtl/>
        </w:rPr>
        <w:t>تشيساب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br/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</w:p>
    <w:sectPr w:rsidR="001967E8" w:rsidSect="00555922">
      <w:head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49" w:rsidRDefault="00212C49" w:rsidP="00E76837">
      <w:pPr>
        <w:spacing w:before="0" w:line="240" w:lineRule="auto"/>
      </w:pPr>
      <w:r>
        <w:separator/>
      </w:r>
    </w:p>
  </w:endnote>
  <w:endnote w:type="continuationSeparator" w:id="0">
    <w:p w:rsidR="00212C49" w:rsidRDefault="00212C49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84" w:rsidRDefault="00950E58" w:rsidP="00E63B84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eastAsia="Times New Roman" w:cs="Times New Roman"/>
        <w:sz w:val="18"/>
        <w:szCs w:val="18"/>
        <w:lang w:val="fr-CH" w:eastAsia="en-US"/>
      </w:rPr>
    </w:pPr>
    <w:r w:rsidRPr="00950E58">
      <w:rPr>
        <w:rFonts w:eastAsia="Times New Roman" w:cs="Times New Roman"/>
        <w:sz w:val="18"/>
        <w:szCs w:val="18"/>
        <w:lang w:val="fr-CH" w:eastAsia="en-US"/>
      </w:rPr>
      <w:t xml:space="preserve">International </w:t>
    </w:r>
    <w:proofErr w:type="spellStart"/>
    <w:r w:rsidRPr="00950E58">
      <w:rPr>
        <w:rFonts w:eastAsia="Times New Roman" w:cs="Times New Roman"/>
        <w:sz w:val="18"/>
        <w:szCs w:val="18"/>
        <w:lang w:val="fr-CH" w:eastAsia="en-US"/>
      </w:rPr>
      <w:t>Telecommunication</w:t>
    </w:r>
    <w:proofErr w:type="spellEnd"/>
    <w:r w:rsidRPr="00950E58">
      <w:rPr>
        <w:rFonts w:eastAsia="Times New Roman" w:cs="Times New Roman"/>
        <w:sz w:val="18"/>
        <w:szCs w:val="18"/>
        <w:lang w:val="fr-CH" w:eastAsia="en-US"/>
      </w:rPr>
      <w:t xml:space="preserve"> Union • Place des Nations • CH</w:t>
    </w:r>
    <w:r w:rsidRPr="00950E58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950E58">
      <w:rPr>
        <w:rFonts w:eastAsia="Times New Roman" w:cs="Times New Roman"/>
        <w:sz w:val="18"/>
        <w:szCs w:val="18"/>
        <w:lang w:val="fr-CH" w:eastAsia="en-US"/>
      </w:rPr>
      <w:br/>
      <w:t>Tel: +41 22 730 5111 • Fax: +41 22 733 7256</w:t>
    </w:r>
  </w:p>
  <w:p w:rsidR="00950E58" w:rsidRPr="00950E58" w:rsidRDefault="00950E58" w:rsidP="00E63B84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eastAsia="Times New Roman" w:cs="Times New Roman"/>
        <w:sz w:val="16"/>
        <w:szCs w:val="20"/>
        <w:lang w:val="en-GB" w:eastAsia="en-US"/>
      </w:rPr>
    </w:pPr>
    <w:r w:rsidRPr="00950E58">
      <w:rPr>
        <w:rFonts w:eastAsia="Times New Roman" w:cs="Times New Roman"/>
        <w:sz w:val="18"/>
        <w:szCs w:val="18"/>
        <w:lang w:val="fr-CH" w:eastAsia="en-US"/>
      </w:rPr>
      <w:t xml:space="preserve">E-mail: </w:t>
    </w:r>
    <w:hyperlink r:id="rId1" w:history="1">
      <w:r w:rsidRPr="00950E5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950E58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 w:history="1">
      <w:r w:rsidRPr="00950E5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950E58">
      <w:rPr>
        <w:rFonts w:eastAsia="Times New Roman" w:cs="Times New Roman"/>
        <w:sz w:val="18"/>
        <w:szCs w:val="18"/>
        <w:lang w:val="fr-CH" w:eastAsia="en-US"/>
      </w:rPr>
      <w:t xml:space="preserve"> •</w:t>
    </w:r>
    <w:r w:rsidR="00E63B84">
      <w:rPr>
        <w:rFonts w:eastAsia="Times New Roman" w:cs="Times New Roman"/>
        <w:sz w:val="16"/>
        <w:szCs w:val="20"/>
        <w:lang w:val="en-GB" w:eastAsia="en-US"/>
      </w:rPr>
      <w:t xml:space="preserve"> </w:t>
    </w:r>
    <w:hyperlink r:id="rId3" w:history="1">
      <w:r w:rsidR="00E63B84" w:rsidRPr="00E63B84">
        <w:rPr>
          <w:rFonts w:eastAsia="Times New Roman" w:cs="Times New Roman"/>
          <w:color w:val="0000FF"/>
          <w:sz w:val="18"/>
          <w:szCs w:val="18"/>
          <w:lang w:val="fr-CH" w:eastAsia="en-US"/>
        </w:rPr>
        <w:t xml:space="preserve">CCITT/ITU-T 60 </w:t>
      </w:r>
      <w:proofErr w:type="spellStart"/>
      <w:r w:rsidR="00E63B84" w:rsidRPr="00E63B84">
        <w:rPr>
          <w:rFonts w:eastAsia="Times New Roman" w:cs="Times New Roman"/>
          <w:color w:val="0000FF"/>
          <w:sz w:val="18"/>
          <w:szCs w:val="18"/>
          <w:lang w:val="fr-CH" w:eastAsia="en-US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49" w:rsidRDefault="00212C49" w:rsidP="00E76837">
      <w:pPr>
        <w:spacing w:before="0" w:line="240" w:lineRule="auto"/>
      </w:pPr>
      <w:r>
        <w:separator/>
      </w:r>
    </w:p>
  </w:footnote>
  <w:footnote w:type="continuationSeparator" w:id="0">
    <w:p w:rsidR="00212C49" w:rsidRDefault="00212C49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E76837">
    <w:pPr>
      <w:pStyle w:val="Header"/>
      <w:spacing w:before="120" w:after="120"/>
      <w:jc w:val="center"/>
      <w:rPr>
        <w:rFonts w:cs="Calibri"/>
        <w:sz w:val="20"/>
        <w:szCs w:val="20"/>
      </w:rPr>
    </w:pPr>
    <w:r w:rsidRPr="00E76837">
      <w:rPr>
        <w:rFonts w:cs="Calibri"/>
        <w:sz w:val="20"/>
        <w:szCs w:val="20"/>
      </w:rPr>
      <w:t xml:space="preserve"> 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8752CB">
      <w:rPr>
        <w:rFonts w:cs="Times New Roman"/>
        <w:noProof/>
        <w:sz w:val="20"/>
        <w:szCs w:val="20"/>
        <w:rtl/>
      </w:rPr>
      <w:t>2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854955"/>
    <w:multiLevelType w:val="hybridMultilevel"/>
    <w:tmpl w:val="961E7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6D0553"/>
    <w:multiLevelType w:val="hybridMultilevel"/>
    <w:tmpl w:val="F0F0C52C"/>
    <w:lvl w:ilvl="0" w:tplc="F3E067FE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76"/>
    <w:rsid w:val="000147D1"/>
    <w:rsid w:val="00017D71"/>
    <w:rsid w:val="00026EBB"/>
    <w:rsid w:val="00044353"/>
    <w:rsid w:val="00064D8D"/>
    <w:rsid w:val="00072C00"/>
    <w:rsid w:val="00086A34"/>
    <w:rsid w:val="00090574"/>
    <w:rsid w:val="000975EE"/>
    <w:rsid w:val="000A3E88"/>
    <w:rsid w:val="000A410A"/>
    <w:rsid w:val="000E0507"/>
    <w:rsid w:val="00104930"/>
    <w:rsid w:val="00142DD1"/>
    <w:rsid w:val="00151EB9"/>
    <w:rsid w:val="00152036"/>
    <w:rsid w:val="001619B5"/>
    <w:rsid w:val="00173915"/>
    <w:rsid w:val="00183006"/>
    <w:rsid w:val="001967E8"/>
    <w:rsid w:val="001B01CA"/>
    <w:rsid w:val="001B3BB0"/>
    <w:rsid w:val="001F4549"/>
    <w:rsid w:val="001F5687"/>
    <w:rsid w:val="00210910"/>
    <w:rsid w:val="00212C49"/>
    <w:rsid w:val="0023283D"/>
    <w:rsid w:val="00262BC0"/>
    <w:rsid w:val="00280F0A"/>
    <w:rsid w:val="0028438A"/>
    <w:rsid w:val="0029562F"/>
    <w:rsid w:val="002978F4"/>
    <w:rsid w:val="002B028D"/>
    <w:rsid w:val="002E0F07"/>
    <w:rsid w:val="002E1339"/>
    <w:rsid w:val="002E6541"/>
    <w:rsid w:val="002F778B"/>
    <w:rsid w:val="003027D7"/>
    <w:rsid w:val="003224DE"/>
    <w:rsid w:val="00324729"/>
    <w:rsid w:val="0032583E"/>
    <w:rsid w:val="00327287"/>
    <w:rsid w:val="00335D25"/>
    <w:rsid w:val="00343BB9"/>
    <w:rsid w:val="00343E39"/>
    <w:rsid w:val="00357185"/>
    <w:rsid w:val="00385480"/>
    <w:rsid w:val="003A3ED8"/>
    <w:rsid w:val="003F678F"/>
    <w:rsid w:val="004218DB"/>
    <w:rsid w:val="0042686F"/>
    <w:rsid w:val="004314C0"/>
    <w:rsid w:val="0043287F"/>
    <w:rsid w:val="004350DC"/>
    <w:rsid w:val="004374BA"/>
    <w:rsid w:val="00443869"/>
    <w:rsid w:val="004500C2"/>
    <w:rsid w:val="00450677"/>
    <w:rsid w:val="00494E41"/>
    <w:rsid w:val="004A5976"/>
    <w:rsid w:val="004B7639"/>
    <w:rsid w:val="004D3701"/>
    <w:rsid w:val="004D4E15"/>
    <w:rsid w:val="004F08F2"/>
    <w:rsid w:val="00501E0E"/>
    <w:rsid w:val="00503456"/>
    <w:rsid w:val="00506069"/>
    <w:rsid w:val="0050665E"/>
    <w:rsid w:val="00526F07"/>
    <w:rsid w:val="00534AA8"/>
    <w:rsid w:val="00545B99"/>
    <w:rsid w:val="0055516A"/>
    <w:rsid w:val="00555922"/>
    <w:rsid w:val="005746C7"/>
    <w:rsid w:val="005750AA"/>
    <w:rsid w:val="005B53C0"/>
    <w:rsid w:val="005C0C55"/>
    <w:rsid w:val="005D7F8B"/>
    <w:rsid w:val="005E71C2"/>
    <w:rsid w:val="005F0FFB"/>
    <w:rsid w:val="0060130F"/>
    <w:rsid w:val="00601DCC"/>
    <w:rsid w:val="0062029B"/>
    <w:rsid w:val="00624FF4"/>
    <w:rsid w:val="00635A19"/>
    <w:rsid w:val="00651EC3"/>
    <w:rsid w:val="006E248C"/>
    <w:rsid w:val="006E462D"/>
    <w:rsid w:val="006E4D1D"/>
    <w:rsid w:val="006F63F7"/>
    <w:rsid w:val="00700610"/>
    <w:rsid w:val="00706D7A"/>
    <w:rsid w:val="007118B3"/>
    <w:rsid w:val="00711EF8"/>
    <w:rsid w:val="00722BE5"/>
    <w:rsid w:val="007528D1"/>
    <w:rsid w:val="00773B5E"/>
    <w:rsid w:val="007A6828"/>
    <w:rsid w:val="007B039D"/>
    <w:rsid w:val="007B79F2"/>
    <w:rsid w:val="007C638C"/>
    <w:rsid w:val="007E49D5"/>
    <w:rsid w:val="007F3A2A"/>
    <w:rsid w:val="00803F08"/>
    <w:rsid w:val="00822252"/>
    <w:rsid w:val="008235CD"/>
    <w:rsid w:val="00837B59"/>
    <w:rsid w:val="008513CB"/>
    <w:rsid w:val="00863C54"/>
    <w:rsid w:val="00872844"/>
    <w:rsid w:val="008752CB"/>
    <w:rsid w:val="008779F0"/>
    <w:rsid w:val="008A18B9"/>
    <w:rsid w:val="008D6381"/>
    <w:rsid w:val="008E33D0"/>
    <w:rsid w:val="008E5079"/>
    <w:rsid w:val="008F1A41"/>
    <w:rsid w:val="00901B23"/>
    <w:rsid w:val="00911C75"/>
    <w:rsid w:val="00920F23"/>
    <w:rsid w:val="009304E7"/>
    <w:rsid w:val="00932A13"/>
    <w:rsid w:val="009363CC"/>
    <w:rsid w:val="009461BD"/>
    <w:rsid w:val="00950E58"/>
    <w:rsid w:val="009616C5"/>
    <w:rsid w:val="00982B28"/>
    <w:rsid w:val="009A3407"/>
    <w:rsid w:val="009B7BDE"/>
    <w:rsid w:val="009D177B"/>
    <w:rsid w:val="009E7618"/>
    <w:rsid w:val="009F06A1"/>
    <w:rsid w:val="009F2ED5"/>
    <w:rsid w:val="009F304B"/>
    <w:rsid w:val="00A335B4"/>
    <w:rsid w:val="00A621FC"/>
    <w:rsid w:val="00A971DF"/>
    <w:rsid w:val="00A97F94"/>
    <w:rsid w:val="00AE637F"/>
    <w:rsid w:val="00B14D37"/>
    <w:rsid w:val="00B31E0F"/>
    <w:rsid w:val="00B342E2"/>
    <w:rsid w:val="00B36B67"/>
    <w:rsid w:val="00B41071"/>
    <w:rsid w:val="00B763F4"/>
    <w:rsid w:val="00B96B88"/>
    <w:rsid w:val="00BA545B"/>
    <w:rsid w:val="00BA556E"/>
    <w:rsid w:val="00C17592"/>
    <w:rsid w:val="00C60D03"/>
    <w:rsid w:val="00C663B8"/>
    <w:rsid w:val="00C674FE"/>
    <w:rsid w:val="00C75633"/>
    <w:rsid w:val="00C87822"/>
    <w:rsid w:val="00C92326"/>
    <w:rsid w:val="00CC0B76"/>
    <w:rsid w:val="00CD6E27"/>
    <w:rsid w:val="00CE2EE1"/>
    <w:rsid w:val="00CF3FFD"/>
    <w:rsid w:val="00CF5A88"/>
    <w:rsid w:val="00D0260B"/>
    <w:rsid w:val="00D52D29"/>
    <w:rsid w:val="00D67FD0"/>
    <w:rsid w:val="00D76007"/>
    <w:rsid w:val="00D77D0F"/>
    <w:rsid w:val="00DA1CF0"/>
    <w:rsid w:val="00DC24B4"/>
    <w:rsid w:val="00DC70D2"/>
    <w:rsid w:val="00DD5DCF"/>
    <w:rsid w:val="00DE724E"/>
    <w:rsid w:val="00DF16DC"/>
    <w:rsid w:val="00E07E89"/>
    <w:rsid w:val="00E1567A"/>
    <w:rsid w:val="00E17033"/>
    <w:rsid w:val="00E45211"/>
    <w:rsid w:val="00E47D43"/>
    <w:rsid w:val="00E624F3"/>
    <w:rsid w:val="00E63B84"/>
    <w:rsid w:val="00E7595C"/>
    <w:rsid w:val="00E76837"/>
    <w:rsid w:val="00E87B31"/>
    <w:rsid w:val="00E91685"/>
    <w:rsid w:val="00E920A7"/>
    <w:rsid w:val="00E9635A"/>
    <w:rsid w:val="00EB0EF8"/>
    <w:rsid w:val="00ED11DE"/>
    <w:rsid w:val="00EE069C"/>
    <w:rsid w:val="00F02CC0"/>
    <w:rsid w:val="00F56C35"/>
    <w:rsid w:val="00F61F52"/>
    <w:rsid w:val="00F63519"/>
    <w:rsid w:val="00F67271"/>
    <w:rsid w:val="00F83079"/>
    <w:rsid w:val="00F84366"/>
    <w:rsid w:val="00F85089"/>
    <w:rsid w:val="00F87949"/>
    <w:rsid w:val="00FB57A3"/>
    <w:rsid w:val="00FC0C61"/>
    <w:rsid w:val="00FD466F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C363B9-3EE3-47AB-AAE9-BE524374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20F23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20F23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4A5976"/>
    <w:rPr>
      <w:color w:val="0000FA"/>
      <w:u w:val="single"/>
    </w:rPr>
  </w:style>
  <w:style w:type="paragraph" w:styleId="Header">
    <w:name w:val="header"/>
    <w:aliases w:val="encabezado,Page No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table" w:styleId="TableGrid">
    <w:name w:val="Table Grid"/>
    <w:basedOn w:val="TableNormal"/>
    <w:uiPriority w:val="59"/>
    <w:rsid w:val="0050665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6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C-I/Pages/HFT-mobile-tests/test_event_2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recommendations/rec.aspx?rec=12416" TargetMode="External"/><Relationship Id="rId17" Type="http://schemas.openxmlformats.org/officeDocument/2006/relationships/hyperlink" Target="mailto:conformity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go/phone_whiteli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recommendations/rec.aspx?rec=12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pressoffice/press_releases/2015/05.aspx" TargetMode="External"/><Relationship Id="rId10" Type="http://schemas.openxmlformats.org/officeDocument/2006/relationships/hyperlink" Target="mailto:conformity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itu.int/en/ITU-T/C-I/Pages/test_event_Feb14.asp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30CF-D661-4488-B7F3-E5C768DF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Denis Andreev</cp:lastModifiedBy>
  <cp:revision>33</cp:revision>
  <cp:lastPrinted>2016-02-09T10:59:00Z</cp:lastPrinted>
  <dcterms:created xsi:type="dcterms:W3CDTF">2016-02-09T09:39:00Z</dcterms:created>
  <dcterms:modified xsi:type="dcterms:W3CDTF">2016-02-11T16:01:00Z</dcterms:modified>
</cp:coreProperties>
</file>