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969"/>
        <w:gridCol w:w="2551"/>
        <w:gridCol w:w="1843"/>
      </w:tblGrid>
      <w:tr w:rsidR="00803ACB" w14:paraId="7AF4C891" w14:textId="77777777" w:rsidTr="00C27BD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245D70BE" w14:textId="77777777" w:rsidR="00803ACB" w:rsidRPr="009A54D9" w:rsidRDefault="00803ACB" w:rsidP="00803ACB">
            <w:pPr>
              <w:pStyle w:val="Tabletext"/>
              <w:jc w:val="center"/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03D2AAE5" wp14:editId="43F2C94A">
                  <wp:extent cx="735373" cy="819150"/>
                  <wp:effectExtent l="0" t="0" r="0" b="0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2FBAF97F" w14:textId="77777777" w:rsidR="00C27BDB" w:rsidRDefault="00C27BDB" w:rsidP="00C27BD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3025A20" w14:textId="77777777" w:rsidR="00803ACB" w:rsidRPr="00C27BDB" w:rsidRDefault="00C27BDB" w:rsidP="00C27BDB">
            <w:pPr>
              <w:spacing w:before="0"/>
              <w:rPr>
                <w:rFonts w:ascii="Verdana" w:hAnsi="Verdana" w:cs="Times New Roman Bold"/>
                <w:smallCaps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7C48410F" w14:textId="2B94AF18" w:rsidR="00803ACB" w:rsidRPr="00F50108" w:rsidRDefault="003A676F" w:rsidP="00C71582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020DF7AA" wp14:editId="6CE2D89C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35625648" w14:textId="77777777" w:rsidTr="00D63425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1BBF6714" w14:textId="77777777"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18E21C3F" w14:textId="4A79B92E" w:rsidR="000305E1" w:rsidRDefault="00162032" w:rsidP="00C71582">
            <w:pPr>
              <w:pStyle w:val="Tabletext"/>
              <w:spacing w:before="480" w:after="120"/>
            </w:pPr>
            <w:r>
              <w:t xml:space="preserve">Geneva, </w:t>
            </w:r>
            <w:r w:rsidR="00C71582">
              <w:t>1</w:t>
            </w:r>
            <w:r w:rsidR="00F758D9">
              <w:t>1</w:t>
            </w:r>
            <w:r w:rsidR="00C71582">
              <w:t xml:space="preserve"> </w:t>
            </w:r>
            <w:r w:rsidR="00AE57E4">
              <w:t>February 2016</w:t>
            </w:r>
          </w:p>
        </w:tc>
      </w:tr>
      <w:tr w:rsidR="00C27BDB" w14:paraId="2CADB0F1" w14:textId="77777777" w:rsidTr="00C27BDB">
        <w:trPr>
          <w:cantSplit/>
          <w:trHeight w:val="835"/>
        </w:trPr>
        <w:tc>
          <w:tcPr>
            <w:tcW w:w="1134" w:type="dxa"/>
          </w:tcPr>
          <w:p w14:paraId="1894E73E" w14:textId="77777777" w:rsidR="00C27BDB" w:rsidRPr="00F36AC4" w:rsidRDefault="00C27BDB" w:rsidP="002F6530">
            <w:pPr>
              <w:pStyle w:val="Tabletext"/>
              <w:rPr>
                <w:rFonts w:ascii="Futura Lt BT" w:hAnsi="Futura Lt BT"/>
              </w:rPr>
            </w:pPr>
            <w:bookmarkStart w:id="2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</w:tcPr>
          <w:p w14:paraId="2377FC42" w14:textId="5C1CE1BF" w:rsidR="00C27BDB" w:rsidRPr="000305E1" w:rsidRDefault="00C27BDB" w:rsidP="00C71582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 w:rsidR="00C71582">
              <w:rPr>
                <w:b/>
                <w:bCs/>
              </w:rPr>
              <w:t>197</w:t>
            </w:r>
          </w:p>
          <w:p w14:paraId="4D15356F" w14:textId="77777777" w:rsidR="00C27BDB" w:rsidRPr="00F36AC4" w:rsidRDefault="00AE57E4" w:rsidP="00AE57E4">
            <w:pPr>
              <w:pStyle w:val="Tabletext"/>
            </w:pPr>
            <w:r>
              <w:t>COM 2</w:t>
            </w:r>
            <w:r w:rsidR="00C27BDB" w:rsidRPr="000305E1">
              <w:t>/</w:t>
            </w:r>
            <w:r>
              <w:t>JZ</w:t>
            </w:r>
          </w:p>
        </w:tc>
        <w:tc>
          <w:tcPr>
            <w:tcW w:w="4394" w:type="dxa"/>
            <w:gridSpan w:val="2"/>
            <w:vMerge w:val="restart"/>
          </w:tcPr>
          <w:p w14:paraId="41AFCBC6" w14:textId="4FF83D21" w:rsidR="007A1DDF" w:rsidRPr="00A45214" w:rsidRDefault="00C27BDB" w:rsidP="007A1DDF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  <w:r w:rsidR="009B282D">
              <w:t>;</w:t>
            </w:r>
          </w:p>
          <w:p w14:paraId="10294CB7" w14:textId="77777777" w:rsidR="007A1DDF" w:rsidRPr="00A45214" w:rsidRDefault="007A1DDF" w:rsidP="007A1DDF">
            <w:pPr>
              <w:pStyle w:val="Tabletext"/>
              <w:ind w:left="283" w:hanging="283"/>
            </w:pPr>
            <w:r w:rsidRPr="00A45214">
              <w:t>-</w:t>
            </w:r>
            <w:r w:rsidRPr="00A45214">
              <w:tab/>
              <w:t>To ITU-T Sector Members;</w:t>
            </w:r>
          </w:p>
          <w:p w14:paraId="1B70BD88" w14:textId="77777777" w:rsidR="007A1DDF" w:rsidRPr="00A45214" w:rsidRDefault="007A1DDF" w:rsidP="007A1DDF">
            <w:pPr>
              <w:pStyle w:val="Tabletext"/>
              <w:ind w:left="283" w:hanging="283"/>
            </w:pPr>
            <w:r w:rsidRPr="00A45214">
              <w:t>-</w:t>
            </w:r>
            <w:r w:rsidRPr="00A45214">
              <w:tab/>
              <w:t>To ITU-T SG</w:t>
            </w:r>
            <w:r>
              <w:t>2</w:t>
            </w:r>
            <w:r w:rsidRPr="00A45214">
              <w:t xml:space="preserve"> Associates;</w:t>
            </w:r>
          </w:p>
          <w:p w14:paraId="4F23D4F6" w14:textId="77777777" w:rsidR="007A1DDF" w:rsidRDefault="007A1DDF" w:rsidP="007A1DDF">
            <w:pPr>
              <w:pStyle w:val="Tabletext"/>
              <w:ind w:left="283" w:hanging="283"/>
            </w:pPr>
            <w:r w:rsidRPr="00A45214">
              <w:t>-</w:t>
            </w:r>
            <w:r w:rsidRPr="00A45214">
              <w:tab/>
              <w:t>To ITU Academia</w:t>
            </w:r>
          </w:p>
        </w:tc>
      </w:tr>
      <w:bookmarkEnd w:id="2"/>
      <w:tr w:rsidR="00951309" w14:paraId="6D89366A" w14:textId="77777777" w:rsidTr="00D63425">
        <w:trPr>
          <w:cantSplit/>
          <w:trHeight w:val="221"/>
        </w:trPr>
        <w:tc>
          <w:tcPr>
            <w:tcW w:w="1134" w:type="dxa"/>
          </w:tcPr>
          <w:p w14:paraId="1E69E3A5" w14:textId="77777777"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</w:tcPr>
          <w:p w14:paraId="5F4EFF77" w14:textId="77777777" w:rsidR="00951309" w:rsidRPr="00F36AC4" w:rsidRDefault="00951309" w:rsidP="00AE57E4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AE57E4">
              <w:t>5855</w:t>
            </w:r>
          </w:p>
        </w:tc>
        <w:tc>
          <w:tcPr>
            <w:tcW w:w="4394" w:type="dxa"/>
            <w:gridSpan w:val="2"/>
            <w:vMerge/>
          </w:tcPr>
          <w:p w14:paraId="74AB5FDA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08D748C1" w14:textId="77777777" w:rsidTr="00D63425">
        <w:trPr>
          <w:cantSplit/>
          <w:trHeight w:val="282"/>
        </w:trPr>
        <w:tc>
          <w:tcPr>
            <w:tcW w:w="1134" w:type="dxa"/>
          </w:tcPr>
          <w:p w14:paraId="43F9630A" w14:textId="77777777"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</w:tcPr>
          <w:p w14:paraId="51594B14" w14:textId="77777777"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69A20CF0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19A3F588" w14:textId="77777777" w:rsidTr="00D63425">
        <w:trPr>
          <w:cantSplit/>
          <w:trHeight w:val="1652"/>
        </w:trPr>
        <w:tc>
          <w:tcPr>
            <w:tcW w:w="1134" w:type="dxa"/>
          </w:tcPr>
          <w:p w14:paraId="460EC75D" w14:textId="77777777" w:rsidR="00951309" w:rsidRPr="00F36AC4" w:rsidRDefault="00951309" w:rsidP="002F6530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</w:tcPr>
          <w:p w14:paraId="40031DEA" w14:textId="77777777" w:rsidR="00951309" w:rsidRPr="00F36AC4" w:rsidRDefault="00D13948" w:rsidP="00AE57E4">
            <w:pPr>
              <w:pStyle w:val="Tabletext"/>
            </w:pPr>
            <w:hyperlink r:id="rId10" w:history="1">
              <w:r w:rsidR="00AE57E4" w:rsidRPr="002F1226">
                <w:rPr>
                  <w:rStyle w:val="Hyperlink"/>
                  <w:szCs w:val="22"/>
                </w:rPr>
                <w:t>tsbsg2@itu.int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529F7FC2" w14:textId="77777777" w:rsidR="002C0244" w:rsidRPr="007A1DDF" w:rsidRDefault="00951309" w:rsidP="007A1DDF">
            <w:pPr>
              <w:pStyle w:val="Tabletext"/>
              <w:tabs>
                <w:tab w:val="clear" w:pos="284"/>
                <w:tab w:val="left" w:pos="283"/>
              </w:tabs>
              <w:rPr>
                <w:b/>
              </w:rPr>
            </w:pPr>
            <w:r>
              <w:rPr>
                <w:b/>
              </w:rPr>
              <w:t>Copy:</w:t>
            </w:r>
          </w:p>
          <w:p w14:paraId="4BF528F1" w14:textId="77777777" w:rsidR="002C0244" w:rsidRDefault="002C0244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Chairman an</w:t>
            </w:r>
            <w:r w:rsidR="00AE57E4">
              <w:t>d Vice-Chairmen of Study Group 2</w:t>
            </w:r>
            <w:r>
              <w:t>;</w:t>
            </w:r>
          </w:p>
          <w:p w14:paraId="17307BDF" w14:textId="77777777" w:rsidR="002C0244" w:rsidRDefault="002C0244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3A0CD714" w14:textId="77777777" w:rsidR="00951309" w:rsidRDefault="002C0244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951309" w:rsidRPr="009B6449" w14:paraId="22010BFB" w14:textId="77777777" w:rsidTr="00D63425">
        <w:trPr>
          <w:cantSplit/>
          <w:trHeight w:val="80"/>
        </w:trPr>
        <w:tc>
          <w:tcPr>
            <w:tcW w:w="1134" w:type="dxa"/>
          </w:tcPr>
          <w:p w14:paraId="420F1F06" w14:textId="77777777" w:rsidR="00951309" w:rsidRPr="009B6449" w:rsidRDefault="00951309" w:rsidP="00C16938">
            <w:pPr>
              <w:pStyle w:val="Tabletext"/>
              <w:spacing w:before="240"/>
            </w:pPr>
            <w:r w:rsidRPr="009B6449">
              <w:t>Subject:</w:t>
            </w:r>
          </w:p>
        </w:tc>
        <w:tc>
          <w:tcPr>
            <w:tcW w:w="8647" w:type="dxa"/>
            <w:gridSpan w:val="4"/>
          </w:tcPr>
          <w:p w14:paraId="592600FF" w14:textId="77777777" w:rsidR="00951309" w:rsidRPr="009B6449" w:rsidRDefault="002C0244" w:rsidP="00A51AA7">
            <w:pPr>
              <w:pStyle w:val="Tabletext"/>
              <w:spacing w:before="240"/>
            </w:pPr>
            <w:r>
              <w:rPr>
                <w:b/>
              </w:rPr>
              <w:t xml:space="preserve">Approval of </w:t>
            </w:r>
            <w:r w:rsidR="00AE57E4">
              <w:rPr>
                <w:b/>
              </w:rPr>
              <w:t>new</w:t>
            </w:r>
            <w:r>
              <w:rPr>
                <w:b/>
              </w:rPr>
              <w:t xml:space="preserve"> Recommendation ITU-T </w:t>
            </w:r>
            <w:r w:rsidR="00AE57E4">
              <w:rPr>
                <w:b/>
              </w:rPr>
              <w:t>E.108</w:t>
            </w:r>
          </w:p>
        </w:tc>
      </w:tr>
    </w:tbl>
    <w:p w14:paraId="1D3571C1" w14:textId="77777777" w:rsidR="000B46FB" w:rsidRDefault="000B46FB" w:rsidP="0053262A">
      <w:pPr>
        <w:spacing w:before="360"/>
      </w:pPr>
      <w:bookmarkStart w:id="3" w:name="StartTyping_E"/>
      <w:bookmarkEnd w:id="3"/>
      <w:r>
        <w:t>Dear Sir/Madam,</w:t>
      </w:r>
    </w:p>
    <w:p w14:paraId="2659BD3A" w14:textId="40D3D56D" w:rsidR="002C0244" w:rsidRDefault="002C0244">
      <w:r>
        <w:rPr>
          <w:bCs/>
        </w:rPr>
        <w:t>1</w:t>
      </w:r>
      <w:r>
        <w:tab/>
        <w:t xml:space="preserve">Further to TSB Circular </w:t>
      </w:r>
      <w:r w:rsidR="00AE57E4">
        <w:t xml:space="preserve">153 </w:t>
      </w:r>
      <w:r>
        <w:t>of</w:t>
      </w:r>
      <w:r w:rsidR="00AE57E4">
        <w:t xml:space="preserve"> 18 May 2015, I hereby inform you that </w:t>
      </w:r>
      <w:r>
        <w:t>Member States participating in the last meeting of Study Group</w:t>
      </w:r>
      <w:r w:rsidR="00AE57E4">
        <w:t xml:space="preserve"> 2</w:t>
      </w:r>
      <w:r>
        <w:t xml:space="preserve"> </w:t>
      </w:r>
      <w:r w:rsidRPr="005A5FC2">
        <w:rPr>
          <w:b/>
        </w:rPr>
        <w:t>approved</w:t>
      </w:r>
      <w:r>
        <w:t xml:space="preserve"> the text of </w:t>
      </w:r>
      <w:r w:rsidR="00AE57E4">
        <w:t>the</w:t>
      </w:r>
      <w:r>
        <w:t xml:space="preserve"> </w:t>
      </w:r>
      <w:r w:rsidR="002D7AE0">
        <w:t xml:space="preserve">draft </w:t>
      </w:r>
      <w:r w:rsidR="00AE57E4">
        <w:t>new</w:t>
      </w:r>
      <w:r>
        <w:t xml:space="preserve"> </w:t>
      </w:r>
      <w:r w:rsidR="000B5EE6">
        <w:t xml:space="preserve">Recommendation </w:t>
      </w:r>
      <w:r>
        <w:t xml:space="preserve">ITU-T </w:t>
      </w:r>
      <w:r w:rsidR="00AE57E4">
        <w:t>E.108</w:t>
      </w:r>
      <w:r>
        <w:t xml:space="preserve"> during its Plenary session held on</w:t>
      </w:r>
      <w:r w:rsidR="00AE57E4">
        <w:t xml:space="preserve"> 29 January 2016.</w:t>
      </w:r>
      <w:r w:rsidR="002D5CD0">
        <w:t xml:space="preserve"> </w:t>
      </w:r>
      <w:r w:rsidR="00F758D9">
        <w:t xml:space="preserve"> The </w:t>
      </w:r>
      <w:r w:rsidR="007B2D74">
        <w:t>s</w:t>
      </w:r>
      <w:r w:rsidR="002D5CD0" w:rsidRPr="00683363">
        <w:t>ummary of this Recommendation is in Annex 1.</w:t>
      </w:r>
    </w:p>
    <w:p w14:paraId="5BBD11D1" w14:textId="5EF71DDE" w:rsidR="002C0244" w:rsidRDefault="002C0244">
      <w:r>
        <w:rPr>
          <w:bCs/>
        </w:rPr>
        <w:t>2</w:t>
      </w:r>
      <w:r>
        <w:tab/>
        <w:t xml:space="preserve">The title of the new </w:t>
      </w:r>
      <w:r w:rsidR="000B5EE6">
        <w:t xml:space="preserve">Recommendation </w:t>
      </w:r>
      <w:r>
        <w:t xml:space="preserve">ITU-T </w:t>
      </w:r>
      <w:r w:rsidR="00AE57E4">
        <w:t>E.108</w:t>
      </w:r>
      <w:r w:rsidR="007B2D74">
        <w:t xml:space="preserve"> </w:t>
      </w:r>
      <w:r w:rsidR="00F758D9">
        <w:t xml:space="preserve">that </w:t>
      </w:r>
      <w:r w:rsidR="007B2D74">
        <w:t>was approved is</w:t>
      </w:r>
      <w:r>
        <w:t>:</w:t>
      </w:r>
    </w:p>
    <w:p w14:paraId="7F615E28" w14:textId="77777777" w:rsidR="002C0244" w:rsidRPr="00AE57E4" w:rsidRDefault="00AE57E4" w:rsidP="002D5CD0">
      <w:pPr>
        <w:rPr>
          <w:b/>
          <w:bCs/>
          <w:lang w:val="en-US"/>
        </w:rPr>
      </w:pPr>
      <w:r>
        <w:rPr>
          <w:b/>
          <w:bCs/>
        </w:rPr>
        <w:t>ITU-T E.108</w:t>
      </w:r>
      <w:r w:rsidR="002C0244" w:rsidRPr="00881ED2">
        <w:rPr>
          <w:b/>
          <w:bCs/>
        </w:rPr>
        <w:t xml:space="preserve">: </w:t>
      </w:r>
      <w:r w:rsidRPr="005A5FC2">
        <w:rPr>
          <w:b/>
          <w:bCs/>
          <w:lang w:val="en-US"/>
        </w:rPr>
        <w:t>"</w:t>
      </w:r>
      <w:r w:rsidRPr="005A5FC2">
        <w:rPr>
          <w:b/>
          <w:bCs/>
        </w:rPr>
        <w:t xml:space="preserve">Requirements </w:t>
      </w:r>
      <w:r w:rsidR="002D5CD0" w:rsidRPr="005A5FC2">
        <w:rPr>
          <w:b/>
          <w:bCs/>
        </w:rPr>
        <w:t>for a D</w:t>
      </w:r>
      <w:r w:rsidRPr="005A5FC2">
        <w:rPr>
          <w:b/>
          <w:bCs/>
        </w:rPr>
        <w:t xml:space="preserve">isaster </w:t>
      </w:r>
      <w:r w:rsidR="002D5CD0" w:rsidRPr="005A5FC2">
        <w:rPr>
          <w:b/>
          <w:bCs/>
        </w:rPr>
        <w:t>R</w:t>
      </w:r>
      <w:r w:rsidRPr="005A5FC2">
        <w:rPr>
          <w:b/>
          <w:bCs/>
        </w:rPr>
        <w:t xml:space="preserve">elief </w:t>
      </w:r>
      <w:r w:rsidR="002D5CD0" w:rsidRPr="005A5FC2">
        <w:rPr>
          <w:b/>
          <w:bCs/>
        </w:rPr>
        <w:t>M</w:t>
      </w:r>
      <w:r w:rsidRPr="005A5FC2">
        <w:rPr>
          <w:b/>
          <w:bCs/>
        </w:rPr>
        <w:t xml:space="preserve">obile </w:t>
      </w:r>
      <w:r w:rsidR="002D5CD0" w:rsidRPr="005A5FC2">
        <w:rPr>
          <w:b/>
          <w:bCs/>
        </w:rPr>
        <w:t>Message S</w:t>
      </w:r>
      <w:r w:rsidRPr="005A5FC2">
        <w:rPr>
          <w:b/>
          <w:bCs/>
        </w:rPr>
        <w:t>ervice"</w:t>
      </w:r>
      <w:r>
        <w:rPr>
          <w:b/>
          <w:bCs/>
        </w:rPr>
        <w:t xml:space="preserve"> </w:t>
      </w:r>
    </w:p>
    <w:p w14:paraId="55661F90" w14:textId="77777777" w:rsidR="002C0244" w:rsidRDefault="002C0244" w:rsidP="002C0244">
      <w:r>
        <w:rPr>
          <w:bCs/>
        </w:rPr>
        <w:t>3</w:t>
      </w:r>
      <w:r>
        <w:tab/>
        <w:t>Available patent information can be accessed on</w:t>
      </w:r>
      <w:r>
        <w:noBreakHyphen/>
        <w:t>line via the ITU</w:t>
      </w:r>
      <w:r>
        <w:noBreakHyphen/>
        <w:t>T Website.</w:t>
      </w:r>
    </w:p>
    <w:p w14:paraId="49D5BB0B" w14:textId="07ABA3D2" w:rsidR="002C0244" w:rsidRDefault="002C0244" w:rsidP="002D7AE0">
      <w:r>
        <w:t>4</w:t>
      </w:r>
      <w:r>
        <w:tab/>
        <w:t>The text of the pre-published Recommendation will soon be available on the ITU</w:t>
      </w:r>
      <w:r>
        <w:noBreakHyphen/>
        <w:t>T Website.</w:t>
      </w:r>
    </w:p>
    <w:p w14:paraId="277565C5" w14:textId="5EB86A7B" w:rsidR="000B46FB" w:rsidRDefault="002C0244" w:rsidP="002D7AE0">
      <w:r>
        <w:rPr>
          <w:bCs/>
        </w:rPr>
        <w:t>5</w:t>
      </w:r>
      <w:r>
        <w:tab/>
        <w:t>The text of this Recommendation will be published by ITU as soon as possible.</w:t>
      </w:r>
    </w:p>
    <w:p w14:paraId="5DCE0910" w14:textId="652F087F" w:rsidR="000B46FB" w:rsidRDefault="000B46FB" w:rsidP="000B46FB">
      <w:pPr>
        <w:spacing w:before="480"/>
      </w:pPr>
      <w:r>
        <w:t>Yours faithfully,</w:t>
      </w:r>
    </w:p>
    <w:p w14:paraId="73FF8912" w14:textId="07A16CCA" w:rsidR="0088585E" w:rsidRDefault="0088585E" w:rsidP="000B46FB">
      <w:pPr>
        <w:spacing w:before="480"/>
      </w:pPr>
    </w:p>
    <w:p w14:paraId="443E8421" w14:textId="77777777" w:rsidR="0059495D" w:rsidRDefault="00AC4FF0" w:rsidP="0088585E">
      <w:pPr>
        <w:spacing w:before="80"/>
      </w:pPr>
      <w:r>
        <w:rPr>
          <w:szCs w:val="24"/>
        </w:rPr>
        <w:t>Chaesub Lee</w:t>
      </w:r>
      <w:r w:rsidR="000B46FB">
        <w:br/>
        <w:t>Director of the Telecommunication</w:t>
      </w:r>
      <w:r w:rsidR="000B46FB">
        <w:br/>
        <w:t>Standardization Bureau</w:t>
      </w:r>
    </w:p>
    <w:p w14:paraId="2D5FAD3F" w14:textId="77777777" w:rsidR="00AE57E4" w:rsidRDefault="00AE57E4" w:rsidP="00AE57E4">
      <w:pPr>
        <w:spacing w:before="600"/>
      </w:pPr>
      <w:r>
        <w:t>Annex: 1</w:t>
      </w:r>
    </w:p>
    <w:p w14:paraId="4A8619C3" w14:textId="24166BC2" w:rsidR="00AE57E4" w:rsidRDefault="00AE57E4" w:rsidP="00C71582">
      <w:pPr>
        <w:pStyle w:val="AppendixRef0"/>
        <w:rPr>
          <w:rFonts w:asciiTheme="minorHAnsi" w:hAnsiTheme="minorHAnsi"/>
          <w:lang w:val="en-US"/>
        </w:rPr>
      </w:pPr>
      <w:r w:rsidRPr="00430CBB">
        <w:rPr>
          <w:rFonts w:asciiTheme="minorHAnsi" w:hAnsiTheme="minorHAnsi"/>
          <w:lang w:val="en-US"/>
        </w:rPr>
        <w:lastRenderedPageBreak/>
        <w:t>ANNEX 1</w:t>
      </w:r>
      <w:r w:rsidRPr="00430CBB">
        <w:rPr>
          <w:rFonts w:asciiTheme="minorHAnsi" w:hAnsiTheme="minorHAnsi"/>
          <w:lang w:val="en-US"/>
        </w:rPr>
        <w:br/>
        <w:t xml:space="preserve">(to TSB Circular </w:t>
      </w:r>
      <w:r w:rsidR="00C71582">
        <w:rPr>
          <w:rFonts w:asciiTheme="minorHAnsi" w:hAnsiTheme="minorHAnsi"/>
          <w:lang w:val="en-US"/>
        </w:rPr>
        <w:t>197</w:t>
      </w:r>
      <w:r w:rsidRPr="00430CBB">
        <w:rPr>
          <w:rFonts w:asciiTheme="minorHAnsi" w:hAnsiTheme="minorHAnsi"/>
          <w:lang w:val="en-US"/>
        </w:rPr>
        <w:t>)</w:t>
      </w:r>
    </w:p>
    <w:p w14:paraId="15971972" w14:textId="77777777" w:rsidR="00AE57E4" w:rsidRPr="00F85E15" w:rsidRDefault="00AE57E4" w:rsidP="00AE57E4">
      <w:pPr>
        <w:jc w:val="center"/>
        <w:rPr>
          <w:b/>
          <w:bCs/>
          <w:lang w:val="en-US"/>
        </w:rPr>
      </w:pPr>
      <w:r w:rsidRPr="00F85E15">
        <w:rPr>
          <w:b/>
          <w:bCs/>
          <w:lang w:val="en-US"/>
        </w:rPr>
        <w:t>Summary of new Recommendation ITU-T E.108</w:t>
      </w:r>
    </w:p>
    <w:p w14:paraId="0C99316D" w14:textId="611D8ECD" w:rsidR="000B5EE6" w:rsidRPr="00F85E15" w:rsidRDefault="00AE57E4" w:rsidP="00AE57E4">
      <w:pPr>
        <w:spacing w:before="600"/>
        <w:rPr>
          <w:b/>
          <w:bCs/>
          <w:lang w:val="en-US"/>
        </w:rPr>
      </w:pPr>
      <w:r w:rsidRPr="00683363">
        <w:rPr>
          <w:b/>
          <w:bCs/>
          <w:lang w:val="en-US"/>
        </w:rPr>
        <w:t>Summary of new Recommendation ITU-T E.108</w:t>
      </w:r>
      <w:r w:rsidR="00F85E15" w:rsidRPr="00683363">
        <w:rPr>
          <w:b/>
          <w:bCs/>
          <w:lang w:val="en-US"/>
        </w:rPr>
        <w:t xml:space="preserve"> (2016)</w:t>
      </w:r>
    </w:p>
    <w:p w14:paraId="0A5D9345" w14:textId="77777777" w:rsidR="00AE57E4" w:rsidRDefault="001A69F7" w:rsidP="00F85E15">
      <w:r w:rsidRPr="005A5FC2">
        <w:t>Recommendation ITU-T E.108 describes the requirements for a disaster relief mobile message service. In the aftermath of a disaster, communication facilities are often overloaded due to many users attempting to contact friends or relatives to determine the safety of people who may have been affected by disasters. As a result, communication attempts often fail. The intent of a disaster messaging service is to allow an alternate method to communicate safety status information. Two approaches are presented. The first is a text-based messaging system, and the second is a voice-based messaging system.</w:t>
      </w:r>
    </w:p>
    <w:p w14:paraId="42E76B79" w14:textId="77777777" w:rsidR="001A69F7" w:rsidRDefault="001A69F7" w:rsidP="00F85E15"/>
    <w:p w14:paraId="4312DDA5" w14:textId="77777777" w:rsidR="001A69F7" w:rsidRDefault="001A69F7" w:rsidP="00F85E15"/>
    <w:p w14:paraId="45CDD0DE" w14:textId="77777777" w:rsidR="001A69F7" w:rsidRPr="003F0DED" w:rsidRDefault="001A69F7" w:rsidP="001A69F7">
      <w:pPr>
        <w:jc w:val="center"/>
      </w:pPr>
      <w:r>
        <w:t>________________</w:t>
      </w:r>
    </w:p>
    <w:sectPr w:rsidR="001A69F7" w:rsidRPr="003F0DED" w:rsidSect="002F653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755D3" w14:textId="77777777" w:rsidR="00965FEF" w:rsidRDefault="00965FEF">
      <w:r>
        <w:separator/>
      </w:r>
    </w:p>
  </w:endnote>
  <w:endnote w:type="continuationSeparator" w:id="0">
    <w:p w14:paraId="09E4B13B" w14:textId="77777777" w:rsidR="00965FEF" w:rsidRDefault="0096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6E5C1" w14:textId="002B9E8A" w:rsidR="00FA124A" w:rsidRPr="00196AB1" w:rsidRDefault="0059495D" w:rsidP="007A1DDF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</w:t>
    </w:r>
    <w:r w:rsidR="00C71582">
      <w:rPr>
        <w:lang w:val="fr-CH"/>
      </w:rPr>
      <w:t>197</w:t>
    </w:r>
    <w:r>
      <w:rPr>
        <w:lang w:val="fr-CH"/>
      </w:rPr>
      <w:t>E.DOC</w:t>
    </w:r>
    <w:r>
      <w:rPr>
        <w:lang w:val="fr-CH"/>
      </w:rPr>
      <w:tab/>
    </w:r>
    <w:r w:rsidRPr="00196AB1">
      <w:rPr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AEFF6" w14:textId="5A676396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 w:rsidR="00C71582">
      <w:rPr>
        <w:sz w:val="18"/>
        <w:szCs w:val="18"/>
        <w:lang w:val="fr-CH"/>
      </w:rPr>
      <w:t xml:space="preserve"> </w:t>
    </w:r>
    <w:hyperlink r:id="rId3" w:history="1">
      <w:r w:rsidR="00C71582"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 w:rsidR="00C71582">
        <w:rPr>
          <w:rStyle w:val="Hyperlink"/>
          <w:sz w:val="18"/>
          <w:szCs w:val="18"/>
          <w:lang w:val="fr-CH"/>
        </w:rPr>
        <w:t>years</w:t>
      </w:r>
      <w:proofErr w:type="spellEnd"/>
    </w:hyperlink>
    <w:r w:rsidR="00C71582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9BEC2" w14:textId="77777777" w:rsidR="00965FEF" w:rsidRDefault="00965FEF">
      <w:r>
        <w:t>____________________</w:t>
      </w:r>
    </w:p>
  </w:footnote>
  <w:footnote w:type="continuationSeparator" w:id="0">
    <w:p w14:paraId="018D797C" w14:textId="77777777" w:rsidR="00965FEF" w:rsidRDefault="0096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92B06" w14:textId="77777777" w:rsidR="00C740E1" w:rsidRDefault="00D13948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6B04471D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70"/>
    <w:rsid w:val="000069D4"/>
    <w:rsid w:val="000174AD"/>
    <w:rsid w:val="000305E1"/>
    <w:rsid w:val="000A7D55"/>
    <w:rsid w:val="000B46FB"/>
    <w:rsid w:val="000B5EE6"/>
    <w:rsid w:val="000C2E8E"/>
    <w:rsid w:val="000C5338"/>
    <w:rsid w:val="000D49FB"/>
    <w:rsid w:val="000E0E7C"/>
    <w:rsid w:val="000F14C7"/>
    <w:rsid w:val="000F1B4B"/>
    <w:rsid w:val="0012744F"/>
    <w:rsid w:val="001356CA"/>
    <w:rsid w:val="00156DFF"/>
    <w:rsid w:val="00156F66"/>
    <w:rsid w:val="00162032"/>
    <w:rsid w:val="00182528"/>
    <w:rsid w:val="0018500B"/>
    <w:rsid w:val="00196A19"/>
    <w:rsid w:val="00196AB1"/>
    <w:rsid w:val="001A69F7"/>
    <w:rsid w:val="001C3CDB"/>
    <w:rsid w:val="00202DC1"/>
    <w:rsid w:val="002116EE"/>
    <w:rsid w:val="002309D8"/>
    <w:rsid w:val="0023525C"/>
    <w:rsid w:val="00265A07"/>
    <w:rsid w:val="00287BF1"/>
    <w:rsid w:val="002A7FE2"/>
    <w:rsid w:val="002B711C"/>
    <w:rsid w:val="002C0244"/>
    <w:rsid w:val="002D5CD0"/>
    <w:rsid w:val="002D7AE0"/>
    <w:rsid w:val="002E1B4F"/>
    <w:rsid w:val="002F2E67"/>
    <w:rsid w:val="002F6530"/>
    <w:rsid w:val="00315546"/>
    <w:rsid w:val="00330567"/>
    <w:rsid w:val="00351DA5"/>
    <w:rsid w:val="00383598"/>
    <w:rsid w:val="00386A9D"/>
    <w:rsid w:val="00391081"/>
    <w:rsid w:val="003A676F"/>
    <w:rsid w:val="003B2789"/>
    <w:rsid w:val="003C13CE"/>
    <w:rsid w:val="003E2518"/>
    <w:rsid w:val="003F0DED"/>
    <w:rsid w:val="004314A2"/>
    <w:rsid w:val="004B1EF7"/>
    <w:rsid w:val="004B3FAD"/>
    <w:rsid w:val="004D210E"/>
    <w:rsid w:val="004E145F"/>
    <w:rsid w:val="004E3CF9"/>
    <w:rsid w:val="00501DCA"/>
    <w:rsid w:val="00513A47"/>
    <w:rsid w:val="0053262A"/>
    <w:rsid w:val="005408DF"/>
    <w:rsid w:val="0055318D"/>
    <w:rsid w:val="00573344"/>
    <w:rsid w:val="00583F9B"/>
    <w:rsid w:val="00584AFA"/>
    <w:rsid w:val="0059495D"/>
    <w:rsid w:val="005A5FC2"/>
    <w:rsid w:val="005A70F1"/>
    <w:rsid w:val="005E1223"/>
    <w:rsid w:val="005E5C10"/>
    <w:rsid w:val="005F2C78"/>
    <w:rsid w:val="006121CD"/>
    <w:rsid w:val="006144E4"/>
    <w:rsid w:val="00624555"/>
    <w:rsid w:val="00650299"/>
    <w:rsid w:val="00655FC5"/>
    <w:rsid w:val="00683363"/>
    <w:rsid w:val="00744F9C"/>
    <w:rsid w:val="00762037"/>
    <w:rsid w:val="007A1B6F"/>
    <w:rsid w:val="007A1DDF"/>
    <w:rsid w:val="007B2D74"/>
    <w:rsid w:val="007D2F64"/>
    <w:rsid w:val="007E51DC"/>
    <w:rsid w:val="00801031"/>
    <w:rsid w:val="00802953"/>
    <w:rsid w:val="00803ACB"/>
    <w:rsid w:val="00807FF1"/>
    <w:rsid w:val="00822581"/>
    <w:rsid w:val="008309DD"/>
    <w:rsid w:val="0083227A"/>
    <w:rsid w:val="00833DCD"/>
    <w:rsid w:val="00857C67"/>
    <w:rsid w:val="00862CC9"/>
    <w:rsid w:val="00866900"/>
    <w:rsid w:val="00870336"/>
    <w:rsid w:val="0087300D"/>
    <w:rsid w:val="00881BA1"/>
    <w:rsid w:val="0088585E"/>
    <w:rsid w:val="008A0A55"/>
    <w:rsid w:val="008C26B8"/>
    <w:rsid w:val="008D4910"/>
    <w:rsid w:val="009273EC"/>
    <w:rsid w:val="00932E45"/>
    <w:rsid w:val="00951309"/>
    <w:rsid w:val="00964CF0"/>
    <w:rsid w:val="00965FEF"/>
    <w:rsid w:val="00982084"/>
    <w:rsid w:val="00991A72"/>
    <w:rsid w:val="00995963"/>
    <w:rsid w:val="009A54D9"/>
    <w:rsid w:val="009B282D"/>
    <w:rsid w:val="009B61EB"/>
    <w:rsid w:val="009B6449"/>
    <w:rsid w:val="009C2064"/>
    <w:rsid w:val="009C4183"/>
    <w:rsid w:val="009D1697"/>
    <w:rsid w:val="009E1082"/>
    <w:rsid w:val="00A014F8"/>
    <w:rsid w:val="00A11DCA"/>
    <w:rsid w:val="00A5173C"/>
    <w:rsid w:val="00A51AA7"/>
    <w:rsid w:val="00A61AEF"/>
    <w:rsid w:val="00A84570"/>
    <w:rsid w:val="00A9652E"/>
    <w:rsid w:val="00AA1543"/>
    <w:rsid w:val="00AB0FFD"/>
    <w:rsid w:val="00AC4FF0"/>
    <w:rsid w:val="00AD7192"/>
    <w:rsid w:val="00AE57E4"/>
    <w:rsid w:val="00AF10F1"/>
    <w:rsid w:val="00AF173A"/>
    <w:rsid w:val="00B066A4"/>
    <w:rsid w:val="00B07A13"/>
    <w:rsid w:val="00B143E2"/>
    <w:rsid w:val="00B4279B"/>
    <w:rsid w:val="00B45FC9"/>
    <w:rsid w:val="00B61A00"/>
    <w:rsid w:val="00B83461"/>
    <w:rsid w:val="00BC7CCF"/>
    <w:rsid w:val="00BE470B"/>
    <w:rsid w:val="00C018E7"/>
    <w:rsid w:val="00C16938"/>
    <w:rsid w:val="00C27BDB"/>
    <w:rsid w:val="00C57A91"/>
    <w:rsid w:val="00C71582"/>
    <w:rsid w:val="00C740E1"/>
    <w:rsid w:val="00CB43AF"/>
    <w:rsid w:val="00CC01C2"/>
    <w:rsid w:val="00CF21F2"/>
    <w:rsid w:val="00D02712"/>
    <w:rsid w:val="00D13948"/>
    <w:rsid w:val="00D214D0"/>
    <w:rsid w:val="00D41F1C"/>
    <w:rsid w:val="00D5657A"/>
    <w:rsid w:val="00D63425"/>
    <w:rsid w:val="00D6546B"/>
    <w:rsid w:val="00DB3805"/>
    <w:rsid w:val="00DC36AC"/>
    <w:rsid w:val="00DD4BED"/>
    <w:rsid w:val="00DE39F0"/>
    <w:rsid w:val="00DF0AF3"/>
    <w:rsid w:val="00E17CCC"/>
    <w:rsid w:val="00E27D7E"/>
    <w:rsid w:val="00E34935"/>
    <w:rsid w:val="00E42E13"/>
    <w:rsid w:val="00E6257C"/>
    <w:rsid w:val="00E63C59"/>
    <w:rsid w:val="00EA289F"/>
    <w:rsid w:val="00ED6044"/>
    <w:rsid w:val="00F758D9"/>
    <w:rsid w:val="00F85E15"/>
    <w:rsid w:val="00FA124A"/>
    <w:rsid w:val="00FA1A29"/>
    <w:rsid w:val="00FC08DD"/>
    <w:rsid w:val="00FC2316"/>
    <w:rsid w:val="00FC2CF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F062538"/>
  <w15:docId w15:val="{3DA488BC-4BDD-4D9F-B044-70742F74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customStyle="1" w:styleId="AppendixRef0">
    <w:name w:val="Appendix_Ref"/>
    <w:basedOn w:val="Normal"/>
    <w:next w:val="Normal"/>
    <w:rsid w:val="00AE57E4"/>
    <w:pPr>
      <w:keepNext/>
      <w:keepLines/>
      <w:jc w:val="center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7A1D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69F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69F7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69F7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1A69F7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2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oulin\AppData\Roaming\Microsoft\Templates\TSB%20DOC\CIRC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371A-C954-4AE7-A18F-F94EE5CD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CIRC2-E.dotx</Template>
  <TotalTime>5</TotalTime>
  <Pages>2</Pages>
  <Words>330</Words>
  <Characters>1826</Characters>
  <Application>Microsoft Office Word</Application>
  <DocSecurity>0</DocSecurity>
  <Lines>86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Demoulin, Na</dc:creator>
  <cp:lastModifiedBy>Demoulin, Na</cp:lastModifiedBy>
  <cp:revision>4</cp:revision>
  <cp:lastPrinted>2016-02-10T14:56:00Z</cp:lastPrinted>
  <dcterms:created xsi:type="dcterms:W3CDTF">2016-02-11T07:29:00Z</dcterms:created>
  <dcterms:modified xsi:type="dcterms:W3CDTF">2016-02-11T08:29:00Z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