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lang w:val="en-GB"/>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002"/>
        <w:gridCol w:w="5103"/>
      </w:tblGrid>
      <w:tr w:rsidR="00521E65" w:rsidRPr="00521E65" w:rsidTr="00425B4B">
        <w:trPr>
          <w:cantSplit/>
          <w:trHeight w:val="340"/>
        </w:trPr>
        <w:tc>
          <w:tcPr>
            <w:tcW w:w="796" w:type="pct"/>
          </w:tcPr>
          <w:p w:rsidR="00521E65" w:rsidRPr="00521E65" w:rsidRDefault="00521E65" w:rsidP="00643E02">
            <w:pPr>
              <w:spacing w:before="60" w:after="60" w:line="300" w:lineRule="exact"/>
              <w:jc w:val="left"/>
              <w:rPr>
                <w:lang w:bidi="ar-SY"/>
              </w:rPr>
            </w:pPr>
          </w:p>
        </w:tc>
        <w:tc>
          <w:tcPr>
            <w:tcW w:w="1557" w:type="pct"/>
          </w:tcPr>
          <w:p w:rsidR="00521E65" w:rsidRPr="00521E65" w:rsidRDefault="00521E65" w:rsidP="00643E02">
            <w:pPr>
              <w:spacing w:before="60" w:after="60" w:line="300" w:lineRule="exact"/>
              <w:jc w:val="left"/>
              <w:rPr>
                <w:b/>
                <w:lang w:bidi="ar-SY"/>
              </w:rPr>
            </w:pPr>
          </w:p>
        </w:tc>
        <w:tc>
          <w:tcPr>
            <w:tcW w:w="2647" w:type="pct"/>
          </w:tcPr>
          <w:p w:rsidR="00521E65" w:rsidRPr="00521E65" w:rsidRDefault="00333F15" w:rsidP="00755814">
            <w:pPr>
              <w:spacing w:before="60" w:after="60" w:line="300" w:lineRule="exact"/>
              <w:jc w:val="left"/>
              <w:rPr>
                <w:rtl/>
              </w:rPr>
            </w:pPr>
            <w:r w:rsidRPr="00333F15">
              <w:rPr>
                <w:rFonts w:hint="cs"/>
                <w:rtl/>
              </w:rPr>
              <w:t xml:space="preserve">جنيف، </w:t>
            </w:r>
            <w:r w:rsidR="00755814">
              <w:t>4</w:t>
            </w:r>
            <w:r w:rsidRPr="00333F15">
              <w:rPr>
                <w:rFonts w:hint="eastAsia"/>
                <w:rtl/>
                <w:lang w:bidi="ar-EG"/>
              </w:rPr>
              <w:t> </w:t>
            </w:r>
            <w:r w:rsidRPr="00333F15">
              <w:rPr>
                <w:rFonts w:hint="cs"/>
                <w:rtl/>
                <w:lang w:bidi="ar-EG"/>
              </w:rPr>
              <w:t>أبريل</w:t>
            </w:r>
            <w:r w:rsidRPr="00333F15">
              <w:rPr>
                <w:rFonts w:hint="eastAsia"/>
                <w:rtl/>
                <w:lang w:bidi="ar-EG"/>
              </w:rPr>
              <w:t> </w:t>
            </w:r>
            <w:r w:rsidRPr="00333F15">
              <w:t>2016</w:t>
            </w:r>
          </w:p>
          <w:p w:rsidR="00521E65" w:rsidRPr="00521E65" w:rsidRDefault="00521E65" w:rsidP="00643E02">
            <w:pPr>
              <w:spacing w:before="60" w:after="60" w:line="300" w:lineRule="exact"/>
              <w:jc w:val="left"/>
              <w:rPr>
                <w:lang w:bidi="ar-SY"/>
              </w:rPr>
            </w:pPr>
          </w:p>
        </w:tc>
      </w:tr>
      <w:tr w:rsidR="00521E65" w:rsidRPr="00521E65" w:rsidTr="00425B4B">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557" w:type="pct"/>
          </w:tcPr>
          <w:p w:rsidR="00521E65" w:rsidRPr="00521E65" w:rsidRDefault="00521E65" w:rsidP="00755814">
            <w:pPr>
              <w:spacing w:before="60" w:after="60" w:line="300" w:lineRule="exact"/>
              <w:jc w:val="left"/>
              <w:rPr>
                <w:bCs/>
                <w:lang w:bidi="ar-SY"/>
              </w:rPr>
            </w:pPr>
            <w:r w:rsidRPr="00521E65">
              <w:rPr>
                <w:b/>
                <w:lang w:bidi="ar-SY"/>
              </w:rPr>
              <w:t xml:space="preserve">TSB Circular </w:t>
            </w:r>
            <w:r w:rsidR="00333F15">
              <w:rPr>
                <w:b/>
                <w:lang w:bidi="ar-SY"/>
              </w:rPr>
              <w:t>21</w:t>
            </w:r>
            <w:r w:rsidR="00755814">
              <w:rPr>
                <w:b/>
                <w:lang w:bidi="ar-SY"/>
              </w:rPr>
              <w:t>4</w:t>
            </w:r>
            <w:r w:rsidRPr="00521E65">
              <w:rPr>
                <w:b/>
                <w:lang w:bidi="ar-SY"/>
              </w:rPr>
              <w:br/>
            </w:r>
            <w:r w:rsidR="00333F15" w:rsidRPr="00333F15">
              <w:rPr>
                <w:bCs/>
                <w:lang w:bidi="ar-SY"/>
              </w:rPr>
              <w:t xml:space="preserve"> SG17/MEU</w:t>
            </w:r>
          </w:p>
        </w:tc>
        <w:tc>
          <w:tcPr>
            <w:tcW w:w="2647" w:type="pct"/>
            <w:vMerge w:val="restar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tc>
      </w:tr>
      <w:tr w:rsidR="00521E65" w:rsidRPr="00521E65" w:rsidTr="00425B4B">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557" w:type="pct"/>
          </w:tcPr>
          <w:p w:rsidR="00521E65" w:rsidRPr="00521E65" w:rsidRDefault="00521E65" w:rsidP="00333F15">
            <w:pPr>
              <w:spacing w:before="60" w:after="60" w:line="300" w:lineRule="exact"/>
              <w:jc w:val="left"/>
              <w:rPr>
                <w:b/>
                <w:lang w:bidi="ar-SY"/>
              </w:rPr>
            </w:pPr>
            <w:r w:rsidRPr="00521E65">
              <w:rPr>
                <w:lang w:bidi="ar-SY"/>
              </w:rPr>
              <w:t>+41 22 730 </w:t>
            </w:r>
            <w:r w:rsidR="00333F15" w:rsidRPr="00333F15">
              <w:rPr>
                <w:lang w:bidi="ar-SY"/>
              </w:rPr>
              <w:t>5866</w:t>
            </w:r>
          </w:p>
        </w:tc>
        <w:tc>
          <w:tcPr>
            <w:tcW w:w="2647"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425B4B">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557"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647"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425B4B">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557" w:type="pct"/>
          </w:tcPr>
          <w:p w:rsidR="00521E65" w:rsidRPr="00521E65" w:rsidRDefault="00E750FA" w:rsidP="00643E02">
            <w:pPr>
              <w:spacing w:before="60" w:after="60" w:line="300" w:lineRule="exact"/>
              <w:jc w:val="left"/>
              <w:rPr>
                <w:lang w:bidi="ar-SY"/>
              </w:rPr>
            </w:pPr>
            <w:hyperlink r:id="rId10" w:history="1">
              <w:r w:rsidR="004E2AD8" w:rsidRPr="00B228C2">
                <w:rPr>
                  <w:rStyle w:val="Hyperlink"/>
                  <w:lang w:val="ru-RU"/>
                </w:rPr>
                <w:t>tsbsg17@itu.int</w:t>
              </w:r>
            </w:hyperlink>
          </w:p>
        </w:tc>
        <w:tc>
          <w:tcPr>
            <w:tcW w:w="2647"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333F15" w:rsidRPr="00333F15" w:rsidRDefault="00521E65" w:rsidP="00333F15">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00333F15" w:rsidRPr="00333F15">
              <w:rPr>
                <w:rFonts w:hint="cs"/>
                <w:rtl/>
              </w:rPr>
              <w:t>أعضاء قطاع تقييس الاتصالات في الات</w:t>
            </w:r>
            <w:r w:rsidR="00333F15" w:rsidRPr="00333F15">
              <w:rPr>
                <w:rFonts w:hint="cs"/>
                <w:rtl/>
                <w:lang w:bidi="ar-EG"/>
              </w:rPr>
              <w:t>‍</w:t>
            </w:r>
            <w:r w:rsidR="00333F15" w:rsidRPr="00333F15">
              <w:rPr>
                <w:rFonts w:hint="cs"/>
                <w:rtl/>
              </w:rPr>
              <w:t>حاد؛</w:t>
            </w:r>
          </w:p>
          <w:p w:rsidR="00333F15" w:rsidRPr="00333F15" w:rsidRDefault="00333F15" w:rsidP="00333F15">
            <w:pPr>
              <w:tabs>
                <w:tab w:val="clear" w:pos="1361"/>
                <w:tab w:val="clear" w:pos="1928"/>
                <w:tab w:val="clear" w:pos="2495"/>
                <w:tab w:val="left" w:pos="367"/>
              </w:tabs>
              <w:spacing w:before="60" w:after="60" w:line="300" w:lineRule="exact"/>
              <w:ind w:left="794" w:hanging="794"/>
              <w:jc w:val="left"/>
              <w:rPr>
                <w:rtl/>
              </w:rPr>
            </w:pPr>
            <w:r w:rsidRPr="00333F15">
              <w:rPr>
                <w:rFonts w:hint="cs"/>
                <w:rtl/>
              </w:rPr>
              <w:t>-</w:t>
            </w:r>
            <w:r w:rsidRPr="00333F15">
              <w:rPr>
                <w:rtl/>
              </w:rPr>
              <w:tab/>
            </w:r>
            <w:r w:rsidRPr="00333F15">
              <w:rPr>
                <w:rFonts w:hint="cs"/>
                <w:rtl/>
              </w:rPr>
              <w:t>ال‍منتسبين إلى قطاع تقييس الاتصالات؛</w:t>
            </w:r>
          </w:p>
          <w:p w:rsidR="00333F15" w:rsidRPr="00333F15" w:rsidRDefault="00333F15" w:rsidP="00333F15">
            <w:pPr>
              <w:tabs>
                <w:tab w:val="clear" w:pos="1361"/>
                <w:tab w:val="clear" w:pos="1928"/>
                <w:tab w:val="clear" w:pos="2495"/>
                <w:tab w:val="left" w:pos="367"/>
              </w:tabs>
              <w:spacing w:before="60" w:after="60" w:line="300" w:lineRule="exact"/>
              <w:ind w:left="794" w:hanging="794"/>
              <w:jc w:val="left"/>
              <w:rPr>
                <w:b/>
                <w:bCs/>
                <w:rtl/>
                <w:lang w:bidi="ar-EG"/>
              </w:rPr>
            </w:pPr>
            <w:r w:rsidRPr="00333F15">
              <w:rPr>
                <w:rFonts w:hint="cs"/>
                <w:rtl/>
              </w:rPr>
              <w:t>-</w:t>
            </w:r>
            <w:r w:rsidRPr="00333F15">
              <w:rPr>
                <w:rtl/>
                <w:lang w:bidi="ar-EG"/>
              </w:rPr>
              <w:tab/>
            </w:r>
            <w:r w:rsidRPr="00333F15">
              <w:rPr>
                <w:rFonts w:hint="cs"/>
                <w:rtl/>
                <w:lang w:bidi="ar-EG"/>
              </w:rPr>
              <w:t>الهيئات الأكادي‍مية ال‍منضمة إلى الاتحاد؛</w:t>
            </w:r>
          </w:p>
          <w:p w:rsidR="00333F15" w:rsidRPr="00333F15" w:rsidRDefault="00333F15" w:rsidP="00333F15">
            <w:pPr>
              <w:tabs>
                <w:tab w:val="clear" w:pos="1361"/>
                <w:tab w:val="clear" w:pos="1928"/>
                <w:tab w:val="clear" w:pos="2495"/>
                <w:tab w:val="left" w:pos="367"/>
              </w:tabs>
              <w:spacing w:before="60" w:after="60" w:line="300" w:lineRule="exact"/>
              <w:ind w:left="794" w:hanging="794"/>
              <w:jc w:val="left"/>
              <w:rPr>
                <w:rtl/>
                <w:lang w:bidi="ar-EG"/>
              </w:rPr>
            </w:pPr>
            <w:r w:rsidRPr="00333F15">
              <w:rPr>
                <w:rFonts w:hint="cs"/>
                <w:rtl/>
              </w:rPr>
              <w:t>-</w:t>
            </w:r>
            <w:r w:rsidRPr="00333F15">
              <w:rPr>
                <w:rtl/>
              </w:rPr>
              <w:tab/>
            </w:r>
            <w:r w:rsidRPr="00333F15">
              <w:rPr>
                <w:rFonts w:hint="cs"/>
                <w:rtl/>
              </w:rPr>
              <w:t xml:space="preserve">رئيس ل‍جنة الدراسات </w:t>
            </w:r>
            <w:r w:rsidRPr="00333F15">
              <w:t>17</w:t>
            </w:r>
            <w:r w:rsidRPr="00333F15">
              <w:rPr>
                <w:rFonts w:hint="cs"/>
                <w:rtl/>
                <w:lang w:bidi="ar-EG"/>
              </w:rPr>
              <w:t xml:space="preserve"> لقطاع تقييس الاتصالات ونوابه؛</w:t>
            </w:r>
          </w:p>
          <w:p w:rsidR="00333F15" w:rsidRPr="00333F15" w:rsidRDefault="00333F15" w:rsidP="00333F15">
            <w:pPr>
              <w:tabs>
                <w:tab w:val="clear" w:pos="1361"/>
                <w:tab w:val="clear" w:pos="1928"/>
                <w:tab w:val="clear" w:pos="2495"/>
                <w:tab w:val="left" w:pos="367"/>
              </w:tabs>
              <w:spacing w:before="60" w:after="60" w:line="300" w:lineRule="exact"/>
              <w:ind w:left="794" w:hanging="794"/>
              <w:jc w:val="left"/>
              <w:rPr>
                <w:rtl/>
              </w:rPr>
            </w:pPr>
            <w:r w:rsidRPr="00333F15">
              <w:rPr>
                <w:rFonts w:hint="cs"/>
                <w:rtl/>
              </w:rPr>
              <w:t>-</w:t>
            </w:r>
            <w:r w:rsidRPr="00333F15">
              <w:rPr>
                <w:rtl/>
              </w:rPr>
              <w:tab/>
              <w:t>مدير مكتب تنمية الاتصالات</w:t>
            </w:r>
            <w:r w:rsidRPr="00333F15">
              <w:rPr>
                <w:rFonts w:hint="cs"/>
                <w:rtl/>
              </w:rPr>
              <w:t>؛</w:t>
            </w:r>
          </w:p>
          <w:p w:rsidR="00521E65" w:rsidRPr="00521E65" w:rsidRDefault="00333F15" w:rsidP="00333F15">
            <w:pPr>
              <w:tabs>
                <w:tab w:val="clear" w:pos="1361"/>
                <w:tab w:val="clear" w:pos="1928"/>
                <w:tab w:val="clear" w:pos="2495"/>
                <w:tab w:val="left" w:pos="367"/>
              </w:tabs>
              <w:spacing w:before="60" w:after="60" w:line="300" w:lineRule="exact"/>
              <w:ind w:left="794" w:hanging="794"/>
              <w:jc w:val="left"/>
              <w:rPr>
                <w:rtl/>
              </w:rPr>
            </w:pPr>
            <w:r w:rsidRPr="00333F15">
              <w:rPr>
                <w:rFonts w:hint="cs"/>
                <w:rtl/>
              </w:rPr>
              <w:t>-</w:t>
            </w:r>
            <w:r w:rsidRPr="00333F15">
              <w:rPr>
                <w:rtl/>
              </w:rPr>
              <w:tab/>
              <w:t>مدير مكتب الاتصالات الراديوية</w:t>
            </w:r>
          </w:p>
        </w:tc>
      </w:tr>
      <w:tr w:rsidR="00521E65" w:rsidRPr="00521E65" w:rsidTr="00425B4B">
        <w:trPr>
          <w:cantSplit/>
        </w:trPr>
        <w:tc>
          <w:tcPr>
            <w:tcW w:w="796" w:type="pct"/>
          </w:tcPr>
          <w:p w:rsidR="00521E65" w:rsidRPr="00521E65" w:rsidRDefault="00521E65" w:rsidP="00643E02">
            <w:pPr>
              <w:spacing w:before="60" w:after="60" w:line="300" w:lineRule="exact"/>
              <w:jc w:val="left"/>
              <w:rPr>
                <w:rtl/>
                <w:lang w:bidi="ar-SY"/>
              </w:rPr>
            </w:pPr>
          </w:p>
        </w:tc>
        <w:tc>
          <w:tcPr>
            <w:tcW w:w="1557" w:type="pct"/>
          </w:tcPr>
          <w:p w:rsidR="00521E65" w:rsidRPr="00521E65" w:rsidRDefault="00521E65" w:rsidP="00643E02">
            <w:pPr>
              <w:spacing w:before="60" w:after="60" w:line="300" w:lineRule="exact"/>
              <w:jc w:val="left"/>
              <w:rPr>
                <w:lang w:bidi="ar-SY"/>
              </w:rPr>
            </w:pPr>
          </w:p>
        </w:tc>
        <w:tc>
          <w:tcPr>
            <w:tcW w:w="2647"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755814" w:rsidP="004E0180">
            <w:pPr>
              <w:spacing w:before="60" w:after="60" w:line="340" w:lineRule="exact"/>
              <w:ind w:left="57" w:right="57"/>
              <w:rPr>
                <w:b/>
                <w:bCs/>
                <w:rtl/>
                <w:lang w:bidi="ar-EG"/>
              </w:rPr>
            </w:pPr>
            <w:r w:rsidRPr="00755814">
              <w:rPr>
                <w:rFonts w:hint="cs"/>
                <w:b/>
                <w:bCs/>
                <w:rtl/>
              </w:rPr>
              <w:t>اجتماع ل</w:t>
            </w:r>
            <w:r w:rsidRPr="00755814">
              <w:rPr>
                <w:rFonts w:hint="cs"/>
                <w:b/>
                <w:bCs/>
                <w:rtl/>
                <w:lang w:bidi="ar-EG"/>
              </w:rPr>
              <w:t>‍</w:t>
            </w:r>
            <w:r w:rsidRPr="00755814">
              <w:rPr>
                <w:rFonts w:hint="cs"/>
                <w:b/>
                <w:bCs/>
                <w:rtl/>
              </w:rPr>
              <w:t>جنة الدراسات</w:t>
            </w:r>
            <w:r w:rsidRPr="00755814">
              <w:rPr>
                <w:rFonts w:hint="cs"/>
                <w:b/>
                <w:bCs/>
                <w:rtl/>
                <w:lang w:bidi="ar-EG"/>
              </w:rPr>
              <w:t xml:space="preserve"> </w:t>
            </w:r>
            <w:r w:rsidRPr="00755814">
              <w:rPr>
                <w:b/>
                <w:bCs/>
                <w:lang w:bidi="ar-EG"/>
              </w:rPr>
              <w:t>17</w:t>
            </w:r>
            <w:r w:rsidRPr="00755814">
              <w:rPr>
                <w:rFonts w:hint="cs"/>
                <w:b/>
                <w:bCs/>
                <w:rtl/>
                <w:lang w:bidi="ar-EG"/>
              </w:rPr>
              <w:t xml:space="preserve"> لقطاع تقييس الاتصالات بهدف ال‍موافقة على مشاريع التوصيات</w:t>
            </w:r>
            <w:r>
              <w:rPr>
                <w:rFonts w:hint="eastAsia"/>
                <w:b/>
                <w:bCs/>
                <w:rtl/>
                <w:lang w:bidi="ar-EG"/>
              </w:rPr>
              <w:t> </w:t>
            </w:r>
            <w:r w:rsidRPr="00755814">
              <w:rPr>
                <w:b/>
                <w:bCs/>
                <w:lang w:bidi="ar-EG"/>
              </w:rPr>
              <w:t>X.1258 (ex X.eaaa)</w:t>
            </w:r>
            <w:r w:rsidRPr="00755814">
              <w:rPr>
                <w:rFonts w:hint="cs"/>
                <w:b/>
                <w:bCs/>
                <w:rtl/>
                <w:lang w:bidi="ar-EG"/>
              </w:rPr>
              <w:t xml:space="preserve"> </w:t>
            </w:r>
            <w:r w:rsidRPr="00755814">
              <w:rPr>
                <w:rFonts w:hint="cs"/>
                <w:b/>
                <w:bCs/>
                <w:rtl/>
              </w:rPr>
              <w:t>و</w:t>
            </w:r>
            <w:r w:rsidRPr="00755814">
              <w:rPr>
                <w:b/>
                <w:bCs/>
                <w:lang w:bidi="ar-EG"/>
              </w:rPr>
              <w:t>X.1542 (ex X.simef)</w:t>
            </w:r>
            <w:r w:rsidRPr="00755814">
              <w:rPr>
                <w:rFonts w:hint="cs"/>
                <w:b/>
                <w:bCs/>
                <w:rtl/>
                <w:lang w:bidi="ar-EG"/>
              </w:rPr>
              <w:t xml:space="preserve"> و</w:t>
            </w:r>
            <w:r w:rsidRPr="00755814">
              <w:rPr>
                <w:b/>
                <w:bCs/>
                <w:lang w:bidi="ar-EG"/>
              </w:rPr>
              <w:t>X.1641 (ex X.CSCDataSec)</w:t>
            </w:r>
            <w:r>
              <w:rPr>
                <w:rFonts w:hint="cs"/>
                <w:b/>
                <w:bCs/>
                <w:rtl/>
                <w:lang w:bidi="ar-EG"/>
              </w:rPr>
              <w:t xml:space="preserve"> </w:t>
            </w:r>
            <w:r w:rsidRPr="00755814">
              <w:rPr>
                <w:rFonts w:hint="cs"/>
                <w:b/>
                <w:bCs/>
                <w:rtl/>
                <w:lang w:bidi="ar-EG"/>
              </w:rPr>
              <w:t>لقطاع</w:t>
            </w:r>
            <w:r>
              <w:rPr>
                <w:rFonts w:hint="cs"/>
                <w:b/>
                <w:bCs/>
                <w:rtl/>
                <w:lang w:bidi="ar-EG"/>
              </w:rPr>
              <w:t xml:space="preserve"> </w:t>
            </w:r>
            <w:r w:rsidRPr="00755814">
              <w:rPr>
                <w:rFonts w:hint="cs"/>
                <w:b/>
                <w:bCs/>
                <w:rtl/>
                <w:lang w:bidi="ar-EG"/>
              </w:rPr>
              <w:t>تقييس الاتصالات، عملاً بأحكام القسم</w:t>
            </w:r>
            <w:r w:rsidRPr="00755814">
              <w:rPr>
                <w:rFonts w:hint="eastAsia"/>
                <w:b/>
                <w:bCs/>
                <w:rtl/>
                <w:lang w:bidi="ar-EG"/>
              </w:rPr>
              <w:t> </w:t>
            </w:r>
            <w:r w:rsidRPr="00755814">
              <w:rPr>
                <w:b/>
                <w:bCs/>
                <w:lang w:bidi="ar-EG"/>
              </w:rPr>
              <w:t>9</w:t>
            </w:r>
            <w:r w:rsidRPr="00755814">
              <w:rPr>
                <w:rFonts w:hint="cs"/>
                <w:b/>
                <w:bCs/>
                <w:rtl/>
                <w:lang w:bidi="ar-EG"/>
              </w:rPr>
              <w:t xml:space="preserve"> من القرار</w:t>
            </w:r>
            <w:r w:rsidRPr="00755814">
              <w:rPr>
                <w:rFonts w:hint="eastAsia"/>
                <w:b/>
                <w:bCs/>
                <w:rtl/>
                <w:lang w:bidi="ar-EG"/>
              </w:rPr>
              <w:t> </w:t>
            </w:r>
            <w:r w:rsidRPr="00755814">
              <w:rPr>
                <w:b/>
                <w:bCs/>
                <w:lang w:bidi="ar-EG"/>
              </w:rPr>
              <w:t>1</w:t>
            </w:r>
            <w:r w:rsidRPr="00755814">
              <w:rPr>
                <w:rFonts w:hint="cs"/>
                <w:b/>
                <w:bCs/>
                <w:rtl/>
                <w:lang w:bidi="ar-EG"/>
              </w:rPr>
              <w:t xml:space="preserve"> الصادر عن الجمعية العالمية لتقييس الاتصالات (دبي، </w:t>
            </w:r>
            <w:r w:rsidRPr="00755814">
              <w:rPr>
                <w:b/>
                <w:bCs/>
                <w:lang w:bidi="ar-EG"/>
              </w:rPr>
              <w:t>2012</w:t>
            </w:r>
            <w:r w:rsidRPr="00755814">
              <w:rPr>
                <w:rFonts w:hint="cs"/>
                <w:b/>
                <w:bCs/>
                <w:rtl/>
                <w:lang w:bidi="ar-EG"/>
              </w:rPr>
              <w:t>)</w:t>
            </w:r>
            <w:r w:rsidRPr="00755814">
              <w:rPr>
                <w:b/>
                <w:bCs/>
                <w:rtl/>
                <w:lang w:bidi="ar-EG"/>
              </w:rPr>
              <w:tab/>
            </w:r>
            <w:r w:rsidRPr="00755814">
              <w:rPr>
                <w:b/>
                <w:bCs/>
                <w:rtl/>
                <w:lang w:bidi="ar-EG"/>
              </w:rPr>
              <w:br/>
            </w:r>
            <w:r w:rsidRPr="00755814">
              <w:rPr>
                <w:rFonts w:hint="cs"/>
                <w:b/>
                <w:bCs/>
                <w:rtl/>
                <w:lang w:bidi="ar-EG"/>
              </w:rPr>
              <w:t xml:space="preserve">جنيف، </w:t>
            </w:r>
            <w:r w:rsidRPr="00755814">
              <w:rPr>
                <w:b/>
                <w:bCs/>
                <w:lang w:bidi="ar-EG"/>
              </w:rPr>
              <w:t>7</w:t>
            </w:r>
            <w:r w:rsidRPr="00755814">
              <w:rPr>
                <w:rFonts w:hint="cs"/>
                <w:b/>
                <w:bCs/>
                <w:rtl/>
                <w:lang w:bidi="ar-EG"/>
              </w:rPr>
              <w:t xml:space="preserve"> سبتمبر </w:t>
            </w:r>
            <w:r w:rsidRPr="00755814">
              <w:rPr>
                <w:b/>
                <w:bCs/>
                <w:lang w:bidi="ar-EG"/>
              </w:rPr>
              <w:t>2016</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755814" w:rsidRPr="00755814" w:rsidRDefault="00521E65" w:rsidP="00755814">
      <w:pPr>
        <w:spacing w:after="120"/>
        <w:rPr>
          <w:rtl/>
          <w:lang w:bidi="ar-EG"/>
        </w:rPr>
      </w:pPr>
      <w:r w:rsidRPr="00521E65">
        <w:rPr>
          <w:lang w:bidi="ar-SY"/>
        </w:rPr>
        <w:t>1</w:t>
      </w:r>
      <w:r w:rsidRPr="00521E65">
        <w:rPr>
          <w:lang w:bidi="ar-SY"/>
        </w:rPr>
        <w:tab/>
      </w:r>
      <w:r w:rsidR="00755814" w:rsidRPr="00755814">
        <w:rPr>
          <w:rFonts w:hint="cs"/>
          <w:spacing w:val="-4"/>
          <w:rtl/>
        </w:rPr>
        <w:t>بناءً على طلب رئيس ل‍جنة الدراسات</w:t>
      </w:r>
      <w:r w:rsidR="00755814" w:rsidRPr="00755814">
        <w:rPr>
          <w:rFonts w:hint="eastAsia"/>
          <w:b/>
          <w:bCs/>
          <w:spacing w:val="-4"/>
          <w:rtl/>
          <w:lang w:bidi="ar-EG"/>
        </w:rPr>
        <w:t> </w:t>
      </w:r>
      <w:r w:rsidR="00755814" w:rsidRPr="00755814">
        <w:rPr>
          <w:spacing w:val="-4"/>
        </w:rPr>
        <w:t>17</w:t>
      </w:r>
      <w:r w:rsidR="00755814" w:rsidRPr="00755814">
        <w:rPr>
          <w:rFonts w:hint="cs"/>
          <w:spacing w:val="-4"/>
          <w:rtl/>
          <w:lang w:bidi="ar-EG"/>
        </w:rPr>
        <w:t xml:space="preserve"> لقطاع تقييس الاتصالات ال‍معنية </w:t>
      </w:r>
      <w:r w:rsidR="00755814" w:rsidRPr="00755814">
        <w:rPr>
          <w:rFonts w:hint="cs"/>
          <w:i/>
          <w:iCs/>
          <w:spacing w:val="-4"/>
          <w:rtl/>
        </w:rPr>
        <w:t>بالأمن</w:t>
      </w:r>
      <w:r w:rsidR="00755814" w:rsidRPr="00755814">
        <w:rPr>
          <w:rFonts w:hint="cs"/>
          <w:spacing w:val="-4"/>
          <w:rtl/>
          <w:lang w:bidi="ar-EG"/>
        </w:rPr>
        <w:t>، أتشرف بأن أعلمكم أن ل‍جنة الدراسات هذه، التي ستجتمع من</w:t>
      </w:r>
      <w:r w:rsidR="00755814" w:rsidRPr="00755814">
        <w:rPr>
          <w:rFonts w:hint="eastAsia"/>
          <w:b/>
          <w:bCs/>
          <w:spacing w:val="-4"/>
          <w:rtl/>
          <w:lang w:bidi="ar-EG"/>
        </w:rPr>
        <w:t> </w:t>
      </w:r>
      <w:r w:rsidR="00755814" w:rsidRPr="00755814">
        <w:rPr>
          <w:spacing w:val="-4"/>
        </w:rPr>
        <w:t>29</w:t>
      </w:r>
      <w:r w:rsidR="00755814" w:rsidRPr="00755814">
        <w:rPr>
          <w:rFonts w:hint="cs"/>
          <w:spacing w:val="-4"/>
          <w:rtl/>
          <w:lang w:bidi="ar-EG"/>
        </w:rPr>
        <w:t xml:space="preserve"> أغسطس إلى</w:t>
      </w:r>
      <w:r w:rsidR="00755814" w:rsidRPr="00755814">
        <w:rPr>
          <w:rFonts w:hint="eastAsia"/>
          <w:b/>
          <w:bCs/>
          <w:spacing w:val="-4"/>
          <w:rtl/>
          <w:lang w:bidi="ar-EG"/>
        </w:rPr>
        <w:t> </w:t>
      </w:r>
      <w:r w:rsidR="00755814" w:rsidRPr="00755814">
        <w:rPr>
          <w:spacing w:val="-4"/>
        </w:rPr>
        <w:t>7</w:t>
      </w:r>
      <w:r w:rsidR="00755814" w:rsidRPr="00755814">
        <w:rPr>
          <w:rFonts w:hint="cs"/>
          <w:spacing w:val="-4"/>
          <w:rtl/>
          <w:lang w:bidi="ar-EG"/>
        </w:rPr>
        <w:t xml:space="preserve"> سبتمبر</w:t>
      </w:r>
      <w:r w:rsidR="00755814" w:rsidRPr="00755814">
        <w:rPr>
          <w:rFonts w:hint="eastAsia"/>
          <w:b/>
          <w:bCs/>
          <w:spacing w:val="-4"/>
          <w:rtl/>
          <w:lang w:bidi="ar-EG"/>
        </w:rPr>
        <w:t> </w:t>
      </w:r>
      <w:r w:rsidR="00755814" w:rsidRPr="00755814">
        <w:rPr>
          <w:spacing w:val="-4"/>
        </w:rPr>
        <w:t>2016</w:t>
      </w:r>
      <w:r w:rsidR="00755814" w:rsidRPr="00755814">
        <w:rPr>
          <w:rFonts w:hint="cs"/>
          <w:spacing w:val="-4"/>
          <w:rtl/>
          <w:lang w:bidi="ar-EG"/>
        </w:rPr>
        <w:t>، تنوي تطبيق الإجراء ال‍موصوف في القسم</w:t>
      </w:r>
      <w:r w:rsidR="00755814" w:rsidRPr="00755814">
        <w:rPr>
          <w:rFonts w:hint="eastAsia"/>
          <w:b/>
          <w:bCs/>
          <w:spacing w:val="-4"/>
          <w:rtl/>
          <w:lang w:bidi="ar-EG"/>
        </w:rPr>
        <w:t> </w:t>
      </w:r>
      <w:r w:rsidR="00755814" w:rsidRPr="00755814">
        <w:rPr>
          <w:spacing w:val="-4"/>
        </w:rPr>
        <w:t>9</w:t>
      </w:r>
      <w:r w:rsidR="00755814" w:rsidRPr="00755814">
        <w:rPr>
          <w:rFonts w:hint="cs"/>
          <w:spacing w:val="-4"/>
          <w:rtl/>
          <w:lang w:bidi="ar-EG"/>
        </w:rPr>
        <w:t xml:space="preserve"> من القرار</w:t>
      </w:r>
      <w:r w:rsidR="00755814" w:rsidRPr="00755814">
        <w:rPr>
          <w:rFonts w:hint="eastAsia"/>
          <w:b/>
          <w:bCs/>
          <w:spacing w:val="-4"/>
          <w:rtl/>
          <w:lang w:bidi="ar-EG"/>
        </w:rPr>
        <w:t> </w:t>
      </w:r>
      <w:r w:rsidR="00755814" w:rsidRPr="00755814">
        <w:rPr>
          <w:spacing w:val="-4"/>
        </w:rPr>
        <w:t>1</w:t>
      </w:r>
      <w:r w:rsidR="00755814" w:rsidRPr="00755814">
        <w:rPr>
          <w:rFonts w:hint="cs"/>
          <w:spacing w:val="-4"/>
          <w:rtl/>
          <w:lang w:bidi="ar-EG"/>
        </w:rPr>
        <w:t xml:space="preserve"> الصادر عن ال‍جمعية العال‍مية لتقييس الاتصالات (دبي،</w:t>
      </w:r>
      <w:r w:rsidR="00755814" w:rsidRPr="00755814">
        <w:rPr>
          <w:rFonts w:hint="eastAsia"/>
          <w:b/>
          <w:bCs/>
          <w:spacing w:val="-4"/>
          <w:rtl/>
          <w:lang w:bidi="ar-EG"/>
        </w:rPr>
        <w:t> </w:t>
      </w:r>
      <w:r w:rsidR="00755814" w:rsidRPr="00755814">
        <w:rPr>
          <w:spacing w:val="-4"/>
        </w:rPr>
        <w:t>2012</w:t>
      </w:r>
      <w:r w:rsidR="00755814" w:rsidRPr="00755814">
        <w:rPr>
          <w:rFonts w:hint="cs"/>
          <w:spacing w:val="-4"/>
          <w:rtl/>
          <w:lang w:bidi="ar-EG"/>
        </w:rPr>
        <w:t>) وذلك من أجل ال‍موافقة على مشاريع التوصيات ال‍مذكورة</w:t>
      </w:r>
      <w:r w:rsidR="00755814" w:rsidRPr="00755814">
        <w:rPr>
          <w:rFonts w:hint="eastAsia"/>
          <w:spacing w:val="-4"/>
          <w:rtl/>
          <w:lang w:bidi="ar-EG"/>
        </w:rPr>
        <w:t> </w:t>
      </w:r>
      <w:r w:rsidR="00755814" w:rsidRPr="00755814">
        <w:rPr>
          <w:rFonts w:hint="cs"/>
          <w:spacing w:val="-4"/>
          <w:rtl/>
          <w:lang w:bidi="ar-EG"/>
        </w:rPr>
        <w:t>أعلاه.</w:t>
      </w:r>
    </w:p>
    <w:p w:rsidR="00755814" w:rsidRPr="00755814" w:rsidRDefault="00755814" w:rsidP="00755814">
      <w:pPr>
        <w:spacing w:after="120"/>
        <w:rPr>
          <w:rtl/>
        </w:rPr>
      </w:pPr>
      <w:r w:rsidRPr="00755814">
        <w:lastRenderedPageBreak/>
        <w:t>2</w:t>
      </w:r>
      <w:r w:rsidRPr="00755814">
        <w:rPr>
          <w:rFonts w:hint="cs"/>
          <w:rtl/>
          <w:lang w:bidi="ar-EG"/>
        </w:rPr>
        <w:tab/>
        <w:t xml:space="preserve">ويشتمل </w:t>
      </w:r>
      <w:r w:rsidRPr="00755814">
        <w:rPr>
          <w:rFonts w:hint="cs"/>
          <w:b/>
          <w:bCs/>
          <w:rtl/>
          <w:lang w:bidi="ar-EG"/>
        </w:rPr>
        <w:t>ال‍ملحق</w:t>
      </w:r>
      <w:r w:rsidRPr="00755814">
        <w:rPr>
          <w:rFonts w:hint="eastAsia"/>
          <w:b/>
          <w:bCs/>
          <w:rtl/>
          <w:lang w:bidi="ar-EG"/>
        </w:rPr>
        <w:t> </w:t>
      </w:r>
      <w:r w:rsidRPr="00755814">
        <w:rPr>
          <w:b/>
          <w:bCs/>
        </w:rPr>
        <w:t>1</w:t>
      </w:r>
      <w:r w:rsidRPr="00755814">
        <w:rPr>
          <w:rFonts w:hint="cs"/>
          <w:rtl/>
          <w:lang w:bidi="ar-EG"/>
        </w:rPr>
        <w:t xml:space="preserve"> بهذه الرسالة </w:t>
      </w:r>
      <w:r w:rsidRPr="00755814">
        <w:rPr>
          <w:rtl/>
        </w:rPr>
        <w:t xml:space="preserve">على </w:t>
      </w:r>
      <w:r w:rsidRPr="00755814">
        <w:rPr>
          <w:rFonts w:hint="cs"/>
          <w:rtl/>
        </w:rPr>
        <w:t xml:space="preserve">عناوين </w:t>
      </w:r>
      <w:r w:rsidRPr="00755814">
        <w:rPr>
          <w:rtl/>
        </w:rPr>
        <w:t>مشاريع توصيات قطاع تقييس الاتصالات ال</w:t>
      </w:r>
      <w:r w:rsidRPr="00755814">
        <w:rPr>
          <w:rFonts w:hint="cs"/>
          <w:rtl/>
        </w:rPr>
        <w:t>‍</w:t>
      </w:r>
      <w:r w:rsidRPr="00755814">
        <w:rPr>
          <w:rtl/>
        </w:rPr>
        <w:t xml:space="preserve">مقترح </w:t>
      </w:r>
      <w:r w:rsidRPr="00755814">
        <w:rPr>
          <w:rFonts w:hint="cs"/>
          <w:rtl/>
        </w:rPr>
        <w:t>ال‍موافقة</w:t>
      </w:r>
      <w:r w:rsidRPr="00755814">
        <w:rPr>
          <w:rtl/>
        </w:rPr>
        <w:t xml:space="preserve"> عليها</w:t>
      </w:r>
      <w:r w:rsidRPr="00755814">
        <w:rPr>
          <w:rFonts w:hint="cs"/>
          <w:rtl/>
        </w:rPr>
        <w:t xml:space="preserve"> وملخصاتها</w:t>
      </w:r>
      <w:r w:rsidRPr="00755814">
        <w:rPr>
          <w:rtl/>
        </w:rPr>
        <w:t>، وعلى الوثائق التي ترد فيها.</w:t>
      </w:r>
    </w:p>
    <w:p w:rsidR="00755814" w:rsidRPr="00755814" w:rsidRDefault="00755814" w:rsidP="00755814">
      <w:pPr>
        <w:spacing w:after="120"/>
      </w:pPr>
      <w:r w:rsidRPr="00755814">
        <w:t>3</w:t>
      </w:r>
      <w:r w:rsidRPr="00755814">
        <w:rPr>
          <w:rFonts w:hint="cs"/>
          <w:rtl/>
          <w:lang w:bidi="ar-EG"/>
        </w:rPr>
        <w:tab/>
        <w:t>يرجى من أي دولة عضو في الات‍حاد أو عضو في القطاع أو منتسب إليه أو هيئة أكادي‍مية، تعلم بوجود براءة اختراع في</w:t>
      </w:r>
      <w:r w:rsidRPr="00755814">
        <w:rPr>
          <w:rFonts w:hint="eastAsia"/>
          <w:rtl/>
          <w:lang w:bidi="ar-EG"/>
        </w:rPr>
        <w:t> </w:t>
      </w:r>
      <w:r w:rsidRPr="00755814">
        <w:rPr>
          <w:rFonts w:hint="cs"/>
          <w:rtl/>
          <w:lang w:bidi="ar-EG"/>
        </w:rPr>
        <w:t>حيازتها أو</w:t>
      </w:r>
      <w:r w:rsidRPr="00755814">
        <w:rPr>
          <w:rFonts w:hint="eastAsia"/>
          <w:rtl/>
          <w:lang w:bidi="ar-EG"/>
        </w:rPr>
        <w:t> </w:t>
      </w:r>
      <w:r w:rsidRPr="00755814">
        <w:rPr>
          <w:rFonts w:hint="cs"/>
          <w:rtl/>
          <w:lang w:bidi="ar-EG"/>
        </w:rPr>
        <w:t>في</w:t>
      </w:r>
      <w:r w:rsidRPr="00755814">
        <w:rPr>
          <w:rFonts w:hint="eastAsia"/>
          <w:rtl/>
          <w:lang w:bidi="ar-EG"/>
        </w:rPr>
        <w:t> </w:t>
      </w:r>
      <w:r w:rsidRPr="00755814">
        <w:rPr>
          <w:rFonts w:hint="cs"/>
          <w:rtl/>
          <w:lang w:bidi="ar-EG"/>
        </w:rPr>
        <w:t xml:space="preserve">حيازة الغير من شأنها أن تشمل كلياً أو جزئياً عناصر من مشاريع التوصيات ال‍مقترح ال‍موافقة عليها أن 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755814">
        <w:t>(ITU</w:t>
      </w:r>
      <w:r w:rsidRPr="00755814">
        <w:noBreakHyphen/>
        <w:t>T/ITU</w:t>
      </w:r>
      <w:r w:rsidRPr="00755814">
        <w:noBreakHyphen/>
        <w:t>R/ISO/IEC)</w:t>
      </w:r>
      <w:r w:rsidRPr="00755814">
        <w:rPr>
          <w:rFonts w:hint="cs"/>
          <w:rtl/>
          <w:lang w:bidi="ar-EG"/>
        </w:rPr>
        <w:t>.</w:t>
      </w:r>
    </w:p>
    <w:p w:rsidR="00755814" w:rsidRPr="00755814" w:rsidRDefault="00755814" w:rsidP="00755814">
      <w:pPr>
        <w:keepNext/>
        <w:spacing w:after="120"/>
        <w:rPr>
          <w:rtl/>
          <w:lang w:bidi="ar-EG"/>
        </w:rPr>
      </w:pPr>
      <w:r w:rsidRPr="00755814">
        <w:rPr>
          <w:rFonts w:hint="cs"/>
          <w:rtl/>
          <w:lang w:bidi="ar-EG"/>
        </w:rPr>
        <w:t xml:space="preserve">وي‍مكن الاطلاع على معلومات براءات الاختراع ال‍متاحة في ال‍موقع الإلكتروني للقطاع </w:t>
      </w:r>
      <w:r w:rsidRPr="00755814">
        <w:t>(</w:t>
      </w:r>
      <w:hyperlink r:id="rId11" w:history="1">
        <w:r w:rsidRPr="00755814">
          <w:rPr>
            <w:rStyle w:val="Hyperlink"/>
          </w:rPr>
          <w:t>www.itu.int/ipr/</w:t>
        </w:r>
      </w:hyperlink>
      <w:r w:rsidRPr="00755814">
        <w:t>)</w:t>
      </w:r>
      <w:r w:rsidRPr="00755814">
        <w:rPr>
          <w:rFonts w:hint="cs"/>
          <w:rtl/>
          <w:lang w:bidi="ar-EG"/>
        </w:rPr>
        <w:t>.</w:t>
      </w:r>
    </w:p>
    <w:p w:rsidR="00755814" w:rsidRPr="00755814" w:rsidRDefault="00755814" w:rsidP="00755814">
      <w:pPr>
        <w:spacing w:after="120"/>
        <w:rPr>
          <w:rtl/>
          <w:lang w:bidi="ar-EG"/>
        </w:rPr>
      </w:pPr>
      <w:r w:rsidRPr="00755814">
        <w:t>4</w:t>
      </w:r>
      <w:r w:rsidRPr="00755814">
        <w:rPr>
          <w:rFonts w:hint="cs"/>
          <w:rtl/>
          <w:lang w:bidi="ar-EG"/>
        </w:rPr>
        <w:tab/>
        <w:t>وتبعاً لأحكام القسم</w:t>
      </w:r>
      <w:r w:rsidRPr="00755814">
        <w:rPr>
          <w:rFonts w:hint="eastAsia"/>
          <w:rtl/>
          <w:lang w:bidi="ar-EG"/>
        </w:rPr>
        <w:t> </w:t>
      </w:r>
      <w:r w:rsidRPr="00755814">
        <w:t>9</w:t>
      </w:r>
      <w:r w:rsidRPr="00755814">
        <w:rPr>
          <w:rFonts w:hint="cs"/>
          <w:rtl/>
          <w:lang w:bidi="ar-EG"/>
        </w:rPr>
        <w:t xml:space="preserve"> من القرار</w:t>
      </w:r>
      <w:r w:rsidRPr="00755814">
        <w:rPr>
          <w:rFonts w:hint="eastAsia"/>
          <w:rtl/>
          <w:lang w:bidi="ar-EG"/>
        </w:rPr>
        <w:t> </w:t>
      </w:r>
      <w:r w:rsidRPr="00755814">
        <w:t>1</w:t>
      </w:r>
      <w:r w:rsidRPr="00755814">
        <w:rPr>
          <w:rFonts w:hint="cs"/>
          <w:rtl/>
          <w:lang w:bidi="ar-EG"/>
        </w:rPr>
        <w:t xml:space="preserve">، سأكون م‍متناً لو تفضلتم بإعلامي في موعد أقصاه منتصف الليل بالتوقيت العال‍مي ال‍منسَّق </w:t>
      </w:r>
      <w:r w:rsidRPr="004E0180">
        <w:rPr>
          <w:rFonts w:hint="cs"/>
          <w:rtl/>
          <w:lang w:bidi="ar-EG"/>
        </w:rPr>
        <w:t>في يوم</w:t>
      </w:r>
      <w:r w:rsidRPr="004E0180">
        <w:rPr>
          <w:rFonts w:hint="eastAsia"/>
          <w:rtl/>
          <w:lang w:bidi="ar-EG"/>
        </w:rPr>
        <w:t> </w:t>
      </w:r>
      <w:r w:rsidRPr="004E0180">
        <w:t>17</w:t>
      </w:r>
      <w:r w:rsidRPr="004E0180">
        <w:rPr>
          <w:rFonts w:hint="cs"/>
          <w:rtl/>
          <w:lang w:bidi="ar-EG"/>
        </w:rPr>
        <w:t xml:space="preserve"> أغسطس</w:t>
      </w:r>
      <w:r w:rsidRPr="004E0180">
        <w:rPr>
          <w:rFonts w:hint="eastAsia"/>
          <w:rtl/>
          <w:lang w:bidi="ar-EG"/>
        </w:rPr>
        <w:t> </w:t>
      </w:r>
      <w:r w:rsidRPr="004E0180">
        <w:t>2016</w:t>
      </w:r>
      <w:r w:rsidRPr="00755814">
        <w:rPr>
          <w:rFonts w:hint="cs"/>
          <w:i/>
          <w:iCs/>
          <w:rtl/>
          <w:lang w:bidi="ar-EG"/>
        </w:rPr>
        <w:t xml:space="preserve"> </w:t>
      </w:r>
      <w:r w:rsidRPr="00755814">
        <w:rPr>
          <w:rFonts w:hint="cs"/>
          <w:rtl/>
          <w:lang w:bidi="ar-EG"/>
        </w:rPr>
        <w:t>ما إذا كانت إدارتكم تفوِّض السلطة إلى ل‍جنة الدراسات</w:t>
      </w:r>
      <w:r w:rsidRPr="00755814">
        <w:rPr>
          <w:rFonts w:hint="eastAsia"/>
          <w:rtl/>
          <w:lang w:bidi="ar-EG"/>
        </w:rPr>
        <w:t> </w:t>
      </w:r>
      <w:r w:rsidRPr="00755814">
        <w:t>17</w:t>
      </w:r>
      <w:r w:rsidRPr="00755814">
        <w:rPr>
          <w:rFonts w:hint="cs"/>
          <w:rtl/>
          <w:lang w:bidi="ar-EG"/>
        </w:rPr>
        <w:t xml:space="preserve"> لقطاع تقييس الاتصالات للنظر في مشاريع</w:t>
      </w:r>
      <w:r>
        <w:rPr>
          <w:rFonts w:hint="cs"/>
          <w:rtl/>
          <w:lang w:bidi="ar-EG"/>
        </w:rPr>
        <w:t xml:space="preserve"> هذه</w:t>
      </w:r>
      <w:r w:rsidRPr="00755814">
        <w:rPr>
          <w:rFonts w:hint="cs"/>
          <w:rtl/>
          <w:lang w:bidi="ar-EG"/>
        </w:rPr>
        <w:t xml:space="preserve"> التوصيات بغرض ال‍موافقة عليها في اجتماع ل‍جنة</w:t>
      </w:r>
      <w:r w:rsidRPr="00755814">
        <w:rPr>
          <w:rFonts w:hint="eastAsia"/>
          <w:rtl/>
          <w:lang w:bidi="ar-EG"/>
        </w:rPr>
        <w:t> </w:t>
      </w:r>
      <w:r w:rsidRPr="00755814">
        <w:rPr>
          <w:rFonts w:hint="cs"/>
          <w:rtl/>
          <w:lang w:bidi="ar-EG"/>
        </w:rPr>
        <w:t>الدراسات.</w:t>
      </w:r>
    </w:p>
    <w:p w:rsidR="00755814" w:rsidRPr="00755814" w:rsidRDefault="00755814" w:rsidP="00755814">
      <w:pPr>
        <w:spacing w:after="120"/>
        <w:rPr>
          <w:rtl/>
          <w:lang w:bidi="ar-EG"/>
        </w:rPr>
      </w:pPr>
      <w:r w:rsidRPr="00755814">
        <w:rPr>
          <w:rtl/>
          <w:lang w:bidi="ar-EG"/>
        </w:rPr>
        <w:tab/>
      </w:r>
      <w:r w:rsidRPr="00755814">
        <w:rPr>
          <w:rFonts w:hint="cs"/>
          <w:rtl/>
          <w:lang w:bidi="ar-EG"/>
        </w:rPr>
        <w:t>وإذا رأت أي دولة عضو أن عملية النظر في مشاريع التوصيات بغرض ال‍موافقة عليها ينبغي ألا تستمر، فعليها أن تبيّن أسباب ذلك الاعتراض وأن تشير إلى</w:t>
      </w:r>
      <w:r w:rsidRPr="00755814">
        <w:rPr>
          <w:rFonts w:hint="eastAsia"/>
        </w:rPr>
        <w:t> </w:t>
      </w:r>
      <w:r w:rsidRPr="00755814">
        <w:rPr>
          <w:rFonts w:hint="cs"/>
          <w:rtl/>
          <w:lang w:bidi="ar-EG"/>
        </w:rPr>
        <w:t>التغييرات ال‍ممكنة التي من شأنها تيسير مواصلة النظر في مشاريع التوصيات وال‍موافقة</w:t>
      </w:r>
      <w:r w:rsidRPr="00755814">
        <w:rPr>
          <w:rFonts w:hint="eastAsia"/>
          <w:rtl/>
          <w:lang w:bidi="ar-EG"/>
        </w:rPr>
        <w:t> </w:t>
      </w:r>
      <w:r w:rsidRPr="00755814">
        <w:rPr>
          <w:rFonts w:hint="cs"/>
          <w:rtl/>
          <w:lang w:bidi="ar-EG"/>
        </w:rPr>
        <w:t>عليها.</w:t>
      </w:r>
    </w:p>
    <w:p w:rsidR="00755814" w:rsidRPr="00755814" w:rsidRDefault="00755814" w:rsidP="00755814">
      <w:pPr>
        <w:spacing w:after="120"/>
        <w:rPr>
          <w:rtl/>
          <w:lang w:bidi="ar-EG"/>
        </w:rPr>
      </w:pPr>
      <w:r w:rsidRPr="00755814">
        <w:t>5</w:t>
      </w:r>
      <w:r w:rsidRPr="00755814">
        <w:rPr>
          <w:rFonts w:hint="cs"/>
          <w:rtl/>
          <w:lang w:bidi="ar-EG"/>
        </w:rPr>
        <w:tab/>
        <w:t>فإذا كان</w:t>
      </w:r>
      <w:r w:rsidRPr="00755814">
        <w:rPr>
          <w:rFonts w:hint="eastAsia"/>
          <w:rtl/>
          <w:lang w:bidi="ar-EG"/>
        </w:rPr>
        <w:t> </w:t>
      </w:r>
      <w:r w:rsidRPr="00755814">
        <w:t>70</w:t>
      </w:r>
      <w:r w:rsidRPr="00755814">
        <w:rPr>
          <w:rFonts w:hint="cs"/>
          <w:rtl/>
          <w:lang w:bidi="ar-EG"/>
        </w:rPr>
        <w:t xml:space="preserve"> في ال‍مائة أو أكثر من الردود الواردة من الدول الأعضاء تؤيد النظر في مشاريع التوصيات بغرض ال‍موافقة عليها في اجتماع ل‍جنة الدراسات، عندئذٍ سوف تكرَّس جلسة </w:t>
      </w:r>
      <w:r w:rsidRPr="004E0180">
        <w:rPr>
          <w:rFonts w:hint="cs"/>
          <w:rtl/>
          <w:lang w:bidi="ar-EG"/>
        </w:rPr>
        <w:t>عامة في</w:t>
      </w:r>
      <w:r w:rsidRPr="004E0180">
        <w:rPr>
          <w:rFonts w:hint="eastAsia"/>
          <w:rtl/>
          <w:lang w:bidi="ar-EG"/>
        </w:rPr>
        <w:t> </w:t>
      </w:r>
      <w:r w:rsidRPr="004E0180">
        <w:t>7</w:t>
      </w:r>
      <w:r w:rsidRPr="004E0180">
        <w:rPr>
          <w:rFonts w:hint="eastAsia"/>
          <w:rtl/>
          <w:lang w:bidi="ar-EG"/>
        </w:rPr>
        <w:t> </w:t>
      </w:r>
      <w:r w:rsidRPr="004E0180">
        <w:rPr>
          <w:rFonts w:hint="cs"/>
          <w:rtl/>
          <w:lang w:bidi="ar-EG"/>
        </w:rPr>
        <w:t>سبتمبر</w:t>
      </w:r>
      <w:r w:rsidRPr="004E0180">
        <w:rPr>
          <w:rFonts w:hint="eastAsia"/>
          <w:rtl/>
          <w:lang w:bidi="ar-EG"/>
        </w:rPr>
        <w:t> </w:t>
      </w:r>
      <w:r w:rsidRPr="004E0180">
        <w:t>2016</w:t>
      </w:r>
      <w:r w:rsidRPr="004E0180">
        <w:rPr>
          <w:rFonts w:hint="cs"/>
          <w:rtl/>
          <w:lang w:bidi="ar-EG"/>
        </w:rPr>
        <w:t xml:space="preserve"> لتطبيق</w:t>
      </w:r>
      <w:r w:rsidRPr="00755814">
        <w:rPr>
          <w:rFonts w:hint="cs"/>
          <w:rtl/>
          <w:lang w:bidi="ar-EG"/>
        </w:rPr>
        <w:t xml:space="preserve"> إجراء</w:t>
      </w:r>
      <w:r w:rsidRPr="00755814">
        <w:rPr>
          <w:rFonts w:hint="eastAsia"/>
          <w:rtl/>
          <w:lang w:bidi="ar-EG"/>
        </w:rPr>
        <w:t> </w:t>
      </w:r>
      <w:r w:rsidRPr="00755814">
        <w:rPr>
          <w:rFonts w:hint="cs"/>
          <w:rtl/>
          <w:lang w:bidi="ar-EG"/>
        </w:rPr>
        <w:t>ال‍موافقة.</w:t>
      </w:r>
    </w:p>
    <w:p w:rsidR="00755814" w:rsidRPr="00755814" w:rsidRDefault="00755814" w:rsidP="004E0180">
      <w:pPr>
        <w:spacing w:after="120"/>
        <w:rPr>
          <w:rtl/>
          <w:lang w:bidi="ar-EG"/>
        </w:rPr>
      </w:pPr>
      <w:r w:rsidRPr="00755814">
        <w:rPr>
          <w:rFonts w:hint="cs"/>
          <w:rtl/>
          <w:lang w:bidi="ar-EG"/>
        </w:rPr>
        <w:t xml:space="preserve">ولذلك فإنني أدعو إدارتكم إلى إرسال م‍مثل إلى الاجتماع. </w:t>
      </w:r>
      <w:r w:rsidRPr="00755814">
        <w:rPr>
          <w:rFonts w:hint="cs"/>
          <w:b/>
          <w:bCs/>
          <w:rtl/>
          <w:lang w:bidi="ar-EG"/>
        </w:rPr>
        <w:t>ويرجى من إدارات الدول الأعضاء في الات‍حاد</w:t>
      </w:r>
      <w:r w:rsidRPr="00755814">
        <w:rPr>
          <w:rFonts w:hint="cs"/>
          <w:rtl/>
          <w:lang w:bidi="ar-EG"/>
        </w:rPr>
        <w:t xml:space="preserve"> </w:t>
      </w:r>
      <w:r w:rsidRPr="004E0180">
        <w:rPr>
          <w:rFonts w:hint="cs"/>
          <w:b/>
          <w:bCs/>
          <w:rtl/>
          <w:lang w:bidi="ar-EG"/>
        </w:rPr>
        <w:t>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ال‍مدير بذلك طبقاً لأحكام الرقم</w:t>
      </w:r>
      <w:r w:rsidRPr="004E0180">
        <w:rPr>
          <w:rFonts w:hint="eastAsia"/>
          <w:b/>
          <w:bCs/>
          <w:rtl/>
          <w:lang w:bidi="ar-EG"/>
        </w:rPr>
        <w:t> </w:t>
      </w:r>
      <w:r w:rsidRPr="004E0180">
        <w:rPr>
          <w:b/>
          <w:bCs/>
        </w:rPr>
        <w:t>239</w:t>
      </w:r>
      <w:r w:rsidRPr="004E0180">
        <w:rPr>
          <w:rFonts w:hint="cs"/>
          <w:b/>
          <w:bCs/>
          <w:rtl/>
          <w:lang w:bidi="ar-EG"/>
        </w:rPr>
        <w:t xml:space="preserve"> من ال‍مادة</w:t>
      </w:r>
      <w:r w:rsidRPr="004E0180">
        <w:rPr>
          <w:rFonts w:hint="eastAsia"/>
          <w:b/>
          <w:bCs/>
          <w:rtl/>
          <w:lang w:bidi="ar-EG"/>
        </w:rPr>
        <w:t> </w:t>
      </w:r>
      <w:r w:rsidRPr="004E0180">
        <w:rPr>
          <w:b/>
          <w:bCs/>
        </w:rPr>
        <w:t>19</w:t>
      </w:r>
      <w:r w:rsidRPr="004E0180">
        <w:rPr>
          <w:rFonts w:hint="cs"/>
          <w:b/>
          <w:bCs/>
          <w:rtl/>
          <w:lang w:bidi="ar-EG"/>
        </w:rPr>
        <w:t xml:space="preserve"> من</w:t>
      </w:r>
      <w:r w:rsidR="004E0180">
        <w:rPr>
          <w:rFonts w:hint="cs"/>
          <w:b/>
          <w:bCs/>
          <w:rtl/>
        </w:rPr>
        <w:t> </w:t>
      </w:r>
      <w:r w:rsidRPr="004E0180">
        <w:rPr>
          <w:rFonts w:hint="cs"/>
          <w:b/>
          <w:bCs/>
          <w:rtl/>
          <w:lang w:bidi="ar-EG"/>
        </w:rPr>
        <w:t>اتفاقية</w:t>
      </w:r>
      <w:r w:rsidRPr="004E0180">
        <w:rPr>
          <w:rFonts w:hint="eastAsia"/>
          <w:b/>
          <w:bCs/>
          <w:rtl/>
          <w:lang w:bidi="ar-EG"/>
        </w:rPr>
        <w:t> </w:t>
      </w:r>
      <w:r w:rsidRPr="004E0180">
        <w:rPr>
          <w:rFonts w:hint="cs"/>
          <w:b/>
          <w:bCs/>
          <w:rtl/>
          <w:lang w:bidi="ar-EG"/>
        </w:rPr>
        <w:t>الات‍حاد.</w:t>
      </w:r>
    </w:p>
    <w:p w:rsidR="00755814" w:rsidRPr="00755814" w:rsidRDefault="00755814" w:rsidP="00755814">
      <w:pPr>
        <w:spacing w:after="120"/>
        <w:rPr>
          <w:rtl/>
          <w:lang w:bidi="ar-EG"/>
        </w:rPr>
      </w:pPr>
      <w:r w:rsidRPr="00755814">
        <w:t>6</w:t>
      </w:r>
      <w:r w:rsidRPr="00755814">
        <w:rPr>
          <w:rFonts w:hint="cs"/>
          <w:rtl/>
          <w:lang w:bidi="ar-EG"/>
        </w:rPr>
        <w:tab/>
        <w:t>وي‍مكن الاطلاع على جدول الأعمال وج‍ميع ال‍معلومات ذات الصلة فيما يتعلق باجتماع ل‍جنة الدراسات</w:t>
      </w:r>
      <w:r w:rsidRPr="00755814">
        <w:rPr>
          <w:rFonts w:hint="eastAsia"/>
          <w:rtl/>
          <w:lang w:bidi="ar-EG"/>
        </w:rPr>
        <w:t> </w:t>
      </w:r>
      <w:r w:rsidRPr="00755814">
        <w:t>17</w:t>
      </w:r>
      <w:r w:rsidRPr="00755814">
        <w:rPr>
          <w:rFonts w:hint="cs"/>
          <w:rtl/>
          <w:lang w:bidi="ar-EG"/>
        </w:rPr>
        <w:t xml:space="preserve"> لقطاع تقييس الاتصالات في</w:t>
      </w:r>
      <w:r w:rsidRPr="00755814">
        <w:rPr>
          <w:rFonts w:hint="eastAsia"/>
          <w:rtl/>
          <w:lang w:bidi="ar-EG"/>
        </w:rPr>
        <w:t> </w:t>
      </w:r>
      <w:r w:rsidRPr="00755814">
        <w:rPr>
          <w:rFonts w:hint="cs"/>
          <w:rtl/>
          <w:lang w:bidi="ar-EG"/>
        </w:rPr>
        <w:t>الرسالة ال‍جماعية</w:t>
      </w:r>
      <w:r w:rsidRPr="00755814">
        <w:rPr>
          <w:rFonts w:hint="eastAsia"/>
          <w:rtl/>
          <w:lang w:bidi="ar-EG"/>
        </w:rPr>
        <w:t> </w:t>
      </w:r>
      <w:r w:rsidRPr="00755814">
        <w:t>8/17</w:t>
      </w:r>
      <w:r w:rsidRPr="00755814">
        <w:rPr>
          <w:rFonts w:hint="cs"/>
          <w:rtl/>
          <w:lang w:bidi="ar-EG"/>
        </w:rPr>
        <w:t>.</w:t>
      </w:r>
    </w:p>
    <w:p w:rsidR="00333F15" w:rsidRPr="00333F15" w:rsidRDefault="00755814" w:rsidP="00755814">
      <w:pPr>
        <w:spacing w:after="120"/>
        <w:rPr>
          <w:rtl/>
          <w:lang w:bidi="ar-EG"/>
        </w:rPr>
      </w:pPr>
      <w:r w:rsidRPr="00755814">
        <w:t>7</w:t>
      </w:r>
      <w:r w:rsidRPr="00755814">
        <w:rPr>
          <w:rFonts w:hint="cs"/>
          <w:rtl/>
          <w:lang w:bidi="ar-EG"/>
        </w:rPr>
        <w:tab/>
        <w:t>وفي أعقاب الاجتماع سوف يعلن مدير مكتب تقييس الاتصالات، في رسالة معممة، عن القرار ال‍متخذ بشأن هذه التوصيات. وسوف تُنشر هذه ال‍معلومات أيضاً في النشرة التشغيلية</w:t>
      </w:r>
      <w:r w:rsidRPr="00755814">
        <w:rPr>
          <w:rFonts w:hint="eastAsia"/>
          <w:rtl/>
          <w:lang w:bidi="ar-EG"/>
        </w:rPr>
        <w:t> </w:t>
      </w:r>
      <w:r w:rsidRPr="00755814">
        <w:rPr>
          <w:rFonts w:hint="cs"/>
          <w:rtl/>
          <w:lang w:bidi="ar-EG"/>
        </w:rPr>
        <w:t>للات‍حاد.</w:t>
      </w:r>
    </w:p>
    <w:p w:rsidR="00706D7A" w:rsidRDefault="00521E65" w:rsidP="00521E65">
      <w:pPr>
        <w:spacing w:before="240"/>
        <w:rPr>
          <w:lang w:bidi="ar-EG"/>
        </w:rPr>
      </w:pPr>
      <w:r w:rsidRPr="00521E65">
        <w:rPr>
          <w:rFonts w:hint="cs"/>
          <w:rtl/>
          <w:lang w:bidi="ar-EG"/>
        </w:rPr>
        <w:t>وتفضلوا بقبول فائق التقدير والاحترام.</w:t>
      </w:r>
    </w:p>
    <w:p w:rsidR="009238D6" w:rsidRDefault="009238D6" w:rsidP="00521E65">
      <w:pPr>
        <w:spacing w:before="240"/>
        <w:rPr>
          <w:rtl/>
          <w:lang w:bidi="ar-EG"/>
        </w:rPr>
      </w:pPr>
    </w:p>
    <w:p w:rsidR="00521E65" w:rsidRDefault="00521E65" w:rsidP="009238D6">
      <w:pPr>
        <w:spacing w:before="600"/>
        <w:jc w:val="left"/>
        <w:rPr>
          <w:rtl/>
          <w:lang w:bidi="ar-SY"/>
        </w:rPr>
      </w:pPr>
      <w:r>
        <w:rPr>
          <w:rFonts w:hint="cs"/>
          <w:rtl/>
          <w:lang w:bidi="ar-SY"/>
        </w:rPr>
        <w:lastRenderedPageBreak/>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F92825">
      <w:pPr>
        <w:spacing w:before="480"/>
        <w:jc w:val="left"/>
        <w:rPr>
          <w:b/>
          <w:bCs/>
          <w:rtl/>
          <w:lang w:bidi="ar-SY"/>
        </w:rPr>
      </w:pPr>
      <w:r w:rsidRPr="00521E65">
        <w:rPr>
          <w:rFonts w:hint="cs"/>
          <w:b/>
          <w:bCs/>
          <w:rtl/>
          <w:lang w:bidi="ar-SY"/>
        </w:rPr>
        <w:t xml:space="preserve">الملحقات: </w:t>
      </w:r>
      <w:r w:rsidR="00333F15" w:rsidRPr="00513BEF">
        <w:rPr>
          <w:lang w:bidi="ar-SY"/>
        </w:rPr>
        <w:t>1</w:t>
      </w:r>
    </w:p>
    <w:p w:rsidR="00EE5928" w:rsidRPr="00E5116D" w:rsidRDefault="00521E65" w:rsidP="00EE5928">
      <w:pPr>
        <w:pStyle w:val="AnnexNo"/>
        <w:rPr>
          <w:b/>
          <w:bCs/>
        </w:rPr>
      </w:pPr>
      <w:r>
        <w:rPr>
          <w:rtl/>
        </w:rPr>
        <w:br w:type="page"/>
      </w:r>
      <w:r w:rsidR="00333F15" w:rsidRPr="00E5116D">
        <w:rPr>
          <w:rFonts w:hint="cs"/>
          <w:b/>
          <w:bCs/>
          <w:rtl/>
        </w:rPr>
        <w:lastRenderedPageBreak/>
        <w:t xml:space="preserve">ال‍ملحق </w:t>
      </w:r>
      <w:r w:rsidR="00333F15" w:rsidRPr="00E5116D">
        <w:rPr>
          <w:b/>
          <w:bCs/>
        </w:rPr>
        <w:t>1</w:t>
      </w:r>
    </w:p>
    <w:p w:rsidR="00333F15" w:rsidRPr="00E5116D" w:rsidRDefault="00333F15" w:rsidP="00EE5928">
      <w:pPr>
        <w:jc w:val="center"/>
        <w:rPr>
          <w:b/>
          <w:bCs/>
          <w:rtl/>
        </w:rPr>
      </w:pPr>
      <w:r w:rsidRPr="00E5116D">
        <w:rPr>
          <w:rFonts w:hint="cs"/>
          <w:b/>
          <w:bCs/>
          <w:rtl/>
        </w:rPr>
        <w:t xml:space="preserve">(بالرسالة ال‍معمّمة </w:t>
      </w:r>
      <w:r w:rsidRPr="00E5116D">
        <w:rPr>
          <w:b/>
          <w:bCs/>
        </w:rPr>
        <w:t>21</w:t>
      </w:r>
      <w:r w:rsidR="00755814" w:rsidRPr="00E5116D">
        <w:rPr>
          <w:b/>
          <w:bCs/>
        </w:rPr>
        <w:t>4</w:t>
      </w:r>
      <w:r w:rsidRPr="00E5116D">
        <w:rPr>
          <w:rFonts w:hint="cs"/>
          <w:b/>
          <w:bCs/>
          <w:rtl/>
        </w:rPr>
        <w:t xml:space="preserve"> ل‍مكتب تقييس الاتصالات)</w:t>
      </w:r>
    </w:p>
    <w:p w:rsidR="00333F15" w:rsidRPr="00333F15" w:rsidRDefault="00755814" w:rsidP="00755814">
      <w:pPr>
        <w:pStyle w:val="Annextitle"/>
        <w:rPr>
          <w:rtl/>
        </w:rPr>
      </w:pPr>
      <w:r w:rsidRPr="00755814">
        <w:rPr>
          <w:rFonts w:hint="cs"/>
          <w:rtl/>
          <w:lang w:bidi="ar-EG"/>
        </w:rPr>
        <w:t xml:space="preserve">ملخص </w:t>
      </w:r>
      <w:r w:rsidRPr="00755814">
        <w:rPr>
          <w:rtl/>
          <w:lang w:bidi="ar-SA"/>
        </w:rPr>
        <w:t xml:space="preserve">النصوص والوثائق التي ترد </w:t>
      </w:r>
      <w:r w:rsidRPr="00755814">
        <w:rPr>
          <w:rFonts w:hint="cs"/>
          <w:rtl/>
          <w:lang w:bidi="ar-EG"/>
        </w:rPr>
        <w:t>فيها</w:t>
      </w:r>
    </w:p>
    <w:p w:rsidR="005609A3" w:rsidRDefault="00755814" w:rsidP="005609A3">
      <w:pPr>
        <w:pStyle w:val="Heading1"/>
        <w:rPr>
          <w:rtl/>
        </w:rPr>
      </w:pPr>
      <w:r>
        <w:t>1</w:t>
      </w:r>
      <w:r>
        <w:rPr>
          <w:rtl/>
        </w:rPr>
        <w:tab/>
      </w:r>
      <w:r w:rsidRPr="00FF23E0">
        <w:rPr>
          <w:rFonts w:hint="cs"/>
          <w:rtl/>
        </w:rPr>
        <w:t xml:space="preserve">مشروع التوصية </w:t>
      </w:r>
      <w:r w:rsidRPr="00887B05">
        <w:rPr>
          <w:rFonts w:hint="cs"/>
          <w:rtl/>
        </w:rPr>
        <w:t xml:space="preserve">ال‍جديدة </w:t>
      </w:r>
      <w:r w:rsidRPr="00887B05">
        <w:rPr>
          <w:lang w:val="fr-CH"/>
        </w:rPr>
        <w:t>ITU-T X.1258 (ex X.eaaa)</w:t>
      </w:r>
      <w:r>
        <w:rPr>
          <w:lang w:val="fr-CH"/>
        </w:rPr>
        <w:t> </w:t>
      </w:r>
      <w:r w:rsidRPr="00755814">
        <w:rPr>
          <w:lang w:val="fr-CH"/>
        </w:rPr>
        <w:t>(</w:t>
      </w:r>
      <w:hyperlink r:id="rId12" w:history="1">
        <w:r w:rsidRPr="00755814">
          <w:rPr>
            <w:rStyle w:val="Hyperlink"/>
            <w:lang w:val="fr-CH" w:bidi="ar-SY"/>
          </w:rPr>
          <w:t>R 64</w:t>
        </w:r>
      </w:hyperlink>
      <w:r w:rsidRPr="00755814">
        <w:rPr>
          <w:lang w:val="fr-CH"/>
        </w:rPr>
        <w:t>)</w:t>
      </w:r>
    </w:p>
    <w:p w:rsidR="00755814" w:rsidRDefault="00755814" w:rsidP="005609A3">
      <w:pPr>
        <w:pStyle w:val="Headingb"/>
        <w:rPr>
          <w:rtl/>
        </w:rPr>
      </w:pPr>
      <w:r w:rsidRPr="004C0DCA">
        <w:rPr>
          <w:rFonts w:hint="cs"/>
          <w:rtl/>
        </w:rPr>
        <w:t>تعزيز</w:t>
      </w:r>
      <w:r w:rsidRPr="004C0DCA">
        <w:rPr>
          <w:rtl/>
        </w:rPr>
        <w:t xml:space="preserve"> </w:t>
      </w:r>
      <w:r w:rsidRPr="004C0DCA">
        <w:rPr>
          <w:rFonts w:hint="cs"/>
          <w:rtl/>
        </w:rPr>
        <w:t>الاستيقان</w:t>
      </w:r>
      <w:r w:rsidRPr="004C0DCA">
        <w:rPr>
          <w:rtl/>
        </w:rPr>
        <w:t xml:space="preserve"> </w:t>
      </w:r>
      <w:r w:rsidRPr="004C0DCA">
        <w:rPr>
          <w:rFonts w:hint="cs"/>
          <w:rtl/>
        </w:rPr>
        <w:t>من</w:t>
      </w:r>
      <w:r w:rsidRPr="004C0DCA">
        <w:rPr>
          <w:rtl/>
        </w:rPr>
        <w:t xml:space="preserve"> </w:t>
      </w:r>
      <w:r w:rsidRPr="004C0DCA">
        <w:rPr>
          <w:rFonts w:hint="cs"/>
          <w:rtl/>
        </w:rPr>
        <w:t>الكيانات</w:t>
      </w:r>
      <w:r w:rsidRPr="004C0DCA">
        <w:rPr>
          <w:rtl/>
        </w:rPr>
        <w:t xml:space="preserve"> </w:t>
      </w:r>
      <w:r w:rsidRPr="004C0DCA">
        <w:rPr>
          <w:rFonts w:hint="cs"/>
          <w:rtl/>
        </w:rPr>
        <w:t>على</w:t>
      </w:r>
      <w:r w:rsidRPr="004C0DCA">
        <w:rPr>
          <w:rtl/>
        </w:rPr>
        <w:t xml:space="preserve"> </w:t>
      </w:r>
      <w:r w:rsidRPr="004C0DCA">
        <w:rPr>
          <w:rFonts w:hint="cs"/>
          <w:rtl/>
        </w:rPr>
        <w:t>أساس</w:t>
      </w:r>
      <w:r w:rsidRPr="004C0DCA">
        <w:rPr>
          <w:rtl/>
        </w:rPr>
        <w:t xml:space="preserve"> </w:t>
      </w:r>
      <w:r w:rsidRPr="004C0DCA">
        <w:rPr>
          <w:rFonts w:hint="cs"/>
          <w:rtl/>
        </w:rPr>
        <w:t>تجميع</w:t>
      </w:r>
      <w:r w:rsidRPr="004C0DCA">
        <w:rPr>
          <w:rtl/>
        </w:rPr>
        <w:t xml:space="preserve"> </w:t>
      </w:r>
      <w:r w:rsidRPr="004C0DCA">
        <w:rPr>
          <w:rFonts w:hint="cs"/>
          <w:rtl/>
        </w:rPr>
        <w:t>ال</w:t>
      </w:r>
      <w:r>
        <w:rPr>
          <w:rFonts w:hint="cs"/>
          <w:rtl/>
        </w:rPr>
        <w:t>نعوت</w:t>
      </w:r>
    </w:p>
    <w:p w:rsidR="00755814" w:rsidRPr="00FF23E0" w:rsidRDefault="00755814" w:rsidP="00755814">
      <w:pPr>
        <w:pStyle w:val="Headingb"/>
        <w:rPr>
          <w:rtl/>
        </w:rPr>
      </w:pPr>
      <w:r w:rsidRPr="00FF23E0">
        <w:rPr>
          <w:rFonts w:hint="cs"/>
          <w:rtl/>
        </w:rPr>
        <w:t>ملخص</w:t>
      </w:r>
    </w:p>
    <w:p w:rsidR="00755814" w:rsidRDefault="00755814" w:rsidP="00EE5928">
      <w:pPr>
        <w:rPr>
          <w:rtl/>
        </w:rPr>
      </w:pPr>
      <w:r>
        <w:rPr>
          <w:rFonts w:hint="cs"/>
          <w:rtl/>
          <w:lang w:bidi="ar-EG"/>
        </w:rPr>
        <w:t>قد يلزم تجميع النعوت من سلطات نعوت متعددة من أجل تمكين أي طرف معول من تعزيز ثقته في هوية طرف</w:t>
      </w:r>
      <w:r w:rsidR="00EE5928">
        <w:rPr>
          <w:rFonts w:hint="eastAsia"/>
          <w:rtl/>
          <w:lang w:bidi="ar-EG"/>
        </w:rPr>
        <w:t> </w:t>
      </w:r>
      <w:r>
        <w:rPr>
          <w:rFonts w:hint="cs"/>
          <w:rtl/>
          <w:lang w:bidi="ar-EG"/>
        </w:rPr>
        <w:t xml:space="preserve">ما. ويمكن النظر إلى التجميع </w:t>
      </w:r>
      <w:r w:rsidR="005279DE">
        <w:rPr>
          <w:rFonts w:hint="cs"/>
          <w:rtl/>
          <w:lang w:bidi="ar-EG"/>
        </w:rPr>
        <w:t xml:space="preserve">على أنه تعامل مع مجموعة من </w:t>
      </w:r>
      <w:r w:rsidR="00EE5928">
        <w:rPr>
          <w:rFonts w:hint="cs"/>
          <w:rtl/>
          <w:lang w:bidi="ar-EG"/>
        </w:rPr>
        <w:t>معرفات</w:t>
      </w:r>
      <w:r w:rsidR="005279DE">
        <w:rPr>
          <w:rFonts w:hint="cs"/>
          <w:rtl/>
          <w:lang w:bidi="ar-EG"/>
        </w:rPr>
        <w:t xml:space="preserve"> الهوية المتفردة عالمياً والمشتركة بين جميع سلطات النعوت. </w:t>
      </w:r>
      <w:r w:rsidR="00EE5928">
        <w:rPr>
          <w:rFonts w:hint="cs"/>
          <w:rtl/>
          <w:lang w:bidi="ar-EG"/>
        </w:rPr>
        <w:t>و</w:t>
      </w:r>
      <w:r w:rsidR="005279DE">
        <w:rPr>
          <w:rFonts w:hint="cs"/>
          <w:rtl/>
          <w:lang w:bidi="ar-EG"/>
        </w:rPr>
        <w:t>من الناحية العملية، لا تملك الكيانات معرف هوية عالمياً ولكنها تملك معرفات هوية ونعوت مختلفة للكيان مخصصة من قبل موردي خدمات الهوية المختلفين</w:t>
      </w:r>
      <w:r w:rsidR="00EE5928">
        <w:rPr>
          <w:rFonts w:hint="eastAsia"/>
          <w:rtl/>
          <w:lang w:bidi="ar-EG"/>
        </w:rPr>
        <w:t> </w:t>
      </w:r>
      <w:r w:rsidR="00EE5928">
        <w:rPr>
          <w:lang w:bidi="ar-EG"/>
        </w:rPr>
        <w:t>(IdSP)</w:t>
      </w:r>
      <w:r w:rsidR="005279DE">
        <w:rPr>
          <w:rFonts w:hint="cs"/>
          <w:rtl/>
          <w:lang w:bidi="ar-EG"/>
        </w:rPr>
        <w:t>. ولمعالجة مشكلة تجميع الن</w:t>
      </w:r>
      <w:r w:rsidR="00EE5928">
        <w:rPr>
          <w:rFonts w:hint="cs"/>
          <w:rtl/>
          <w:lang w:bidi="ar-EG"/>
        </w:rPr>
        <w:t>عوت في هذا السيناريو، يستعمل مفه</w:t>
      </w:r>
      <w:r w:rsidR="005279DE">
        <w:rPr>
          <w:rFonts w:hint="cs"/>
          <w:rtl/>
          <w:lang w:bidi="ar-EG"/>
        </w:rPr>
        <w:t>وم اتحاد الهوية. فعلى سبيل المثال، إذا</w:t>
      </w:r>
      <w:r w:rsidR="00EE5928">
        <w:rPr>
          <w:rFonts w:hint="eastAsia"/>
          <w:rtl/>
          <w:lang w:bidi="ar-EG"/>
        </w:rPr>
        <w:t> </w:t>
      </w:r>
      <w:r w:rsidR="005279DE">
        <w:rPr>
          <w:rFonts w:hint="cs"/>
          <w:rtl/>
          <w:lang w:bidi="ar-EG"/>
        </w:rPr>
        <w:t xml:space="preserve">كان هناك متجر للكتب الإلكترونية يخطط لعمل تخفيض للكبار، فإنه يتعين عليه الحصول على مجموعة مجمعة من النعوت (بطاقة </w:t>
      </w:r>
      <w:r w:rsidR="00EE5928">
        <w:rPr>
          <w:rFonts w:hint="cs"/>
          <w:rtl/>
          <w:lang w:bidi="ar-EG"/>
        </w:rPr>
        <w:t>الائتمان والشريحة العمومية) من ا</w:t>
      </w:r>
      <w:r w:rsidR="005279DE">
        <w:rPr>
          <w:rFonts w:hint="cs"/>
          <w:rtl/>
          <w:lang w:bidi="ar-EG"/>
        </w:rPr>
        <w:t>ثنين من موردي خدمات الهوية، ولكن بدون أن يعرف الواحد منهما مشاركة الآخر. وفي</w:t>
      </w:r>
      <w:r w:rsidR="00EE5928">
        <w:rPr>
          <w:rFonts w:hint="eastAsia"/>
          <w:rtl/>
          <w:lang w:bidi="ar-EG"/>
        </w:rPr>
        <w:t> </w:t>
      </w:r>
      <w:r w:rsidR="005279DE">
        <w:rPr>
          <w:rFonts w:hint="cs"/>
          <w:rtl/>
          <w:lang w:bidi="ar-EG"/>
        </w:rPr>
        <w:t xml:space="preserve">الإدارة العادية للهويات الاتحادية، لا يمكن لأي كيان أن يقدم نعوتاً إلا من هوية واحدة، غير أن هذه المعاملة تحتاج إلى نعوت من اثنتين. وهناك طرائق متعددة لاتحادات الهويات مثل لغة وسم التأكيد الأمني </w:t>
      </w:r>
      <w:r w:rsidR="005279DE">
        <w:rPr>
          <w:lang w:bidi="ar-EG"/>
        </w:rPr>
        <w:t>(SAML)</w:t>
      </w:r>
      <w:r w:rsidR="005279DE">
        <w:rPr>
          <w:rFonts w:hint="cs"/>
          <w:rtl/>
          <w:lang w:bidi="ar-EG"/>
        </w:rPr>
        <w:t xml:space="preserve"> وشيبوليث </w:t>
      </w:r>
      <w:r w:rsidR="005279DE">
        <w:rPr>
          <w:lang w:bidi="ar-EG"/>
        </w:rPr>
        <w:t>[</w:t>
      </w:r>
      <w:r w:rsidR="00EE5928">
        <w:rPr>
          <w:lang w:val="en-GB" w:bidi="ar-EG"/>
        </w:rPr>
        <w:t>b</w:t>
      </w:r>
      <w:r w:rsidR="00EE5928">
        <w:rPr>
          <w:lang w:val="en-GB" w:bidi="ar-EG"/>
        </w:rPr>
        <w:noBreakHyphen/>
      </w:r>
      <w:r w:rsidR="005279DE" w:rsidRPr="005279DE">
        <w:rPr>
          <w:lang w:val="en-GB" w:bidi="ar-EG"/>
        </w:rPr>
        <w:t>Shibboleth</w:t>
      </w:r>
      <w:r w:rsidR="005279DE">
        <w:rPr>
          <w:lang w:bidi="ar-EG"/>
        </w:rPr>
        <w:t>]</w:t>
      </w:r>
      <w:r w:rsidR="005279DE">
        <w:rPr>
          <w:rFonts w:hint="cs"/>
          <w:rtl/>
          <w:lang w:bidi="ar-EG"/>
        </w:rPr>
        <w:t xml:space="preserve"> والهوية المفتوحة </w:t>
      </w:r>
      <w:r w:rsidR="00AE7E61">
        <w:rPr>
          <w:lang w:bidi="ar-EG"/>
        </w:rPr>
        <w:t>(Open</w:t>
      </w:r>
      <w:r w:rsidR="005279DE">
        <w:rPr>
          <w:lang w:bidi="ar-EG"/>
        </w:rPr>
        <w:t>ID)</w:t>
      </w:r>
      <w:r w:rsidR="005279DE">
        <w:rPr>
          <w:rFonts w:hint="cs"/>
          <w:rtl/>
          <w:lang w:bidi="ar-EG"/>
        </w:rPr>
        <w:t xml:space="preserve"> والاستيقان المفتوح </w:t>
      </w:r>
      <w:r w:rsidR="005279DE" w:rsidRPr="005279DE">
        <w:rPr>
          <w:lang w:val="en-GB" w:bidi="ar-EG"/>
        </w:rPr>
        <w:t>(OAuth)</w:t>
      </w:r>
      <w:r w:rsidR="005279DE">
        <w:rPr>
          <w:rFonts w:hint="cs"/>
          <w:rtl/>
          <w:lang w:val="en-GB" w:bidi="ar-EG"/>
        </w:rPr>
        <w:t xml:space="preserve"> وغيرها</w:t>
      </w:r>
      <w:r w:rsidR="00EE5928">
        <w:rPr>
          <w:rFonts w:hint="cs"/>
          <w:rtl/>
          <w:lang w:val="en-GB" w:bidi="ar-EG"/>
        </w:rPr>
        <w:t>.</w:t>
      </w:r>
      <w:r w:rsidR="005279DE">
        <w:rPr>
          <w:rFonts w:hint="cs"/>
          <w:rtl/>
          <w:lang w:val="en-GB" w:bidi="ar-EG"/>
        </w:rPr>
        <w:t xml:space="preserve"> وتطرح التوصية </w:t>
      </w:r>
      <w:r w:rsidR="001D29ED" w:rsidRPr="001D29ED">
        <w:rPr>
          <w:lang w:val="en-GB" w:bidi="ar-EG"/>
        </w:rPr>
        <w:t>ITU-T X.1258 (X.eaaa)</w:t>
      </w:r>
      <w:r w:rsidR="005609A3">
        <w:rPr>
          <w:rFonts w:hint="cs"/>
          <w:rtl/>
          <w:lang w:val="en-GB" w:bidi="ar-EG"/>
        </w:rPr>
        <w:t xml:space="preserve"> مفهوم تجميع النعوت لتمكين أي كيان من تجميع النعوت</w:t>
      </w:r>
      <w:r w:rsidR="00EE5928">
        <w:rPr>
          <w:rFonts w:hint="cs"/>
          <w:rtl/>
          <w:lang w:val="en-GB" w:bidi="ar-EG"/>
        </w:rPr>
        <w:t xml:space="preserve"> من موردي خدمات هوية متعددين. و</w:t>
      </w:r>
      <w:r w:rsidR="005609A3">
        <w:rPr>
          <w:rFonts w:hint="cs"/>
          <w:rtl/>
          <w:lang w:val="en-GB" w:bidi="ar-EG"/>
        </w:rPr>
        <w:t>تجميع النعوت آلية لجمع النعوت الخاصة بأي كيان والتي يتم استرجاعها من موردي خدمات هوية متعددين. ويلزم تجميع النعوت من أجل تجميع النعوت دينامياً عند الطلب. ويمكن لمورد خدمات الهوية أن يدرك وجود طلب بالتجميع عندما يحتاج أي من الكيانات الحصول على خدمة. وإلى جانب ذلك، يمكن أيضاً تطبيق آلية تجميع نعوت متمحورة حول الكيان على الاستيقان من أجل التخفيف من فقدان</w:t>
      </w:r>
      <w:r w:rsidR="00EE5928">
        <w:rPr>
          <w:rFonts w:hint="eastAsia"/>
          <w:rtl/>
          <w:lang w:val="en-GB" w:bidi="ar-EG"/>
        </w:rPr>
        <w:t> </w:t>
      </w:r>
      <w:r w:rsidR="005609A3">
        <w:rPr>
          <w:rFonts w:hint="cs"/>
          <w:rtl/>
          <w:lang w:val="en-GB" w:bidi="ar-EG"/>
        </w:rPr>
        <w:t>الخصوصية.</w:t>
      </w:r>
    </w:p>
    <w:p w:rsidR="005609A3" w:rsidRDefault="00755814" w:rsidP="005609A3">
      <w:pPr>
        <w:pStyle w:val="Heading1"/>
        <w:rPr>
          <w:rtl/>
        </w:rPr>
      </w:pPr>
      <w:r>
        <w:lastRenderedPageBreak/>
        <w:t>2</w:t>
      </w:r>
      <w:r>
        <w:rPr>
          <w:rtl/>
        </w:rPr>
        <w:tab/>
      </w:r>
      <w:r w:rsidRPr="00FF23E0">
        <w:rPr>
          <w:rFonts w:hint="cs"/>
          <w:rtl/>
        </w:rPr>
        <w:t xml:space="preserve">مشروع التوصية ال‍جديدة </w:t>
      </w:r>
      <w:r w:rsidRPr="004141CA">
        <w:rPr>
          <w:lang w:val="fr-CH"/>
        </w:rPr>
        <w:t>ITU-T X.1542 (ex X.simef)</w:t>
      </w:r>
      <w:r w:rsidR="005609A3" w:rsidRPr="005609A3">
        <w:rPr>
          <w:rFonts w:eastAsia="Times New Roman" w:cs="Times New Roman"/>
          <w:b w:val="0"/>
          <w:bCs w:val="0"/>
          <w:sz w:val="24"/>
          <w:szCs w:val="20"/>
          <w:lang w:val="fr-CH" w:eastAsia="en-US"/>
        </w:rPr>
        <w:t xml:space="preserve"> </w:t>
      </w:r>
      <w:r w:rsidR="005609A3" w:rsidRPr="005609A3">
        <w:rPr>
          <w:lang w:val="fr-CH"/>
        </w:rPr>
        <w:t>(</w:t>
      </w:r>
      <w:hyperlink r:id="rId13" w:history="1">
        <w:r w:rsidR="005609A3" w:rsidRPr="005609A3">
          <w:rPr>
            <w:rStyle w:val="Hyperlink"/>
            <w:lang w:val="fr-CH"/>
          </w:rPr>
          <w:t>R 61</w:t>
        </w:r>
      </w:hyperlink>
      <w:r w:rsidR="005609A3" w:rsidRPr="005609A3">
        <w:rPr>
          <w:lang w:val="fr-CH"/>
        </w:rPr>
        <w:t>)</w:t>
      </w:r>
    </w:p>
    <w:p w:rsidR="00755814" w:rsidRDefault="00755814" w:rsidP="00EE5928">
      <w:pPr>
        <w:pStyle w:val="Headingb"/>
        <w:rPr>
          <w:rtl/>
          <w:lang w:bidi="ar-EG"/>
        </w:rPr>
      </w:pPr>
      <w:r w:rsidRPr="004C0DCA">
        <w:rPr>
          <w:rFonts w:hint="cs"/>
          <w:rtl/>
        </w:rPr>
        <w:t>نسق</w:t>
      </w:r>
      <w:r w:rsidRPr="004C0DCA">
        <w:rPr>
          <w:rtl/>
        </w:rPr>
        <w:t xml:space="preserve"> </w:t>
      </w:r>
      <w:r w:rsidRPr="004C0DCA">
        <w:rPr>
          <w:rFonts w:hint="cs"/>
          <w:rtl/>
        </w:rPr>
        <w:t>تبادل</w:t>
      </w:r>
      <w:r w:rsidRPr="004C0DCA">
        <w:rPr>
          <w:rtl/>
        </w:rPr>
        <w:t xml:space="preserve"> </w:t>
      </w:r>
      <w:r w:rsidRPr="004C0DCA">
        <w:rPr>
          <w:rFonts w:hint="cs"/>
          <w:rtl/>
        </w:rPr>
        <w:t>الرسائل</w:t>
      </w:r>
      <w:r w:rsidRPr="004C0DCA">
        <w:rPr>
          <w:rtl/>
        </w:rPr>
        <w:t xml:space="preserve"> </w:t>
      </w:r>
      <w:r w:rsidRPr="004C0DCA">
        <w:rPr>
          <w:rFonts w:hint="cs"/>
          <w:rtl/>
        </w:rPr>
        <w:t>المتعلقة</w:t>
      </w:r>
      <w:r w:rsidRPr="004C0DCA">
        <w:rPr>
          <w:rtl/>
        </w:rPr>
        <w:t xml:space="preserve"> </w:t>
      </w:r>
      <w:r w:rsidRPr="004C0DCA">
        <w:rPr>
          <w:rFonts w:hint="cs"/>
          <w:rtl/>
        </w:rPr>
        <w:t>بمعلومات</w:t>
      </w:r>
      <w:r w:rsidRPr="004C0DCA">
        <w:rPr>
          <w:rtl/>
        </w:rPr>
        <w:t xml:space="preserve"> </w:t>
      </w:r>
      <w:r>
        <w:rPr>
          <w:rFonts w:hint="cs"/>
          <w:rtl/>
        </w:rPr>
        <w:t>الدورة</w:t>
      </w:r>
    </w:p>
    <w:p w:rsidR="00755814" w:rsidRPr="00FF23E0" w:rsidRDefault="00755814" w:rsidP="00755814">
      <w:pPr>
        <w:pStyle w:val="Headingb"/>
        <w:rPr>
          <w:rtl/>
        </w:rPr>
      </w:pPr>
      <w:r w:rsidRPr="00FF23E0">
        <w:rPr>
          <w:rFonts w:hint="cs"/>
          <w:rtl/>
        </w:rPr>
        <w:t>ملخص</w:t>
      </w:r>
    </w:p>
    <w:p w:rsidR="00EE5928" w:rsidRPr="00EE5928" w:rsidRDefault="005609A3" w:rsidP="00EE5928">
      <w:pPr>
        <w:rPr>
          <w:rtl/>
          <w:lang w:val="en-GB" w:bidi="ar-EG"/>
        </w:rPr>
      </w:pPr>
      <w:r>
        <w:rPr>
          <w:rFonts w:hint="cs"/>
          <w:rtl/>
          <w:lang w:bidi="ar-EG"/>
        </w:rPr>
        <w:t>في بيئة شبكات اليوم، تتعرض الشبكات الحاسوبية لتهدي</w:t>
      </w:r>
      <w:r w:rsidR="000C39D1">
        <w:rPr>
          <w:rFonts w:hint="cs"/>
          <w:rtl/>
          <w:lang w:bidi="ar-EG"/>
        </w:rPr>
        <w:t>د</w:t>
      </w:r>
      <w:r>
        <w:rPr>
          <w:rFonts w:hint="cs"/>
          <w:rtl/>
          <w:lang w:bidi="ar-EG"/>
        </w:rPr>
        <w:t xml:space="preserve">ات من داخل المنظمة ومن خارجها على السواء. وتقوم أنظمة جدران الحماية </w:t>
      </w:r>
      <w:r w:rsidR="000C39D1">
        <w:rPr>
          <w:rFonts w:hint="cs"/>
          <w:rtl/>
          <w:lang w:bidi="ar-EG"/>
        </w:rPr>
        <w:t xml:space="preserve">بتسجيل معلومات عن توصيلات لبروتوكول التحكم في الإرسال </w:t>
      </w:r>
      <w:r w:rsidR="000C39D1">
        <w:rPr>
          <w:lang w:bidi="ar-EG"/>
        </w:rPr>
        <w:t>(TCP)</w:t>
      </w:r>
      <w:r w:rsidR="000C39D1">
        <w:rPr>
          <w:rFonts w:hint="cs"/>
          <w:rtl/>
          <w:lang w:bidi="ar-EG"/>
        </w:rPr>
        <w:t xml:space="preserve">/بروتوكول الإنترنت </w:t>
      </w:r>
      <w:r w:rsidR="000C39D1">
        <w:rPr>
          <w:lang w:bidi="ar-EG"/>
        </w:rPr>
        <w:t>(IP)</w:t>
      </w:r>
      <w:r w:rsidR="000C39D1">
        <w:rPr>
          <w:rFonts w:hint="cs"/>
          <w:rtl/>
          <w:lang w:bidi="ar-EG"/>
        </w:rPr>
        <w:t xml:space="preserve"> صادرة و</w:t>
      </w:r>
      <w:r w:rsidR="001D29ED">
        <w:rPr>
          <w:rFonts w:hint="cs"/>
          <w:rtl/>
          <w:lang w:bidi="ar-EG"/>
        </w:rPr>
        <w:t xml:space="preserve">واردة منتقاة. ومع ذلك، فإن هذه الأنظمة المتاحة حالياً غير قابلة للتشغيل البيني بشكل عام لأن لكل نظام منها وظيفته الخاصة وآليات التحكم وأنساق تسجيل الدورات الخاصة به. والحاجة الملحة التي تعانيها معظم الإدارات الأمنية حالياً هي الحفاظ على نسق متناسق لتبادل معلومات الدورة عبر مختلف أنظمة جدران الحماية وربما عبر بنى تحتية مختلفة. وتصف التوصية </w:t>
      </w:r>
      <w:r w:rsidR="001D29ED" w:rsidRPr="001D29ED">
        <w:rPr>
          <w:lang w:val="en-GB" w:bidi="ar-EG"/>
        </w:rPr>
        <w:t>ITU</w:t>
      </w:r>
      <w:r w:rsidR="00EE5928">
        <w:rPr>
          <w:lang w:val="en-GB" w:bidi="ar-EG"/>
        </w:rPr>
        <w:noBreakHyphen/>
      </w:r>
      <w:r w:rsidR="001D29ED" w:rsidRPr="001D29ED">
        <w:rPr>
          <w:lang w:val="en-GB" w:bidi="ar-EG"/>
        </w:rPr>
        <w:t>T</w:t>
      </w:r>
      <w:r w:rsidR="00EE5928">
        <w:rPr>
          <w:lang w:val="en-GB" w:bidi="ar-EG"/>
        </w:rPr>
        <w:t> </w:t>
      </w:r>
      <w:r w:rsidR="001D29ED" w:rsidRPr="001D29ED">
        <w:rPr>
          <w:lang w:val="en-GB" w:bidi="ar-EG"/>
        </w:rPr>
        <w:t>X.1542</w:t>
      </w:r>
      <w:r w:rsidR="00EE5928">
        <w:rPr>
          <w:lang w:val="en-GB" w:bidi="ar-EG"/>
        </w:rPr>
        <w:t> </w:t>
      </w:r>
      <w:r w:rsidR="001D29ED" w:rsidRPr="001D29ED">
        <w:rPr>
          <w:lang w:val="en-GB" w:bidi="ar-EG"/>
        </w:rPr>
        <w:t>(X.simef)</w:t>
      </w:r>
      <w:r w:rsidR="001D29ED">
        <w:rPr>
          <w:rFonts w:hint="cs"/>
          <w:rtl/>
          <w:lang w:val="en-GB" w:bidi="ar-EG"/>
        </w:rPr>
        <w:t xml:space="preserve"> نموذج المعلومات </w:t>
      </w:r>
      <w:r w:rsidR="00790BD7">
        <w:rPr>
          <w:rFonts w:hint="cs"/>
          <w:rtl/>
          <w:lang w:val="en-GB" w:bidi="ar-EG"/>
        </w:rPr>
        <w:t xml:space="preserve">الخاص بنسق تبادل الرسائل المتعلقة بمعلومات الدورة </w:t>
      </w:r>
      <w:r w:rsidR="00790BD7" w:rsidRPr="00790BD7">
        <w:rPr>
          <w:lang w:val="en-GB" w:bidi="ar-EG"/>
        </w:rPr>
        <w:t>(SIMEF)</w:t>
      </w:r>
      <w:r w:rsidR="00EE5928">
        <w:rPr>
          <w:rFonts w:hint="cs"/>
          <w:rtl/>
          <w:lang w:val="en-GB" w:bidi="ar-EG"/>
        </w:rPr>
        <w:t xml:space="preserve"> وتوفر نموذج بيانات ذا</w:t>
      </w:r>
      <w:r w:rsidR="00790BD7">
        <w:rPr>
          <w:rFonts w:hint="cs"/>
          <w:rtl/>
          <w:lang w:val="en-GB" w:bidi="ar-EG"/>
        </w:rPr>
        <w:t xml:space="preserve"> صلة موصف بمخطط لغة الوسم الموسعة </w:t>
      </w:r>
      <w:r w:rsidR="00790BD7" w:rsidRPr="00790BD7">
        <w:rPr>
          <w:lang w:val="en-GB" w:bidi="ar-EG"/>
        </w:rPr>
        <w:t>(XML)</w:t>
      </w:r>
      <w:r w:rsidR="00790BD7">
        <w:rPr>
          <w:rFonts w:hint="cs"/>
          <w:rtl/>
          <w:lang w:val="en-GB" w:bidi="ar-EG"/>
        </w:rPr>
        <w:t xml:space="preserve">. ويحدد النسق </w:t>
      </w:r>
      <w:r w:rsidR="00790BD7" w:rsidRPr="00790BD7">
        <w:rPr>
          <w:lang w:val="en-GB" w:bidi="ar-EG"/>
        </w:rPr>
        <w:t>SIMEF</w:t>
      </w:r>
      <w:r w:rsidR="00790BD7">
        <w:rPr>
          <w:rFonts w:hint="cs"/>
          <w:rtl/>
          <w:lang w:val="en-GB" w:bidi="ar-EG"/>
        </w:rPr>
        <w:t xml:space="preserve"> تمثيلاً لنموذج بيانات من أجل تبادل المعلومات سجل الدورة لطبقة النقل فيما</w:t>
      </w:r>
      <w:r w:rsidR="00EE5928">
        <w:rPr>
          <w:rFonts w:hint="eastAsia"/>
          <w:rtl/>
          <w:lang w:val="en-GB" w:bidi="ar-EG"/>
        </w:rPr>
        <w:t> </w:t>
      </w:r>
      <w:r w:rsidR="00790BD7">
        <w:rPr>
          <w:rFonts w:hint="cs"/>
          <w:rtl/>
          <w:lang w:val="en-GB" w:bidi="ar-EG"/>
        </w:rPr>
        <w:t>يتعلق بالإدارة الأمنية للشبكة المركزية ونظام تبادل المعلومات الأمنية. والمواصفة الخاص</w:t>
      </w:r>
      <w:r w:rsidR="00EE5928">
        <w:rPr>
          <w:rFonts w:hint="cs"/>
          <w:rtl/>
          <w:lang w:val="en-GB" w:bidi="ar-EG"/>
        </w:rPr>
        <w:t>ة</w:t>
      </w:r>
      <w:r w:rsidR="00790BD7">
        <w:rPr>
          <w:rFonts w:hint="cs"/>
          <w:rtl/>
          <w:lang w:val="en-GB" w:bidi="ar-EG"/>
        </w:rPr>
        <w:t xml:space="preserve"> بأي من بروتوكول النقل خارج مجال تطبيق هذه</w:t>
      </w:r>
      <w:r w:rsidR="00EE5928">
        <w:rPr>
          <w:rFonts w:hint="eastAsia"/>
          <w:rtl/>
          <w:lang w:val="en-GB" w:bidi="ar-EG"/>
        </w:rPr>
        <w:t> </w:t>
      </w:r>
      <w:r w:rsidR="00790BD7">
        <w:rPr>
          <w:rFonts w:hint="cs"/>
          <w:rtl/>
          <w:lang w:val="en-GB" w:bidi="ar-EG"/>
        </w:rPr>
        <w:t>التوصية.</w:t>
      </w:r>
    </w:p>
    <w:p w:rsidR="00790BD7" w:rsidRDefault="00755814" w:rsidP="00EE5928">
      <w:pPr>
        <w:pStyle w:val="Heading1"/>
      </w:pPr>
      <w:r>
        <w:t>3</w:t>
      </w:r>
      <w:r>
        <w:rPr>
          <w:rtl/>
        </w:rPr>
        <w:tab/>
      </w:r>
      <w:r w:rsidRPr="00FF23E0">
        <w:rPr>
          <w:rFonts w:hint="cs"/>
          <w:rtl/>
        </w:rPr>
        <w:t xml:space="preserve">مشروع التوصية ال‍جديدة </w:t>
      </w:r>
      <w:r w:rsidRPr="004141CA">
        <w:rPr>
          <w:lang w:val="fr-CH"/>
        </w:rPr>
        <w:t>ITU-T X.1641 (ex X.CSCDataSec)</w:t>
      </w:r>
      <w:r w:rsidR="00790BD7" w:rsidRPr="00790BD7">
        <w:rPr>
          <w:rFonts w:eastAsia="Times New Roman" w:cs="Times New Roman"/>
          <w:sz w:val="24"/>
          <w:szCs w:val="20"/>
          <w:lang w:val="fr-CH" w:eastAsia="en-US"/>
        </w:rPr>
        <w:t xml:space="preserve"> </w:t>
      </w:r>
      <w:r w:rsidR="00790BD7" w:rsidRPr="00790BD7">
        <w:rPr>
          <w:lang w:val="fr-CH"/>
        </w:rPr>
        <w:t>(</w:t>
      </w:r>
      <w:hyperlink r:id="rId14" w:history="1">
        <w:r w:rsidR="00790BD7" w:rsidRPr="00790BD7">
          <w:rPr>
            <w:rStyle w:val="Hyperlink"/>
            <w:lang w:val="fr-CH" w:bidi="ar-SY"/>
          </w:rPr>
          <w:t>R 63</w:t>
        </w:r>
      </w:hyperlink>
      <w:r w:rsidR="00790BD7" w:rsidRPr="00790BD7">
        <w:rPr>
          <w:lang w:val="fr-CH"/>
        </w:rPr>
        <w:t>)</w:t>
      </w:r>
    </w:p>
    <w:p w:rsidR="00755814" w:rsidRDefault="00755814" w:rsidP="00EE5928">
      <w:pPr>
        <w:pStyle w:val="Headingb"/>
        <w:rPr>
          <w:rtl/>
        </w:rPr>
      </w:pPr>
      <w:r w:rsidRPr="004C0DCA">
        <w:rPr>
          <w:rFonts w:hint="cs"/>
          <w:rtl/>
          <w:lang w:bidi="ar-EG"/>
        </w:rPr>
        <w:t>المبادئ</w:t>
      </w:r>
      <w:r w:rsidRPr="004C0DCA">
        <w:rPr>
          <w:rtl/>
          <w:lang w:bidi="ar-EG"/>
        </w:rPr>
        <w:t xml:space="preserve"> </w:t>
      </w:r>
      <w:r w:rsidRPr="004C0DCA">
        <w:rPr>
          <w:rFonts w:hint="cs"/>
          <w:rtl/>
          <w:lang w:bidi="ar-EG"/>
        </w:rPr>
        <w:t>التوجيهية</w:t>
      </w:r>
      <w:r w:rsidRPr="004C0DCA">
        <w:rPr>
          <w:rtl/>
          <w:lang w:bidi="ar-EG"/>
        </w:rPr>
        <w:t xml:space="preserve"> </w:t>
      </w:r>
      <w:r w:rsidRPr="004C0DCA">
        <w:rPr>
          <w:rFonts w:hint="cs"/>
          <w:rtl/>
          <w:lang w:bidi="ar-EG"/>
        </w:rPr>
        <w:t>لأمن</w:t>
      </w:r>
      <w:r w:rsidRPr="004C0DCA">
        <w:rPr>
          <w:rtl/>
          <w:lang w:bidi="ar-EG"/>
        </w:rPr>
        <w:t xml:space="preserve"> </w:t>
      </w:r>
      <w:r w:rsidRPr="004C0DCA">
        <w:rPr>
          <w:rFonts w:hint="cs"/>
          <w:rtl/>
          <w:lang w:bidi="ar-EG"/>
        </w:rPr>
        <w:t>بيانات</w:t>
      </w:r>
      <w:r w:rsidRPr="004C0DCA">
        <w:rPr>
          <w:rtl/>
          <w:lang w:bidi="ar-EG"/>
        </w:rPr>
        <w:t xml:space="preserve"> </w:t>
      </w:r>
      <w:r w:rsidR="00EE5928">
        <w:rPr>
          <w:rFonts w:hint="cs"/>
          <w:rtl/>
          <w:lang w:bidi="ar-EG"/>
        </w:rPr>
        <w:t>عملاء</w:t>
      </w:r>
      <w:r w:rsidRPr="004C0DCA">
        <w:rPr>
          <w:rtl/>
          <w:lang w:bidi="ar-EG"/>
        </w:rPr>
        <w:t xml:space="preserve"> </w:t>
      </w:r>
      <w:r w:rsidRPr="004C0DCA">
        <w:rPr>
          <w:rFonts w:hint="cs"/>
          <w:rtl/>
          <w:lang w:bidi="ar-EG"/>
        </w:rPr>
        <w:t>الخدمات</w:t>
      </w:r>
      <w:r w:rsidRPr="004C0DCA">
        <w:rPr>
          <w:rtl/>
          <w:lang w:bidi="ar-EG"/>
        </w:rPr>
        <w:t xml:space="preserve"> </w:t>
      </w:r>
      <w:r w:rsidRPr="004C0DCA">
        <w:rPr>
          <w:rFonts w:hint="cs"/>
          <w:rtl/>
          <w:lang w:bidi="ar-EG"/>
        </w:rPr>
        <w:t>السحابية</w:t>
      </w:r>
      <w:r w:rsidRPr="00FF23E0">
        <w:rPr>
          <w:rFonts w:hint="cs"/>
          <w:rtl/>
        </w:rPr>
        <w:t xml:space="preserve"> </w:t>
      </w:r>
    </w:p>
    <w:p w:rsidR="00755814" w:rsidRPr="00FF23E0" w:rsidRDefault="00755814" w:rsidP="00755814">
      <w:pPr>
        <w:pStyle w:val="Headingb"/>
        <w:rPr>
          <w:rtl/>
        </w:rPr>
      </w:pPr>
      <w:r w:rsidRPr="00FF23E0">
        <w:rPr>
          <w:rFonts w:hint="cs"/>
          <w:rtl/>
        </w:rPr>
        <w:t>ملخص</w:t>
      </w:r>
    </w:p>
    <w:p w:rsidR="00755814" w:rsidRDefault="00790BD7" w:rsidP="00EE5928">
      <w:pPr>
        <w:rPr>
          <w:lang w:bidi="ar-EG"/>
        </w:rPr>
      </w:pPr>
      <w:r>
        <w:rPr>
          <w:rFonts w:hint="cs"/>
          <w:rtl/>
          <w:lang w:bidi="ar-EG"/>
        </w:rPr>
        <w:t xml:space="preserve">تقدم التوصية </w:t>
      </w:r>
      <w:r w:rsidRPr="00790BD7">
        <w:rPr>
          <w:lang w:val="en-GB" w:bidi="ar-EG"/>
        </w:rPr>
        <w:t>ITU-T X.1641 (X.CSCdataSec)</w:t>
      </w:r>
      <w:r>
        <w:rPr>
          <w:rFonts w:hint="cs"/>
          <w:rtl/>
          <w:lang w:val="en-GB" w:bidi="ar-EG"/>
        </w:rPr>
        <w:t xml:space="preserve"> مبادئ توجيهية أمنية عامة من أجل بيانات عملاء الخدمات السحابية</w:t>
      </w:r>
      <w:r w:rsidR="00EE5928">
        <w:rPr>
          <w:rFonts w:hint="eastAsia"/>
          <w:rtl/>
          <w:lang w:val="en-GB" w:bidi="ar-EG"/>
        </w:rPr>
        <w:t> </w:t>
      </w:r>
      <w:r w:rsidRPr="00790BD7">
        <w:rPr>
          <w:lang w:val="en-GB" w:bidi="ar-EG"/>
        </w:rPr>
        <w:t>(CSC)</w:t>
      </w:r>
      <w:r>
        <w:rPr>
          <w:rFonts w:hint="cs"/>
          <w:rtl/>
          <w:lang w:val="en-GB" w:bidi="ar-EG"/>
        </w:rPr>
        <w:t xml:space="preserve"> في</w:t>
      </w:r>
      <w:r w:rsidR="00EE5928">
        <w:rPr>
          <w:rFonts w:hint="eastAsia"/>
          <w:rtl/>
          <w:lang w:val="en-GB" w:bidi="ar-EG"/>
        </w:rPr>
        <w:t> </w:t>
      </w:r>
      <w:r>
        <w:rPr>
          <w:rFonts w:hint="cs"/>
          <w:rtl/>
          <w:lang w:val="en-GB" w:bidi="ar-EG"/>
        </w:rPr>
        <w:t>الحوسبة السحابية. وتتناول التوصية بالتحليل دورة حياة أمن بيانات عملاء الخدمات السحابية وتطرح متطلبات أمنية في</w:t>
      </w:r>
      <w:r w:rsidR="00EE5928">
        <w:rPr>
          <w:rFonts w:hint="eastAsia"/>
          <w:rtl/>
          <w:lang w:val="en-GB" w:bidi="ar-EG"/>
        </w:rPr>
        <w:t> </w:t>
      </w:r>
      <w:r>
        <w:rPr>
          <w:rFonts w:hint="cs"/>
          <w:rtl/>
          <w:lang w:val="en-GB" w:bidi="ar-EG"/>
        </w:rPr>
        <w:t>كل مرحلة من دورة حياة البيانات. وعلاوة على ذلك، تقدم التوصية مبادئ توجيهية بشأن متى ينبغي استخدام كل وسيلة من وسائل التحكم من أجل تحقيق أفضل ممارسة أمنية.</w:t>
      </w:r>
    </w:p>
    <w:p w:rsidR="00521E65" w:rsidRDefault="00D30C49" w:rsidP="00D30C49">
      <w:pPr>
        <w:spacing w:before="600"/>
        <w:jc w:val="center"/>
        <w:rPr>
          <w:rtl/>
          <w:lang w:bidi="ar-EG"/>
        </w:rPr>
      </w:pPr>
      <w:r>
        <w:rPr>
          <w:rtl/>
          <w:lang w:bidi="ar-EG"/>
        </w:rPr>
        <w:t>___________</w:t>
      </w:r>
    </w:p>
    <w:sectPr w:rsidR="00521E65" w:rsidSect="0030035F">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26" w:rsidRDefault="00A54C26" w:rsidP="0030035F">
      <w:pPr>
        <w:spacing w:before="0" w:line="240" w:lineRule="auto"/>
      </w:pPr>
      <w:r>
        <w:separator/>
      </w:r>
    </w:p>
  </w:endnote>
  <w:endnote w:type="continuationSeparator" w:id="0">
    <w:p w:rsidR="00A54C26" w:rsidRDefault="00A54C26"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5116D" w:rsidRDefault="00E5116D" w:rsidP="00E511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E5116D">
      <w:rPr>
        <w:rFonts w:eastAsia="Times New Roman" w:cs="Times New Roman"/>
        <w:caps/>
        <w:noProof/>
        <w:sz w:val="16"/>
        <w:szCs w:val="20"/>
        <w:lang w:val="fr-CH" w:eastAsia="en-US"/>
      </w:rPr>
      <w:t>ITU-T\BUREAU\CIRC\214</w:t>
    </w:r>
    <w:r>
      <w:rPr>
        <w:rFonts w:eastAsia="Times New Roman" w:cs="Times New Roman"/>
        <w:caps/>
        <w:noProof/>
        <w:sz w:val="16"/>
        <w:szCs w:val="20"/>
        <w:lang w:val="fr-CH" w:eastAsia="en-US"/>
      </w:rPr>
      <w:t>A</w:t>
    </w:r>
    <w:r w:rsidRPr="00E5116D">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9C5978">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26" w:rsidRDefault="00A54C26" w:rsidP="0030035F">
      <w:pPr>
        <w:spacing w:before="0" w:line="240" w:lineRule="auto"/>
      </w:pPr>
      <w:r>
        <w:separator/>
      </w:r>
    </w:p>
  </w:footnote>
  <w:footnote w:type="continuationSeparator" w:id="0">
    <w:p w:rsidR="00A54C26" w:rsidRDefault="00A54C26"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CA2481" w:rsidRDefault="00E57497" w:rsidP="00EE5CF9">
    <w:pPr>
      <w:pStyle w:val="Header"/>
      <w:spacing w:before="120" w:after="240"/>
      <w:jc w:val="center"/>
      <w:rPr>
        <w:rFonts w:asciiTheme="minorHAnsi" w:hAnsiTheme="minorHAnsi" w:cs="Calibri"/>
        <w:sz w:val="18"/>
        <w:szCs w:val="18"/>
      </w:rPr>
    </w:pPr>
    <w:r>
      <w:rPr>
        <w:rFonts w:cs="Calibri"/>
        <w:sz w:val="20"/>
        <w:szCs w:val="20"/>
      </w:rPr>
      <w:t xml:space="preserve"> </w:t>
    </w:r>
    <w:r w:rsidRPr="00E57497">
      <w:rPr>
        <w:rFonts w:cs="Calibri"/>
        <w:sz w:val="20"/>
        <w:szCs w:val="20"/>
      </w:rPr>
      <w:t>-</w:t>
    </w:r>
    <w:r w:rsidRPr="00CA2481">
      <w:rPr>
        <w:rFonts w:asciiTheme="minorHAnsi" w:hAnsiTheme="minorHAnsi" w:cs="Calibri"/>
        <w:sz w:val="18"/>
        <w:szCs w:val="18"/>
      </w:rPr>
      <w:fldChar w:fldCharType="begin"/>
    </w:r>
    <w:r w:rsidRPr="00CA2481">
      <w:rPr>
        <w:rFonts w:asciiTheme="minorHAnsi" w:hAnsiTheme="minorHAnsi" w:cs="Calibri"/>
        <w:sz w:val="18"/>
        <w:szCs w:val="18"/>
      </w:rPr>
      <w:instrText xml:space="preserve"> PAGE </w:instrText>
    </w:r>
    <w:r w:rsidRPr="00CA2481">
      <w:rPr>
        <w:rFonts w:asciiTheme="minorHAnsi" w:hAnsiTheme="minorHAnsi" w:cs="Calibri"/>
        <w:sz w:val="18"/>
        <w:szCs w:val="18"/>
      </w:rPr>
      <w:fldChar w:fldCharType="separate"/>
    </w:r>
    <w:r w:rsidR="00E750FA">
      <w:rPr>
        <w:rFonts w:asciiTheme="minorHAnsi" w:hAnsiTheme="minorHAnsi" w:cs="Times New Roman"/>
        <w:noProof/>
        <w:sz w:val="18"/>
        <w:szCs w:val="18"/>
        <w:rtl/>
      </w:rPr>
      <w:t>4</w:t>
    </w:r>
    <w:r w:rsidRPr="00CA2481">
      <w:rPr>
        <w:rFonts w:asciiTheme="minorHAnsi" w:hAnsiTheme="minorHAnsi" w:cs="Calibri"/>
        <w:sz w:val="18"/>
        <w:szCs w:val="18"/>
      </w:rPr>
      <w:fldChar w:fldCharType="end"/>
    </w:r>
    <w:r w:rsidRPr="00CA2481">
      <w:rPr>
        <w:rFonts w:asciiTheme="minorHAnsi" w:hAnsiTheme="minorHAnsi"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ru-RU" w:vendorID="64" w:dllVersion="131078" w:nlCheck="1" w:checkStyle="0"/>
  <w:activeWritingStyle w:appName="MSWord" w:lang="ar-EG" w:vendorID="64" w:dllVersion="131078" w:nlCheck="1" w:checkStyle="0"/>
  <w:activeWritingStyle w:appName="MSWord" w:lang="fr-CH"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26"/>
    <w:rsid w:val="00090574"/>
    <w:rsid w:val="00097ABC"/>
    <w:rsid w:val="000C39D1"/>
    <w:rsid w:val="00150BF1"/>
    <w:rsid w:val="00173915"/>
    <w:rsid w:val="001A66D8"/>
    <w:rsid w:val="001D29ED"/>
    <w:rsid w:val="002150CF"/>
    <w:rsid w:val="0023283D"/>
    <w:rsid w:val="002978F4"/>
    <w:rsid w:val="002B028D"/>
    <w:rsid w:val="002E6541"/>
    <w:rsid w:val="0030035F"/>
    <w:rsid w:val="00333F15"/>
    <w:rsid w:val="00346EA2"/>
    <w:rsid w:val="00357185"/>
    <w:rsid w:val="003C18D6"/>
    <w:rsid w:val="003F678F"/>
    <w:rsid w:val="00425B4B"/>
    <w:rsid w:val="0042686F"/>
    <w:rsid w:val="00443869"/>
    <w:rsid w:val="004E0180"/>
    <w:rsid w:val="004E2AD8"/>
    <w:rsid w:val="00501E0E"/>
    <w:rsid w:val="00513BEF"/>
    <w:rsid w:val="00521E65"/>
    <w:rsid w:val="005279DE"/>
    <w:rsid w:val="0055516A"/>
    <w:rsid w:val="005609A3"/>
    <w:rsid w:val="005A0987"/>
    <w:rsid w:val="005B33FC"/>
    <w:rsid w:val="00624294"/>
    <w:rsid w:val="00643E02"/>
    <w:rsid w:val="006F63F7"/>
    <w:rsid w:val="00706D7A"/>
    <w:rsid w:val="00755814"/>
    <w:rsid w:val="00790BD7"/>
    <w:rsid w:val="00803F08"/>
    <w:rsid w:val="008235CD"/>
    <w:rsid w:val="008513CB"/>
    <w:rsid w:val="009238D6"/>
    <w:rsid w:val="00982B28"/>
    <w:rsid w:val="009C5978"/>
    <w:rsid w:val="009E6ED8"/>
    <w:rsid w:val="00A54C26"/>
    <w:rsid w:val="00A81FBF"/>
    <w:rsid w:val="00A96D6E"/>
    <w:rsid w:val="00A97F94"/>
    <w:rsid w:val="00AE7E61"/>
    <w:rsid w:val="00BB1FA2"/>
    <w:rsid w:val="00BE211E"/>
    <w:rsid w:val="00C674FE"/>
    <w:rsid w:val="00C75633"/>
    <w:rsid w:val="00CA2481"/>
    <w:rsid w:val="00CA2C84"/>
    <w:rsid w:val="00CE2EE1"/>
    <w:rsid w:val="00CF3FFD"/>
    <w:rsid w:val="00D15E18"/>
    <w:rsid w:val="00D24737"/>
    <w:rsid w:val="00D30C49"/>
    <w:rsid w:val="00D77D0F"/>
    <w:rsid w:val="00DA1CF0"/>
    <w:rsid w:val="00DB192D"/>
    <w:rsid w:val="00DC24B4"/>
    <w:rsid w:val="00DE59A8"/>
    <w:rsid w:val="00DF16DC"/>
    <w:rsid w:val="00E17033"/>
    <w:rsid w:val="00E45211"/>
    <w:rsid w:val="00E5116D"/>
    <w:rsid w:val="00E57497"/>
    <w:rsid w:val="00E750FA"/>
    <w:rsid w:val="00EE5928"/>
    <w:rsid w:val="00EE5CF9"/>
    <w:rsid w:val="00F2170C"/>
    <w:rsid w:val="00F84366"/>
    <w:rsid w:val="00F85089"/>
    <w:rsid w:val="00F928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1ECC285-9814-454F-88F9-E9DD6595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aliases w:val="超级链接"/>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7-R-00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7-R-00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sg17@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SG17-R-006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5318-9F9E-4ACF-BBF9-D908D872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0</TotalTime>
  <Pages>4</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Bettini, Nadine</cp:lastModifiedBy>
  <cp:revision>2</cp:revision>
  <cp:lastPrinted>2016-04-18T10:28:00Z</cp:lastPrinted>
  <dcterms:created xsi:type="dcterms:W3CDTF">2016-04-19T06:36:00Z</dcterms:created>
  <dcterms:modified xsi:type="dcterms:W3CDTF">2016-04-19T06:36:00Z</dcterms:modified>
</cp:coreProperties>
</file>