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Layout w:type="fixed"/>
        <w:tblCellMar>
          <w:left w:w="0" w:type="dxa"/>
          <w:right w:w="0" w:type="dxa"/>
        </w:tblCellMar>
        <w:tblLook w:val="0000" w:firstRow="0" w:lastRow="0" w:firstColumn="0" w:lastColumn="0" w:noHBand="0" w:noVBand="0"/>
      </w:tblPr>
      <w:tblGrid>
        <w:gridCol w:w="1418"/>
        <w:gridCol w:w="4819"/>
        <w:gridCol w:w="1134"/>
        <w:gridCol w:w="2127"/>
      </w:tblGrid>
      <w:tr w:rsidR="00590119" w:rsidRPr="00F50108" w:rsidTr="005D7A4D">
        <w:trPr>
          <w:cantSplit/>
        </w:trPr>
        <w:tc>
          <w:tcPr>
            <w:tcW w:w="1418" w:type="dxa"/>
            <w:vAlign w:val="center"/>
          </w:tcPr>
          <w:p w:rsidR="00590119" w:rsidRPr="00B73F4D" w:rsidRDefault="00590119" w:rsidP="005D7A4D">
            <w:pPr>
              <w:tabs>
                <w:tab w:val="right" w:pos="8732"/>
              </w:tabs>
              <w:spacing w:before="0"/>
              <w:rPr>
                <w:rFonts w:ascii="SimSun" w:hAnsi="SimSun"/>
                <w:b/>
                <w:bCs/>
                <w:iCs/>
                <w:color w:val="FFFFFF"/>
                <w:sz w:val="26"/>
                <w:szCs w:val="26"/>
              </w:rPr>
            </w:pPr>
            <w:r>
              <w:rPr>
                <w:noProof/>
                <w:lang w:eastAsia="zh-CN"/>
              </w:rPr>
              <w:drawing>
                <wp:inline distT="0" distB="0" distL="0" distR="0" wp14:anchorId="21BB518C" wp14:editId="2A34266D">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53" w:type="dxa"/>
            <w:gridSpan w:val="2"/>
            <w:vAlign w:val="center"/>
          </w:tcPr>
          <w:p w:rsidR="006B463C" w:rsidRPr="00390EC6" w:rsidRDefault="006B463C" w:rsidP="005D7A4D">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rsidR="00590119" w:rsidRPr="00B73F4D" w:rsidRDefault="006B463C" w:rsidP="005D7A4D">
            <w:pPr>
              <w:tabs>
                <w:tab w:val="right" w:pos="8732"/>
              </w:tabs>
              <w:spacing w:before="0"/>
              <w:rPr>
                <w:rFonts w:ascii="SimSun" w:hAnsi="SimSun"/>
                <w:b/>
                <w:bCs/>
                <w:iCs/>
                <w:color w:val="FFFFFF"/>
                <w:sz w:val="26"/>
                <w:szCs w:val="26"/>
                <w:lang w:eastAsia="zh-CN"/>
              </w:rPr>
            </w:pPr>
            <w:r w:rsidRPr="00B73F4D">
              <w:rPr>
                <w:rFonts w:ascii="SimSun" w:hAnsi="SimSun" w:hint="eastAsia"/>
                <w:b/>
                <w:bCs/>
                <w:sz w:val="28"/>
                <w:szCs w:val="28"/>
                <w:lang w:eastAsia="zh-CN"/>
              </w:rPr>
              <w:t>电信标准化局</w:t>
            </w:r>
          </w:p>
        </w:tc>
        <w:tc>
          <w:tcPr>
            <w:tcW w:w="2127" w:type="dxa"/>
            <w:vAlign w:val="center"/>
          </w:tcPr>
          <w:p w:rsidR="00590119" w:rsidRPr="00F50108" w:rsidRDefault="00E53093" w:rsidP="005D7A4D">
            <w:pPr>
              <w:spacing w:before="0"/>
              <w:jc w:val="right"/>
              <w:rPr>
                <w:rFonts w:ascii="Verdana" w:hAnsi="Verdana"/>
                <w:color w:val="FFFFFF"/>
                <w:sz w:val="26"/>
                <w:szCs w:val="26"/>
              </w:rPr>
            </w:pPr>
            <w:bookmarkStart w:id="0" w:name="ditulogo"/>
            <w:bookmarkEnd w:id="0"/>
            <w:r>
              <w:rPr>
                <w:noProof/>
                <w:lang w:eastAsia="zh-CN"/>
              </w:rPr>
              <w:drawing>
                <wp:inline distT="0" distB="0" distL="0" distR="0">
                  <wp:extent cx="874395" cy="723265"/>
                  <wp:effectExtent l="0" t="0" r="190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4395" cy="723265"/>
                          </a:xfrm>
                          <a:prstGeom prst="rect">
                            <a:avLst/>
                          </a:prstGeom>
                          <a:noFill/>
                          <a:ln>
                            <a:noFill/>
                          </a:ln>
                        </pic:spPr>
                      </pic:pic>
                    </a:graphicData>
                  </a:graphic>
                </wp:inline>
              </w:drawing>
            </w:r>
          </w:p>
        </w:tc>
      </w:tr>
      <w:tr w:rsidR="00F346AB" w:rsidRPr="00F50108" w:rsidTr="005D7A4D">
        <w:trPr>
          <w:cantSplit/>
        </w:trPr>
        <w:tc>
          <w:tcPr>
            <w:tcW w:w="6237" w:type="dxa"/>
            <w:gridSpan w:val="2"/>
            <w:vAlign w:val="center"/>
          </w:tcPr>
          <w:p w:rsidR="00F346AB" w:rsidRPr="00F50108" w:rsidRDefault="00F346AB" w:rsidP="005D7A4D">
            <w:pPr>
              <w:tabs>
                <w:tab w:val="right" w:pos="8732"/>
              </w:tabs>
              <w:spacing w:before="0"/>
              <w:rPr>
                <w:rFonts w:ascii="Verdana" w:hAnsi="Verdana"/>
                <w:b/>
                <w:bCs/>
                <w:iCs/>
                <w:sz w:val="18"/>
                <w:szCs w:val="18"/>
              </w:rPr>
            </w:pPr>
          </w:p>
        </w:tc>
        <w:tc>
          <w:tcPr>
            <w:tcW w:w="3261" w:type="dxa"/>
            <w:gridSpan w:val="2"/>
            <w:vAlign w:val="center"/>
          </w:tcPr>
          <w:p w:rsidR="00F346AB" w:rsidRPr="00F50108" w:rsidRDefault="00F346AB" w:rsidP="005D7A4D">
            <w:pPr>
              <w:spacing w:before="0"/>
              <w:ind w:left="993" w:hanging="993"/>
              <w:jc w:val="right"/>
              <w:rPr>
                <w:rFonts w:ascii="Verdana" w:hAnsi="Verdana"/>
                <w:sz w:val="18"/>
                <w:szCs w:val="18"/>
                <w:lang w:val="en-US"/>
              </w:rPr>
            </w:pPr>
          </w:p>
        </w:tc>
      </w:tr>
    </w:tbl>
    <w:p w:rsidR="0063445E" w:rsidRDefault="0063445E" w:rsidP="0063445E">
      <w:pPr>
        <w:pStyle w:val="Index1"/>
        <w:tabs>
          <w:tab w:val="clear" w:pos="794"/>
          <w:tab w:val="clear" w:pos="1191"/>
          <w:tab w:val="clear" w:pos="1588"/>
          <w:tab w:val="clear" w:pos="1985"/>
          <w:tab w:val="left" w:pos="5387"/>
        </w:tabs>
        <w:rPr>
          <w:lang w:eastAsia="zh-CN"/>
        </w:rPr>
      </w:pPr>
    </w:p>
    <w:p w:rsidR="0063445E" w:rsidRDefault="0063445E" w:rsidP="00E53093">
      <w:pPr>
        <w:pStyle w:val="Index1"/>
        <w:tabs>
          <w:tab w:val="clear" w:pos="794"/>
          <w:tab w:val="clear" w:pos="1191"/>
          <w:tab w:val="clear" w:pos="1588"/>
          <w:tab w:val="clear" w:pos="1985"/>
          <w:tab w:val="left" w:pos="5387"/>
        </w:tabs>
        <w:rPr>
          <w:lang w:eastAsia="zh-CN"/>
        </w:rPr>
      </w:pPr>
      <w:r>
        <w:rPr>
          <w:lang w:eastAsia="zh-CN"/>
        </w:rPr>
        <w:tab/>
      </w:r>
      <w:r w:rsidR="005B7162">
        <w:rPr>
          <w:lang w:eastAsia="zh-CN"/>
        </w:rPr>
        <w:t>201</w:t>
      </w:r>
      <w:r w:rsidR="00E53093">
        <w:rPr>
          <w:rFonts w:hint="eastAsia"/>
          <w:lang w:eastAsia="zh-CN"/>
        </w:rPr>
        <w:t>6</w:t>
      </w:r>
      <w:r w:rsidR="005B7162">
        <w:rPr>
          <w:rFonts w:hint="eastAsia"/>
          <w:lang w:eastAsia="zh-CN"/>
        </w:rPr>
        <w:t>年</w:t>
      </w:r>
      <w:r w:rsidR="00E53093">
        <w:rPr>
          <w:rFonts w:hint="eastAsia"/>
          <w:lang w:eastAsia="zh-CN"/>
        </w:rPr>
        <w:t>4</w:t>
      </w:r>
      <w:r w:rsidR="005B7162">
        <w:rPr>
          <w:lang w:eastAsia="zh-CN"/>
        </w:rPr>
        <w:t>月</w:t>
      </w:r>
      <w:r w:rsidR="00E53093">
        <w:rPr>
          <w:rFonts w:hint="eastAsia"/>
          <w:lang w:eastAsia="zh-CN"/>
        </w:rPr>
        <w:t>4</w:t>
      </w:r>
      <w:r w:rsidR="005B7162">
        <w:rPr>
          <w:lang w:eastAsia="zh-CN"/>
        </w:rPr>
        <w:t>日</w:t>
      </w:r>
      <w:r w:rsidR="005B7162">
        <w:rPr>
          <w:rFonts w:hint="eastAsia"/>
          <w:lang w:eastAsia="zh-CN"/>
        </w:rPr>
        <w:t>，日内瓦</w:t>
      </w:r>
    </w:p>
    <w:p w:rsidR="0063445E" w:rsidRDefault="0063445E" w:rsidP="0063445E"/>
    <w:tbl>
      <w:tblPr>
        <w:tblW w:w="0" w:type="auto"/>
        <w:tblInd w:w="8" w:type="dxa"/>
        <w:tblLayout w:type="fixed"/>
        <w:tblCellMar>
          <w:left w:w="0" w:type="dxa"/>
          <w:right w:w="0" w:type="dxa"/>
        </w:tblCellMar>
        <w:tblLook w:val="0000" w:firstRow="0" w:lastRow="0" w:firstColumn="0" w:lastColumn="0" w:noHBand="0" w:noVBand="0"/>
      </w:tblPr>
      <w:tblGrid>
        <w:gridCol w:w="993"/>
        <w:gridCol w:w="4436"/>
        <w:gridCol w:w="4436"/>
      </w:tblGrid>
      <w:tr w:rsidR="0063445E">
        <w:trPr>
          <w:cantSplit/>
        </w:trPr>
        <w:tc>
          <w:tcPr>
            <w:tcW w:w="993" w:type="dxa"/>
          </w:tcPr>
          <w:p w:rsidR="0063445E" w:rsidRPr="00841612" w:rsidRDefault="0063445E" w:rsidP="00956D38">
            <w:pPr>
              <w:tabs>
                <w:tab w:val="left" w:pos="4111"/>
              </w:tabs>
              <w:spacing w:before="10"/>
              <w:rPr>
                <w:szCs w:val="24"/>
                <w:lang w:eastAsia="zh-CN"/>
              </w:rPr>
            </w:pPr>
            <w:r w:rsidRPr="00841612">
              <w:rPr>
                <w:rFonts w:hint="eastAsia"/>
                <w:szCs w:val="24"/>
                <w:lang w:eastAsia="zh-CN"/>
              </w:rPr>
              <w:t>文号：</w:t>
            </w:r>
          </w:p>
          <w:p w:rsidR="0063445E" w:rsidRPr="00841612" w:rsidRDefault="0063445E" w:rsidP="00956D38">
            <w:pPr>
              <w:tabs>
                <w:tab w:val="left" w:pos="4111"/>
              </w:tabs>
              <w:spacing w:before="10"/>
              <w:rPr>
                <w:szCs w:val="24"/>
              </w:rPr>
            </w:pPr>
          </w:p>
          <w:p w:rsidR="0063445E" w:rsidRPr="00841612" w:rsidRDefault="0063445E" w:rsidP="00956D38">
            <w:pPr>
              <w:tabs>
                <w:tab w:val="left" w:pos="4111"/>
              </w:tabs>
              <w:spacing w:before="10"/>
              <w:rPr>
                <w:szCs w:val="24"/>
                <w:lang w:eastAsia="zh-CN"/>
              </w:rPr>
            </w:pPr>
            <w:r w:rsidRPr="00841612">
              <w:rPr>
                <w:szCs w:val="24"/>
              </w:rPr>
              <w:br/>
            </w:r>
            <w:r w:rsidRPr="00841612">
              <w:rPr>
                <w:rFonts w:hint="eastAsia"/>
                <w:szCs w:val="24"/>
                <w:lang w:eastAsia="zh-CN"/>
              </w:rPr>
              <w:t>电话：</w:t>
            </w:r>
          </w:p>
          <w:p w:rsidR="0063445E" w:rsidRPr="00841612" w:rsidRDefault="0063445E" w:rsidP="00956D38">
            <w:pPr>
              <w:tabs>
                <w:tab w:val="left" w:pos="4111"/>
              </w:tabs>
              <w:spacing w:before="10"/>
              <w:rPr>
                <w:rFonts w:ascii="Futura Lt BT" w:hAnsi="Futura Lt BT"/>
                <w:szCs w:val="24"/>
                <w:lang w:eastAsia="zh-CN"/>
              </w:rPr>
            </w:pPr>
            <w:r w:rsidRPr="00841612">
              <w:rPr>
                <w:rFonts w:hint="eastAsia"/>
                <w:szCs w:val="24"/>
                <w:lang w:eastAsia="zh-CN"/>
              </w:rPr>
              <w:t>传真：</w:t>
            </w:r>
          </w:p>
        </w:tc>
        <w:tc>
          <w:tcPr>
            <w:tcW w:w="4436" w:type="dxa"/>
          </w:tcPr>
          <w:p w:rsidR="005B7162" w:rsidRPr="008B1EB3" w:rsidRDefault="005B7162" w:rsidP="00E53093">
            <w:pPr>
              <w:tabs>
                <w:tab w:val="left" w:pos="4111"/>
              </w:tabs>
              <w:spacing w:before="10"/>
              <w:rPr>
                <w:b/>
                <w:szCs w:val="24"/>
                <w:lang w:eastAsia="zh-CN"/>
              </w:rPr>
            </w:pPr>
            <w:r w:rsidRPr="008B1EB3">
              <w:rPr>
                <w:rFonts w:hint="eastAsia"/>
                <w:b/>
                <w:szCs w:val="24"/>
                <w:lang w:eastAsia="zh-CN"/>
              </w:rPr>
              <w:t>电信标准化局第</w:t>
            </w:r>
            <w:r w:rsidR="00E53093">
              <w:rPr>
                <w:rFonts w:hint="eastAsia"/>
                <w:b/>
                <w:szCs w:val="24"/>
                <w:lang w:eastAsia="zh-CN"/>
              </w:rPr>
              <w:t>21</w:t>
            </w:r>
            <w:r>
              <w:rPr>
                <w:b/>
                <w:szCs w:val="24"/>
                <w:lang w:eastAsia="zh-CN"/>
              </w:rPr>
              <w:t>4</w:t>
            </w:r>
            <w:r w:rsidRPr="008B1EB3">
              <w:rPr>
                <w:rFonts w:hint="eastAsia"/>
                <w:b/>
                <w:szCs w:val="24"/>
                <w:lang w:eastAsia="zh-CN"/>
              </w:rPr>
              <w:t>号通函</w:t>
            </w:r>
          </w:p>
          <w:p w:rsidR="0063445E" w:rsidRPr="00841612" w:rsidRDefault="00E53093" w:rsidP="00BD08A0">
            <w:pPr>
              <w:tabs>
                <w:tab w:val="left" w:pos="4111"/>
              </w:tabs>
              <w:spacing w:before="0"/>
              <w:rPr>
                <w:b/>
                <w:szCs w:val="24"/>
                <w:lang w:eastAsia="zh-CN"/>
              </w:rPr>
            </w:pPr>
            <w:r>
              <w:rPr>
                <w:rFonts w:hint="eastAsia"/>
                <w:lang w:eastAsia="zh-CN"/>
              </w:rPr>
              <w:t>SG</w:t>
            </w:r>
            <w:r w:rsidR="005B7162">
              <w:rPr>
                <w:lang w:eastAsia="zh-CN"/>
              </w:rPr>
              <w:t>17/MEU</w:t>
            </w:r>
          </w:p>
          <w:p w:rsidR="005B7162" w:rsidRPr="00841612" w:rsidRDefault="0063445E" w:rsidP="005B7162">
            <w:pPr>
              <w:tabs>
                <w:tab w:val="left" w:pos="4111"/>
              </w:tabs>
              <w:spacing w:before="80"/>
              <w:rPr>
                <w:szCs w:val="24"/>
                <w:lang w:val="en-US" w:eastAsia="zh-CN"/>
              </w:rPr>
            </w:pPr>
            <w:r w:rsidRPr="00841612">
              <w:rPr>
                <w:szCs w:val="24"/>
                <w:lang w:eastAsia="zh-CN"/>
              </w:rPr>
              <w:br/>
            </w:r>
            <w:r w:rsidR="005B7162">
              <w:rPr>
                <w:szCs w:val="24"/>
                <w:lang w:eastAsia="zh-CN"/>
              </w:rPr>
              <w:t>+41 22 730 5866</w:t>
            </w:r>
          </w:p>
          <w:p w:rsidR="0063445E" w:rsidRPr="00841612" w:rsidRDefault="005B7162" w:rsidP="005B7162">
            <w:pPr>
              <w:tabs>
                <w:tab w:val="left" w:pos="4111"/>
              </w:tabs>
              <w:spacing w:before="40"/>
              <w:rPr>
                <w:szCs w:val="24"/>
                <w:lang w:eastAsia="zh-CN"/>
              </w:rPr>
            </w:pPr>
            <w:r w:rsidRPr="00841612">
              <w:rPr>
                <w:szCs w:val="24"/>
                <w:lang w:eastAsia="zh-CN"/>
              </w:rPr>
              <w:t>+41 22 730 5853</w:t>
            </w:r>
          </w:p>
        </w:tc>
        <w:tc>
          <w:tcPr>
            <w:tcW w:w="4436" w:type="dxa"/>
          </w:tcPr>
          <w:p w:rsidR="0063445E" w:rsidRDefault="005B7162" w:rsidP="00956D38">
            <w:pPr>
              <w:tabs>
                <w:tab w:val="clear" w:pos="794"/>
                <w:tab w:val="clear" w:pos="1191"/>
                <w:tab w:val="clear" w:pos="1588"/>
                <w:tab w:val="clear" w:pos="1985"/>
                <w:tab w:val="left" w:pos="284"/>
              </w:tabs>
              <w:spacing w:before="0"/>
              <w:ind w:left="284" w:hanging="284"/>
              <w:rPr>
                <w:lang w:eastAsia="zh-CN"/>
              </w:rPr>
            </w:pPr>
            <w:bookmarkStart w:id="1" w:name="Addressee_E"/>
            <w:bookmarkEnd w:id="1"/>
            <w:r w:rsidRPr="00D04B1F">
              <w:rPr>
                <w:rFonts w:ascii="Calibri" w:hAnsi="Calibri" w:cs="Microsoft YaHei"/>
                <w:lang w:eastAsia="zh-CN"/>
              </w:rPr>
              <w:t>–</w:t>
            </w:r>
            <w:r w:rsidRPr="00276F18">
              <w:rPr>
                <w:rFonts w:ascii="Calibri" w:hAnsi="Calibri" w:cs="Microsoft YaHei"/>
                <w:lang w:eastAsia="zh-CN"/>
              </w:rPr>
              <w:tab/>
            </w:r>
            <w:r>
              <w:rPr>
                <w:rFonts w:ascii="Calibri" w:hAnsi="Calibri" w:cs="Microsoft YaHei" w:hint="eastAsia"/>
                <w:lang w:eastAsia="zh-CN"/>
              </w:rPr>
              <w:t>致</w:t>
            </w:r>
            <w:r w:rsidRPr="00276F18">
              <w:rPr>
                <w:rFonts w:ascii="Calibri" w:hAnsi="Calibri" w:cs="Microsoft YaHei" w:hint="eastAsia"/>
                <w:lang w:eastAsia="zh-CN"/>
              </w:rPr>
              <w:t>国际电联各成员国主管部门</w:t>
            </w:r>
          </w:p>
        </w:tc>
      </w:tr>
      <w:tr w:rsidR="0063445E">
        <w:trPr>
          <w:cantSplit/>
        </w:trPr>
        <w:tc>
          <w:tcPr>
            <w:tcW w:w="993" w:type="dxa"/>
          </w:tcPr>
          <w:p w:rsidR="0063445E" w:rsidRPr="00841612" w:rsidRDefault="0063445E" w:rsidP="005C26FD">
            <w:pPr>
              <w:spacing w:before="40"/>
              <w:rPr>
                <w:szCs w:val="24"/>
                <w:lang w:eastAsia="zh-CN"/>
              </w:rPr>
            </w:pPr>
            <w:r w:rsidRPr="00841612">
              <w:rPr>
                <w:rFonts w:hint="eastAsia"/>
                <w:szCs w:val="24"/>
                <w:lang w:eastAsia="zh-CN"/>
              </w:rPr>
              <w:t>电子</w:t>
            </w:r>
            <w:r w:rsidR="00F9383A" w:rsidRPr="00841612">
              <w:rPr>
                <w:szCs w:val="24"/>
                <w:lang w:eastAsia="zh-CN"/>
              </w:rPr>
              <w:br/>
            </w:r>
            <w:r w:rsidRPr="00841612">
              <w:rPr>
                <w:rFonts w:hint="eastAsia"/>
                <w:szCs w:val="24"/>
                <w:lang w:eastAsia="zh-CN"/>
              </w:rPr>
              <w:t>邮件：</w:t>
            </w:r>
          </w:p>
        </w:tc>
        <w:tc>
          <w:tcPr>
            <w:tcW w:w="4436" w:type="dxa"/>
          </w:tcPr>
          <w:p w:rsidR="00D70069" w:rsidRDefault="00D70069" w:rsidP="00C70EDA">
            <w:pPr>
              <w:tabs>
                <w:tab w:val="left" w:pos="4111"/>
              </w:tabs>
              <w:spacing w:before="0"/>
            </w:pPr>
          </w:p>
          <w:p w:rsidR="00C70EDA" w:rsidRPr="00C70EDA" w:rsidRDefault="007D5E1C" w:rsidP="00D70069">
            <w:pPr>
              <w:tabs>
                <w:tab w:val="left" w:pos="4111"/>
              </w:tabs>
              <w:spacing w:before="60"/>
              <w:rPr>
                <w:color w:val="0000FF"/>
                <w:u w:val="single"/>
                <w:lang w:eastAsia="zh-CN"/>
              </w:rPr>
            </w:pPr>
            <w:hyperlink r:id="rId9" w:history="1">
              <w:r w:rsidR="00C70EDA" w:rsidRPr="00C70938">
                <w:rPr>
                  <w:rStyle w:val="Hyperlink"/>
                  <w:lang w:eastAsia="zh-CN"/>
                </w:rPr>
                <w:t>tsbsg17@itu.int</w:t>
              </w:r>
            </w:hyperlink>
          </w:p>
          <w:p w:rsidR="007568DA" w:rsidRPr="00841612" w:rsidRDefault="007568DA" w:rsidP="005C26FD">
            <w:pPr>
              <w:tabs>
                <w:tab w:val="left" w:pos="4111"/>
              </w:tabs>
              <w:spacing w:before="40"/>
              <w:rPr>
                <w:szCs w:val="24"/>
                <w:lang w:eastAsia="zh-CN"/>
              </w:rPr>
            </w:pPr>
          </w:p>
        </w:tc>
        <w:tc>
          <w:tcPr>
            <w:tcW w:w="4436" w:type="dxa"/>
          </w:tcPr>
          <w:p w:rsidR="005B7162" w:rsidRPr="00E02380" w:rsidRDefault="005B7162" w:rsidP="005B7162">
            <w:pPr>
              <w:tabs>
                <w:tab w:val="left" w:pos="4111"/>
              </w:tabs>
              <w:spacing w:before="0"/>
              <w:rPr>
                <w:b/>
                <w:lang w:eastAsia="zh-CN"/>
              </w:rPr>
            </w:pPr>
            <w:r>
              <w:rPr>
                <w:rFonts w:hint="eastAsia"/>
                <w:b/>
                <w:lang w:eastAsia="zh-CN"/>
              </w:rPr>
              <w:t>抄送：</w:t>
            </w:r>
          </w:p>
          <w:p w:rsidR="005B7162" w:rsidRPr="00E02380" w:rsidRDefault="005B7162" w:rsidP="005B7162">
            <w:pPr>
              <w:pStyle w:val="Tabletext"/>
              <w:tabs>
                <w:tab w:val="clear" w:pos="284"/>
                <w:tab w:val="clear" w:pos="567"/>
                <w:tab w:val="left" w:pos="283"/>
              </w:tabs>
              <w:ind w:left="283" w:hanging="283"/>
              <w:rPr>
                <w:rFonts w:ascii="Calibri" w:eastAsia="SimSun" w:hAnsi="Calibri"/>
                <w:lang w:eastAsia="zh-CN"/>
              </w:rPr>
            </w:pPr>
            <w:r w:rsidRPr="00E02380">
              <w:rPr>
                <w:rFonts w:ascii="Calibri" w:eastAsia="SimSun" w:hAnsi="Calibri"/>
                <w:lang w:eastAsia="zh-CN"/>
              </w:rPr>
              <w:t>–</w:t>
            </w:r>
            <w:r w:rsidRPr="00E02380">
              <w:rPr>
                <w:rFonts w:ascii="Calibri" w:eastAsia="SimSun" w:hAnsi="Calibri"/>
                <w:lang w:eastAsia="zh-CN"/>
              </w:rPr>
              <w:tab/>
              <w:t>ITU-T</w:t>
            </w:r>
            <w:r w:rsidRPr="00E02380">
              <w:rPr>
                <w:rFonts w:ascii="Calibri" w:eastAsia="SimSun" w:hAnsi="Calibri"/>
                <w:lang w:eastAsia="zh-CN"/>
              </w:rPr>
              <w:t>部门成员；</w:t>
            </w:r>
          </w:p>
          <w:p w:rsidR="005B7162" w:rsidRPr="00E02380" w:rsidRDefault="005B7162" w:rsidP="005B7162">
            <w:pPr>
              <w:pStyle w:val="Tabletext"/>
              <w:tabs>
                <w:tab w:val="clear" w:pos="284"/>
                <w:tab w:val="clear" w:pos="567"/>
                <w:tab w:val="left" w:pos="283"/>
              </w:tabs>
              <w:ind w:left="283" w:hanging="283"/>
              <w:rPr>
                <w:rFonts w:ascii="Calibri" w:eastAsia="SimSun" w:hAnsi="Calibri"/>
                <w:lang w:eastAsia="zh-CN"/>
              </w:rPr>
            </w:pPr>
            <w:r w:rsidRPr="00E02380">
              <w:rPr>
                <w:rFonts w:ascii="Calibri" w:eastAsia="SimSun" w:hAnsi="Calibri"/>
                <w:lang w:eastAsia="zh-CN"/>
              </w:rPr>
              <w:t>–</w:t>
            </w:r>
            <w:r w:rsidRPr="00E02380">
              <w:rPr>
                <w:rFonts w:ascii="Calibri" w:eastAsia="SimSun" w:hAnsi="Calibri"/>
                <w:lang w:eastAsia="zh-CN"/>
              </w:rPr>
              <w:tab/>
              <w:t>ITU-T</w:t>
            </w:r>
            <w:r w:rsidRPr="00E02380">
              <w:rPr>
                <w:rFonts w:ascii="Calibri" w:eastAsia="SimSun" w:hAnsi="Calibri"/>
                <w:lang w:eastAsia="zh-CN"/>
              </w:rPr>
              <w:t>部门准成员；</w:t>
            </w:r>
          </w:p>
          <w:p w:rsidR="005B7162" w:rsidRPr="00E02380" w:rsidRDefault="005B7162" w:rsidP="005B7162">
            <w:pPr>
              <w:pStyle w:val="Tabletext"/>
              <w:tabs>
                <w:tab w:val="clear" w:pos="284"/>
                <w:tab w:val="clear" w:pos="567"/>
                <w:tab w:val="left" w:pos="283"/>
              </w:tabs>
              <w:ind w:left="283" w:hanging="283"/>
              <w:rPr>
                <w:rFonts w:ascii="Calibri" w:eastAsia="SimSun" w:hAnsi="Calibri"/>
                <w:lang w:eastAsia="zh-CN"/>
              </w:rPr>
            </w:pPr>
            <w:r w:rsidRPr="00E02380">
              <w:rPr>
                <w:rFonts w:ascii="Calibri" w:eastAsia="SimSun" w:hAnsi="Calibri"/>
                <w:lang w:eastAsia="zh-CN"/>
              </w:rPr>
              <w:t>–</w:t>
            </w:r>
            <w:r w:rsidRPr="00E02380">
              <w:rPr>
                <w:rFonts w:ascii="Calibri" w:eastAsia="SimSun" w:hAnsi="Calibri"/>
                <w:lang w:eastAsia="zh-CN"/>
              </w:rPr>
              <w:tab/>
            </w:r>
            <w:r w:rsidR="00BD77CF" w:rsidRPr="0038372D">
              <w:rPr>
                <w:rFonts w:asciiTheme="minorEastAsia" w:hAnsiTheme="minorEastAsia" w:cs="Microsoft YaHei" w:hint="eastAsia"/>
                <w:lang w:eastAsia="zh-CN"/>
              </w:rPr>
              <w:t>国际</w:t>
            </w:r>
            <w:r w:rsidR="00BD77CF" w:rsidRPr="0038372D">
              <w:rPr>
                <w:rFonts w:asciiTheme="minorEastAsia" w:hAnsiTheme="minorEastAsia" w:cs="Microsoft YaHei"/>
                <w:lang w:eastAsia="zh-CN"/>
              </w:rPr>
              <w:t>电联</w:t>
            </w:r>
            <w:r w:rsidR="00BD77CF" w:rsidRPr="0038372D">
              <w:rPr>
                <w:rFonts w:asciiTheme="minorEastAsia" w:hAnsiTheme="minorEastAsia" w:cs="Microsoft YaHei" w:hint="eastAsia"/>
                <w:lang w:eastAsia="zh-CN"/>
              </w:rPr>
              <w:t>学术成员</w:t>
            </w:r>
            <w:r w:rsidRPr="00E02380">
              <w:rPr>
                <w:rFonts w:ascii="Calibri" w:eastAsia="SimSun" w:hAnsi="Calibri"/>
                <w:lang w:eastAsia="zh-CN"/>
              </w:rPr>
              <w:t>；</w:t>
            </w:r>
          </w:p>
          <w:p w:rsidR="005B7162" w:rsidRPr="00E02380" w:rsidRDefault="005B7162" w:rsidP="005B7162">
            <w:pPr>
              <w:pStyle w:val="Tabletext"/>
              <w:tabs>
                <w:tab w:val="clear" w:pos="284"/>
                <w:tab w:val="clear" w:pos="567"/>
                <w:tab w:val="left" w:pos="283"/>
              </w:tabs>
              <w:ind w:left="283" w:hanging="283"/>
              <w:rPr>
                <w:rFonts w:ascii="Calibri" w:eastAsia="SimSun" w:hAnsi="Calibri"/>
                <w:lang w:eastAsia="zh-CN"/>
              </w:rPr>
            </w:pPr>
            <w:r w:rsidRPr="00E02380">
              <w:rPr>
                <w:rFonts w:ascii="Calibri" w:eastAsia="SimSun" w:hAnsi="Calibri"/>
                <w:lang w:eastAsia="zh-CN"/>
              </w:rPr>
              <w:t>–</w:t>
            </w:r>
            <w:r w:rsidRPr="00E02380">
              <w:rPr>
                <w:rFonts w:ascii="Calibri" w:eastAsia="SimSun" w:hAnsi="Calibri"/>
                <w:lang w:eastAsia="zh-CN"/>
              </w:rPr>
              <w:tab/>
            </w:r>
            <w:r w:rsidR="00E53093">
              <w:rPr>
                <w:rFonts w:ascii="Calibri" w:eastAsia="SimSun" w:hAnsi="Calibri" w:hint="eastAsia"/>
                <w:lang w:eastAsia="zh-CN"/>
              </w:rPr>
              <w:t>ITU-T</w:t>
            </w:r>
            <w:r w:rsidRPr="00E02380">
              <w:rPr>
                <w:rFonts w:ascii="Calibri" w:eastAsia="SimSun" w:hAnsi="Calibri"/>
                <w:lang w:eastAsia="zh-CN"/>
              </w:rPr>
              <w:t>第</w:t>
            </w:r>
            <w:r w:rsidRPr="00E02380">
              <w:rPr>
                <w:rFonts w:ascii="Calibri" w:eastAsia="SimSun" w:hAnsi="Calibri"/>
                <w:lang w:eastAsia="zh-CN"/>
              </w:rPr>
              <w:t>17</w:t>
            </w:r>
            <w:r w:rsidRPr="00E02380">
              <w:rPr>
                <w:rFonts w:ascii="Calibri" w:eastAsia="SimSun" w:hAnsi="Calibri"/>
                <w:lang w:eastAsia="zh-CN"/>
              </w:rPr>
              <w:t>研究组正副主席；</w:t>
            </w:r>
          </w:p>
          <w:p w:rsidR="005B7162" w:rsidRDefault="005B7162" w:rsidP="005B7162">
            <w:pPr>
              <w:pStyle w:val="Tabletext"/>
              <w:tabs>
                <w:tab w:val="clear" w:pos="284"/>
                <w:tab w:val="clear" w:pos="567"/>
                <w:tab w:val="left" w:pos="283"/>
              </w:tabs>
              <w:ind w:left="283" w:hanging="283"/>
              <w:rPr>
                <w:rFonts w:ascii="Calibri" w:eastAsia="SimSun" w:hAnsi="Calibri"/>
                <w:lang w:eastAsia="zh-CN"/>
              </w:rPr>
            </w:pPr>
            <w:r w:rsidRPr="00E02380">
              <w:rPr>
                <w:rFonts w:ascii="Calibri" w:eastAsia="SimSun" w:hAnsi="Calibri"/>
                <w:lang w:eastAsia="zh-CN"/>
              </w:rPr>
              <w:t>–</w:t>
            </w:r>
            <w:r w:rsidRPr="00E02380">
              <w:rPr>
                <w:rFonts w:ascii="Calibri" w:eastAsia="SimSun" w:hAnsi="Calibri"/>
                <w:lang w:eastAsia="zh-CN"/>
              </w:rPr>
              <w:tab/>
            </w:r>
            <w:r w:rsidRPr="00E02380">
              <w:rPr>
                <w:rFonts w:ascii="Calibri" w:eastAsia="SimSun" w:hAnsi="Calibri"/>
                <w:lang w:eastAsia="zh-CN"/>
              </w:rPr>
              <w:t>电信发展局主任；</w:t>
            </w:r>
          </w:p>
          <w:p w:rsidR="0063445E" w:rsidRDefault="00A577A3" w:rsidP="00A577A3">
            <w:pPr>
              <w:pStyle w:val="Tabletext"/>
              <w:tabs>
                <w:tab w:val="clear" w:pos="567"/>
              </w:tabs>
              <w:ind w:left="283" w:hanging="283"/>
              <w:rPr>
                <w:lang w:eastAsia="zh-CN"/>
              </w:rPr>
            </w:pPr>
            <w:r w:rsidRPr="00A577A3">
              <w:rPr>
                <w:rFonts w:ascii="Calibri" w:eastAsia="SimSun" w:hAnsi="Calibri"/>
                <w:lang w:eastAsia="zh-CN"/>
              </w:rPr>
              <w:t>–</w:t>
            </w:r>
            <w:r w:rsidRPr="00A577A3">
              <w:rPr>
                <w:rFonts w:ascii="Calibri" w:eastAsia="SimSun" w:hAnsi="Calibri"/>
                <w:lang w:eastAsia="zh-CN"/>
              </w:rPr>
              <w:tab/>
            </w:r>
            <w:r w:rsidRPr="00A577A3">
              <w:rPr>
                <w:rFonts w:ascii="Calibri" w:eastAsia="SimSun" w:hAnsi="Calibri"/>
                <w:lang w:eastAsia="zh-CN"/>
              </w:rPr>
              <w:t>无线电通信局主任</w:t>
            </w:r>
          </w:p>
        </w:tc>
      </w:tr>
    </w:tbl>
    <w:p w:rsidR="0063445E" w:rsidRDefault="0063445E" w:rsidP="0063445E">
      <w:pPr>
        <w:spacing w:before="0"/>
        <w:rPr>
          <w:lang w:eastAsia="zh-CN"/>
        </w:rPr>
      </w:pPr>
    </w:p>
    <w:tbl>
      <w:tblPr>
        <w:tblW w:w="0" w:type="auto"/>
        <w:tblLayout w:type="fixed"/>
        <w:tblCellMar>
          <w:left w:w="107" w:type="dxa"/>
          <w:right w:w="107" w:type="dxa"/>
        </w:tblCellMar>
        <w:tblLook w:val="0000" w:firstRow="0" w:lastRow="0" w:firstColumn="0" w:lastColumn="0" w:noHBand="0" w:noVBand="0"/>
      </w:tblPr>
      <w:tblGrid>
        <w:gridCol w:w="993"/>
        <w:gridCol w:w="7796"/>
      </w:tblGrid>
      <w:tr w:rsidR="0063445E" w:rsidTr="00A577A3">
        <w:trPr>
          <w:cantSplit/>
        </w:trPr>
        <w:tc>
          <w:tcPr>
            <w:tcW w:w="993" w:type="dxa"/>
          </w:tcPr>
          <w:p w:rsidR="0063445E" w:rsidRDefault="0063445E" w:rsidP="00956D38">
            <w:pPr>
              <w:tabs>
                <w:tab w:val="left" w:pos="4111"/>
              </w:tabs>
              <w:spacing w:before="10"/>
              <w:ind w:left="57"/>
              <w:rPr>
                <w:sz w:val="22"/>
                <w:lang w:eastAsia="zh-CN"/>
              </w:rPr>
            </w:pPr>
            <w:r>
              <w:rPr>
                <w:rFonts w:hint="eastAsia"/>
                <w:sz w:val="22"/>
                <w:lang w:eastAsia="zh-CN"/>
              </w:rPr>
              <w:t>事由：</w:t>
            </w:r>
          </w:p>
        </w:tc>
        <w:tc>
          <w:tcPr>
            <w:tcW w:w="7796" w:type="dxa"/>
          </w:tcPr>
          <w:p w:rsidR="0063445E" w:rsidRDefault="005B7162" w:rsidP="00E53093">
            <w:pPr>
              <w:tabs>
                <w:tab w:val="left" w:pos="4111"/>
              </w:tabs>
              <w:spacing w:before="0"/>
              <w:ind w:left="57" w:right="28"/>
              <w:rPr>
                <w:lang w:eastAsia="zh-CN"/>
              </w:rPr>
            </w:pPr>
            <w:r w:rsidRPr="008B1EB3">
              <w:rPr>
                <w:rFonts w:hint="eastAsia"/>
                <w:b/>
                <w:lang w:eastAsia="zh-CN"/>
              </w:rPr>
              <w:t>第</w:t>
            </w:r>
            <w:r w:rsidRPr="008B1EB3">
              <w:rPr>
                <w:rFonts w:hint="eastAsia"/>
                <w:b/>
                <w:lang w:eastAsia="zh-CN"/>
              </w:rPr>
              <w:t>17</w:t>
            </w:r>
            <w:r w:rsidRPr="008B1EB3">
              <w:rPr>
                <w:rFonts w:hint="eastAsia"/>
                <w:b/>
                <w:lang w:eastAsia="zh-CN"/>
              </w:rPr>
              <w:t>研究组</w:t>
            </w:r>
            <w:r>
              <w:rPr>
                <w:rFonts w:hint="eastAsia"/>
                <w:b/>
                <w:lang w:eastAsia="zh-CN"/>
              </w:rPr>
              <w:t>会议</w:t>
            </w:r>
            <w:r w:rsidRPr="008B1EB3">
              <w:rPr>
                <w:rFonts w:hint="eastAsia"/>
                <w:b/>
                <w:lang w:eastAsia="zh-CN"/>
              </w:rPr>
              <w:t>按照世界电信标准化全会（</w:t>
            </w:r>
            <w:r w:rsidRPr="008B1EB3">
              <w:rPr>
                <w:rFonts w:hint="eastAsia"/>
                <w:b/>
                <w:lang w:eastAsia="zh-CN"/>
              </w:rPr>
              <w:t>2012</w:t>
            </w:r>
            <w:r w:rsidRPr="008B1EB3">
              <w:rPr>
                <w:rFonts w:hint="eastAsia"/>
                <w:b/>
                <w:lang w:eastAsia="zh-CN"/>
              </w:rPr>
              <w:t>年，迪拜）</w:t>
            </w:r>
            <w:r w:rsidR="008D2E54">
              <w:rPr>
                <w:b/>
                <w:lang w:eastAsia="zh-CN"/>
              </w:rPr>
              <w:br/>
            </w:r>
            <w:r w:rsidRPr="008B1EB3">
              <w:rPr>
                <w:rFonts w:hint="eastAsia"/>
                <w:b/>
                <w:lang w:eastAsia="zh-CN"/>
              </w:rPr>
              <w:t>第</w:t>
            </w:r>
            <w:r w:rsidRPr="008B1EB3">
              <w:rPr>
                <w:rFonts w:hint="eastAsia"/>
                <w:b/>
                <w:lang w:eastAsia="zh-CN"/>
              </w:rPr>
              <w:t>1</w:t>
            </w:r>
            <w:r w:rsidRPr="008B1EB3">
              <w:rPr>
                <w:rFonts w:hint="eastAsia"/>
                <w:b/>
                <w:lang w:eastAsia="zh-CN"/>
              </w:rPr>
              <w:t>号决议第</w:t>
            </w:r>
            <w:r w:rsidRPr="008B1EB3">
              <w:rPr>
                <w:rFonts w:hint="eastAsia"/>
                <w:b/>
                <w:lang w:eastAsia="zh-CN"/>
              </w:rPr>
              <w:t>9</w:t>
            </w:r>
            <w:r>
              <w:rPr>
                <w:rFonts w:hint="eastAsia"/>
                <w:b/>
                <w:lang w:eastAsia="zh-CN"/>
              </w:rPr>
              <w:t>节的规定</w:t>
            </w:r>
            <w:r w:rsidRPr="008B1EB3">
              <w:rPr>
                <w:rFonts w:hint="eastAsia"/>
                <w:b/>
                <w:lang w:eastAsia="zh-CN"/>
              </w:rPr>
              <w:t>批准</w:t>
            </w:r>
            <w:r w:rsidR="008D2E54">
              <w:rPr>
                <w:rFonts w:hint="eastAsia"/>
                <w:b/>
                <w:lang w:eastAsia="zh-CN"/>
              </w:rPr>
              <w:t>X</w:t>
            </w:r>
            <w:r w:rsidR="00E53093" w:rsidRPr="00E53093">
              <w:rPr>
                <w:b/>
                <w:bCs/>
                <w:lang w:eastAsia="zh-CN"/>
              </w:rPr>
              <w:t>.1258 (ex X.eaaa)</w:t>
            </w:r>
            <w:r w:rsidR="00E53093">
              <w:rPr>
                <w:rFonts w:hint="eastAsia"/>
                <w:b/>
                <w:bCs/>
                <w:lang w:eastAsia="zh-CN"/>
              </w:rPr>
              <w:t>、</w:t>
            </w:r>
            <w:r w:rsidR="00E53093" w:rsidRPr="00E53093">
              <w:rPr>
                <w:b/>
                <w:bCs/>
                <w:lang w:eastAsia="zh-CN"/>
              </w:rPr>
              <w:t>X.1542 (ex X.simef)</w:t>
            </w:r>
            <w:r w:rsidR="00E53093">
              <w:rPr>
                <w:rFonts w:hint="eastAsia"/>
                <w:b/>
                <w:bCs/>
                <w:lang w:eastAsia="zh-CN"/>
              </w:rPr>
              <w:t>和</w:t>
            </w:r>
            <w:r w:rsidR="008D2E54">
              <w:rPr>
                <w:b/>
                <w:bCs/>
                <w:lang w:eastAsia="zh-CN"/>
              </w:rPr>
              <w:br/>
            </w:r>
            <w:r w:rsidR="00E53093" w:rsidRPr="00E53093">
              <w:rPr>
                <w:b/>
                <w:bCs/>
                <w:lang w:eastAsia="zh-CN"/>
              </w:rPr>
              <w:t>X.1641 (ex X.CSCDataSec)</w:t>
            </w:r>
            <w:r w:rsidRPr="008B1EB3">
              <w:rPr>
                <w:rFonts w:hint="eastAsia"/>
                <w:b/>
                <w:lang w:eastAsia="zh-CN"/>
              </w:rPr>
              <w:t>建议书</w:t>
            </w:r>
            <w:r w:rsidR="00E53093">
              <w:rPr>
                <w:rFonts w:hint="eastAsia"/>
                <w:b/>
                <w:lang w:eastAsia="zh-CN"/>
              </w:rPr>
              <w:t>草案</w:t>
            </w:r>
            <w:r>
              <w:rPr>
                <w:rFonts w:hint="eastAsia"/>
                <w:b/>
                <w:bCs/>
                <w:lang w:eastAsia="zh-CN"/>
              </w:rPr>
              <w:t>，</w:t>
            </w:r>
            <w:r>
              <w:rPr>
                <w:rFonts w:hint="eastAsia"/>
                <w:b/>
                <w:lang w:eastAsia="zh-CN"/>
              </w:rPr>
              <w:t>2016</w:t>
            </w:r>
            <w:r w:rsidRPr="008B1EB3">
              <w:rPr>
                <w:rFonts w:hint="eastAsia"/>
                <w:b/>
                <w:lang w:eastAsia="zh-CN"/>
              </w:rPr>
              <w:t>年</w:t>
            </w:r>
            <w:r w:rsidR="00E53093">
              <w:rPr>
                <w:rFonts w:hint="eastAsia"/>
                <w:b/>
                <w:lang w:eastAsia="zh-CN"/>
              </w:rPr>
              <w:t>9</w:t>
            </w:r>
            <w:r w:rsidRPr="008B1EB3">
              <w:rPr>
                <w:rFonts w:hint="eastAsia"/>
                <w:b/>
                <w:lang w:eastAsia="zh-CN"/>
              </w:rPr>
              <w:t>月</w:t>
            </w:r>
            <w:r w:rsidR="00E53093">
              <w:rPr>
                <w:rFonts w:hint="eastAsia"/>
                <w:b/>
                <w:lang w:eastAsia="zh-CN"/>
              </w:rPr>
              <w:t>7</w:t>
            </w:r>
            <w:r w:rsidRPr="008B1EB3">
              <w:rPr>
                <w:rFonts w:hint="eastAsia"/>
                <w:b/>
                <w:lang w:eastAsia="zh-CN"/>
              </w:rPr>
              <w:t>日，日内瓦</w:t>
            </w:r>
          </w:p>
        </w:tc>
      </w:tr>
    </w:tbl>
    <w:p w:rsidR="005B7162" w:rsidRPr="008B1EB3" w:rsidRDefault="005B7162" w:rsidP="005B7162">
      <w:pPr>
        <w:spacing w:before="600"/>
        <w:rPr>
          <w:szCs w:val="22"/>
          <w:lang w:eastAsia="zh-CN"/>
        </w:rPr>
      </w:pPr>
      <w:bookmarkStart w:id="2" w:name="StartTyping_E"/>
      <w:bookmarkEnd w:id="2"/>
      <w:r w:rsidRPr="008B1EB3">
        <w:rPr>
          <w:rFonts w:hint="eastAsia"/>
          <w:szCs w:val="22"/>
          <w:lang w:eastAsia="zh-CN"/>
        </w:rPr>
        <w:t>尊敬的先生</w:t>
      </w:r>
      <w:r w:rsidRPr="008B1EB3">
        <w:rPr>
          <w:rFonts w:hint="eastAsia"/>
          <w:szCs w:val="22"/>
          <w:lang w:eastAsia="zh-CN"/>
        </w:rPr>
        <w:t>/</w:t>
      </w:r>
      <w:r w:rsidRPr="008B1EB3">
        <w:rPr>
          <w:rFonts w:hint="eastAsia"/>
          <w:szCs w:val="22"/>
          <w:lang w:eastAsia="zh-CN"/>
        </w:rPr>
        <w:t>女士：</w:t>
      </w:r>
    </w:p>
    <w:p w:rsidR="005B7162" w:rsidRPr="008B1EB3" w:rsidRDefault="005B7162" w:rsidP="00E53093">
      <w:pPr>
        <w:rPr>
          <w:szCs w:val="22"/>
          <w:lang w:eastAsia="zh-CN"/>
        </w:rPr>
      </w:pPr>
      <w:r w:rsidRPr="008B1EB3">
        <w:rPr>
          <w:bCs/>
          <w:szCs w:val="22"/>
          <w:lang w:eastAsia="zh-CN"/>
        </w:rPr>
        <w:t>1</w:t>
      </w:r>
      <w:r w:rsidRPr="008B1EB3">
        <w:rPr>
          <w:szCs w:val="22"/>
          <w:lang w:eastAsia="zh-CN"/>
        </w:rPr>
        <w:tab/>
      </w:r>
      <w:r w:rsidRPr="00EC44DB">
        <w:rPr>
          <w:rFonts w:hint="eastAsia"/>
          <w:spacing w:val="-6"/>
          <w:szCs w:val="22"/>
          <w:lang w:eastAsia="zh-CN"/>
        </w:rPr>
        <w:t>应第</w:t>
      </w:r>
      <w:r w:rsidR="00E53093">
        <w:rPr>
          <w:rFonts w:ascii="Calibri" w:hAnsi="Calibri" w:hint="eastAsia"/>
          <w:lang w:eastAsia="zh-CN"/>
        </w:rPr>
        <w:t>ITU-T</w:t>
      </w:r>
      <w:r w:rsidRPr="00EC44DB">
        <w:rPr>
          <w:rFonts w:hint="eastAsia"/>
          <w:spacing w:val="-6"/>
          <w:szCs w:val="22"/>
          <w:lang w:eastAsia="zh-CN"/>
        </w:rPr>
        <w:t>17</w:t>
      </w:r>
      <w:r w:rsidRPr="00EC44DB">
        <w:rPr>
          <w:rFonts w:hint="eastAsia"/>
          <w:spacing w:val="-6"/>
          <w:szCs w:val="22"/>
          <w:lang w:eastAsia="zh-CN"/>
        </w:rPr>
        <w:t>研究组（</w:t>
      </w:r>
      <w:r w:rsidRPr="00EC44DB">
        <w:rPr>
          <w:rFonts w:ascii="STKaiti" w:eastAsia="STKaiti" w:hAnsi="STKaiti" w:hint="eastAsia"/>
          <w:spacing w:val="-6"/>
          <w:szCs w:val="22"/>
          <w:lang w:eastAsia="zh-CN"/>
        </w:rPr>
        <w:t>安全</w:t>
      </w:r>
      <w:r w:rsidRPr="00EC44DB">
        <w:rPr>
          <w:rFonts w:hint="eastAsia"/>
          <w:spacing w:val="-6"/>
          <w:szCs w:val="22"/>
          <w:lang w:eastAsia="zh-CN"/>
        </w:rPr>
        <w:t>）主席的请求，我荣幸地告知您，该研究组将于</w:t>
      </w:r>
      <w:r w:rsidRPr="00EC44DB">
        <w:rPr>
          <w:rFonts w:hint="eastAsia"/>
          <w:spacing w:val="-6"/>
          <w:szCs w:val="22"/>
          <w:lang w:eastAsia="zh-CN"/>
        </w:rPr>
        <w:t>2016</w:t>
      </w:r>
      <w:r w:rsidRPr="00EC44DB">
        <w:rPr>
          <w:rFonts w:hint="eastAsia"/>
          <w:spacing w:val="-6"/>
          <w:szCs w:val="22"/>
          <w:lang w:eastAsia="zh-CN"/>
        </w:rPr>
        <w:t>年</w:t>
      </w:r>
      <w:r w:rsidR="00E53093">
        <w:rPr>
          <w:rFonts w:hint="eastAsia"/>
          <w:spacing w:val="-6"/>
          <w:szCs w:val="22"/>
          <w:lang w:eastAsia="zh-CN"/>
        </w:rPr>
        <w:t>8</w:t>
      </w:r>
      <w:r w:rsidRPr="00EC44DB">
        <w:rPr>
          <w:rFonts w:hint="eastAsia"/>
          <w:spacing w:val="-6"/>
          <w:szCs w:val="22"/>
          <w:lang w:eastAsia="zh-CN"/>
        </w:rPr>
        <w:t>月</w:t>
      </w:r>
      <w:r w:rsidR="00E53093">
        <w:rPr>
          <w:rFonts w:hint="eastAsia"/>
          <w:spacing w:val="-6"/>
          <w:szCs w:val="22"/>
          <w:lang w:eastAsia="zh-CN"/>
        </w:rPr>
        <w:t>29</w:t>
      </w:r>
      <w:r w:rsidR="00E53093">
        <w:rPr>
          <w:rFonts w:hint="eastAsia"/>
          <w:spacing w:val="-6"/>
          <w:szCs w:val="22"/>
          <w:lang w:eastAsia="zh-CN"/>
        </w:rPr>
        <w:t>至</w:t>
      </w:r>
      <w:r w:rsidR="00E53093">
        <w:rPr>
          <w:rFonts w:hint="eastAsia"/>
          <w:spacing w:val="-6"/>
          <w:szCs w:val="22"/>
          <w:lang w:eastAsia="zh-CN"/>
        </w:rPr>
        <w:t>9</w:t>
      </w:r>
      <w:r w:rsidR="00E53093">
        <w:rPr>
          <w:rFonts w:hint="eastAsia"/>
          <w:spacing w:val="-6"/>
          <w:szCs w:val="22"/>
          <w:lang w:eastAsia="zh-CN"/>
        </w:rPr>
        <w:t>月</w:t>
      </w:r>
      <w:r w:rsidR="00E53093">
        <w:rPr>
          <w:rFonts w:hint="eastAsia"/>
          <w:spacing w:val="-6"/>
          <w:szCs w:val="22"/>
          <w:lang w:eastAsia="zh-CN"/>
        </w:rPr>
        <w:t>7</w:t>
      </w:r>
      <w:r w:rsidRPr="00EC44DB">
        <w:rPr>
          <w:rFonts w:hint="eastAsia"/>
          <w:spacing w:val="-6"/>
          <w:szCs w:val="22"/>
          <w:lang w:eastAsia="zh-CN"/>
        </w:rPr>
        <w:t>日</w:t>
      </w:r>
      <w:r w:rsidRPr="008B1EB3">
        <w:rPr>
          <w:rFonts w:hint="eastAsia"/>
          <w:szCs w:val="22"/>
          <w:lang w:eastAsia="zh-CN"/>
        </w:rPr>
        <w:t>召开会议，并将采用世界电信标准化全会（</w:t>
      </w:r>
      <w:r w:rsidRPr="008B1EB3">
        <w:rPr>
          <w:rFonts w:hint="eastAsia"/>
          <w:szCs w:val="22"/>
          <w:lang w:eastAsia="zh-CN"/>
        </w:rPr>
        <w:t>2012</w:t>
      </w:r>
      <w:r w:rsidRPr="008B1EB3">
        <w:rPr>
          <w:rFonts w:hint="eastAsia"/>
          <w:szCs w:val="22"/>
          <w:lang w:eastAsia="zh-CN"/>
        </w:rPr>
        <w:t>年，迪拜）第</w:t>
      </w:r>
      <w:r w:rsidRPr="008B1EB3">
        <w:rPr>
          <w:rFonts w:hint="eastAsia"/>
          <w:szCs w:val="22"/>
          <w:lang w:eastAsia="zh-CN"/>
        </w:rPr>
        <w:t>1</w:t>
      </w:r>
      <w:r w:rsidRPr="008B1EB3">
        <w:rPr>
          <w:rFonts w:hint="eastAsia"/>
          <w:szCs w:val="22"/>
          <w:lang w:eastAsia="zh-CN"/>
        </w:rPr>
        <w:t>号决议第</w:t>
      </w:r>
      <w:r w:rsidRPr="008B1EB3">
        <w:rPr>
          <w:rFonts w:hint="eastAsia"/>
          <w:szCs w:val="22"/>
          <w:lang w:eastAsia="zh-CN"/>
        </w:rPr>
        <w:t>9</w:t>
      </w:r>
      <w:r w:rsidRPr="008B1EB3">
        <w:rPr>
          <w:rFonts w:hint="eastAsia"/>
          <w:szCs w:val="22"/>
          <w:lang w:eastAsia="zh-CN"/>
        </w:rPr>
        <w:t>节规定的程序来批准上述建议书草案。</w:t>
      </w:r>
    </w:p>
    <w:p w:rsidR="005B7162" w:rsidRPr="008B1EB3" w:rsidRDefault="005B7162" w:rsidP="005B7162">
      <w:pPr>
        <w:rPr>
          <w:szCs w:val="22"/>
          <w:lang w:eastAsia="zh-CN"/>
        </w:rPr>
      </w:pPr>
      <w:r w:rsidRPr="008B1EB3">
        <w:rPr>
          <w:bCs/>
          <w:szCs w:val="22"/>
          <w:lang w:eastAsia="zh-CN"/>
        </w:rPr>
        <w:t>2</w:t>
      </w:r>
      <w:r w:rsidRPr="008B1EB3">
        <w:rPr>
          <w:szCs w:val="22"/>
          <w:lang w:eastAsia="zh-CN"/>
        </w:rPr>
        <w:tab/>
      </w:r>
      <w:r w:rsidRPr="008B1EB3">
        <w:rPr>
          <w:rFonts w:hint="eastAsia"/>
          <w:szCs w:val="22"/>
          <w:lang w:eastAsia="zh-CN"/>
        </w:rPr>
        <w:t>建议批准的</w:t>
      </w:r>
      <w:r w:rsidRPr="008B1EB3">
        <w:rPr>
          <w:rFonts w:hint="eastAsia"/>
          <w:szCs w:val="22"/>
          <w:lang w:eastAsia="zh-CN"/>
        </w:rPr>
        <w:t>ITU-T</w:t>
      </w:r>
      <w:r w:rsidRPr="008B1EB3">
        <w:rPr>
          <w:rFonts w:hint="eastAsia"/>
          <w:szCs w:val="22"/>
          <w:lang w:eastAsia="zh-CN"/>
        </w:rPr>
        <w:t>建议书草案的标题、摘要及其出处见</w:t>
      </w:r>
      <w:r w:rsidRPr="008B1EB3">
        <w:rPr>
          <w:rFonts w:hint="eastAsia"/>
          <w:b/>
          <w:bCs/>
          <w:szCs w:val="22"/>
          <w:lang w:eastAsia="zh-CN"/>
        </w:rPr>
        <w:t>附件</w:t>
      </w:r>
      <w:r w:rsidRPr="008B1EB3">
        <w:rPr>
          <w:rFonts w:hint="eastAsia"/>
          <w:b/>
          <w:bCs/>
          <w:szCs w:val="22"/>
          <w:lang w:eastAsia="zh-CN"/>
        </w:rPr>
        <w:t>1</w:t>
      </w:r>
      <w:r w:rsidRPr="008B1EB3">
        <w:rPr>
          <w:rFonts w:hint="eastAsia"/>
          <w:szCs w:val="22"/>
          <w:lang w:eastAsia="zh-CN"/>
        </w:rPr>
        <w:t>。</w:t>
      </w:r>
    </w:p>
    <w:p w:rsidR="005B7162" w:rsidRDefault="005B7162" w:rsidP="005B7162">
      <w:pPr>
        <w:rPr>
          <w:szCs w:val="22"/>
          <w:lang w:eastAsia="zh-CN"/>
        </w:rPr>
      </w:pPr>
      <w:r w:rsidRPr="008B1EB3">
        <w:rPr>
          <w:bCs/>
          <w:szCs w:val="22"/>
          <w:lang w:eastAsia="zh-CN"/>
        </w:rPr>
        <w:t>3</w:t>
      </w:r>
      <w:r w:rsidRPr="008B1EB3">
        <w:rPr>
          <w:szCs w:val="22"/>
          <w:lang w:eastAsia="zh-CN"/>
        </w:rPr>
        <w:tab/>
      </w:r>
      <w:r w:rsidRPr="008B1EB3">
        <w:rPr>
          <w:rFonts w:hint="eastAsia"/>
          <w:szCs w:val="22"/>
          <w:lang w:eastAsia="zh-CN"/>
        </w:rPr>
        <w:t>所有了解自己或他人持有的专利可能整体或部分地涉及建议批准的建议书草案内容的国际电联成员国、部门成员、部门准成员或学术机构，均需按照</w:t>
      </w:r>
      <w:r w:rsidRPr="008B1EB3">
        <w:rPr>
          <w:rFonts w:hint="eastAsia"/>
          <w:szCs w:val="22"/>
          <w:lang w:eastAsia="zh-CN"/>
        </w:rPr>
        <w:t>ITU-T/ITU-R/</w:t>
      </w:r>
      <w:r w:rsidRPr="008B1EB3">
        <w:rPr>
          <w:rFonts w:hint="eastAsia"/>
          <w:szCs w:val="22"/>
          <w:lang w:eastAsia="zh-CN"/>
        </w:rPr>
        <w:t>国际标准化组织（</w:t>
      </w:r>
      <w:r w:rsidRPr="008B1EB3">
        <w:rPr>
          <w:rFonts w:hint="eastAsia"/>
          <w:szCs w:val="22"/>
          <w:lang w:eastAsia="zh-CN"/>
        </w:rPr>
        <w:t>ISO</w:t>
      </w:r>
      <w:r w:rsidRPr="008B1EB3">
        <w:rPr>
          <w:rFonts w:hint="eastAsia"/>
          <w:szCs w:val="22"/>
          <w:lang w:eastAsia="zh-CN"/>
        </w:rPr>
        <w:t>）</w:t>
      </w:r>
      <w:r w:rsidRPr="008B1EB3">
        <w:rPr>
          <w:rFonts w:hint="eastAsia"/>
          <w:szCs w:val="22"/>
          <w:lang w:eastAsia="zh-CN"/>
        </w:rPr>
        <w:t>/</w:t>
      </w:r>
      <w:r w:rsidRPr="008B1EB3">
        <w:rPr>
          <w:rFonts w:hint="eastAsia"/>
          <w:szCs w:val="22"/>
          <w:lang w:eastAsia="zh-CN"/>
        </w:rPr>
        <w:t>国际电工委员会（</w:t>
      </w:r>
      <w:r w:rsidRPr="008B1EB3">
        <w:rPr>
          <w:rFonts w:hint="eastAsia"/>
          <w:szCs w:val="22"/>
          <w:lang w:eastAsia="zh-CN"/>
        </w:rPr>
        <w:t>IEC</w:t>
      </w:r>
      <w:r w:rsidRPr="008B1EB3">
        <w:rPr>
          <w:rFonts w:hint="eastAsia"/>
          <w:szCs w:val="22"/>
          <w:lang w:eastAsia="zh-CN"/>
        </w:rPr>
        <w:t>）的共同专利政策，向电信标准化局披露</w:t>
      </w:r>
      <w:r>
        <w:rPr>
          <w:rFonts w:hint="eastAsia"/>
          <w:szCs w:val="22"/>
          <w:lang w:eastAsia="zh-CN"/>
        </w:rPr>
        <w:t>此</w:t>
      </w:r>
      <w:r w:rsidRPr="008B1EB3">
        <w:rPr>
          <w:rFonts w:hint="eastAsia"/>
          <w:szCs w:val="22"/>
          <w:lang w:eastAsia="zh-CN"/>
        </w:rPr>
        <w:t>类信息。</w:t>
      </w:r>
    </w:p>
    <w:p w:rsidR="00EC44DB" w:rsidRPr="00EC44DB" w:rsidRDefault="00EC44DB" w:rsidP="00EC44DB">
      <w:pPr>
        <w:ind w:firstLineChars="200" w:firstLine="480"/>
        <w:rPr>
          <w:szCs w:val="22"/>
          <w:lang w:eastAsia="zh-CN"/>
        </w:rPr>
      </w:pPr>
      <w:r w:rsidRPr="008B1EB3">
        <w:rPr>
          <w:rFonts w:hint="eastAsia"/>
          <w:szCs w:val="22"/>
        </w:rPr>
        <w:t>可通过</w:t>
      </w:r>
      <w:r w:rsidRPr="008B1EB3">
        <w:rPr>
          <w:rFonts w:hint="eastAsia"/>
          <w:szCs w:val="22"/>
        </w:rPr>
        <w:t>ITU-T</w:t>
      </w:r>
      <w:r w:rsidRPr="008B1EB3">
        <w:rPr>
          <w:rFonts w:hint="eastAsia"/>
          <w:szCs w:val="22"/>
        </w:rPr>
        <w:t>网站（</w:t>
      </w:r>
      <w:hyperlink r:id="rId10" w:history="1">
        <w:r w:rsidRPr="00A07350">
          <w:rPr>
            <w:rStyle w:val="Hyperlink"/>
            <w:szCs w:val="22"/>
          </w:rPr>
          <w:t>www.itu.int/ipr/</w:t>
        </w:r>
      </w:hyperlink>
      <w:r w:rsidRPr="00A07350">
        <w:rPr>
          <w:rFonts w:hint="eastAsia"/>
          <w:szCs w:val="22"/>
        </w:rPr>
        <w:t>）在网上获取已公布的专利信息</w:t>
      </w:r>
      <w:r w:rsidRPr="00A07350">
        <w:rPr>
          <w:rFonts w:hint="eastAsia"/>
          <w:szCs w:val="22"/>
          <w:lang w:eastAsia="zh-CN"/>
        </w:rPr>
        <w:t>。</w:t>
      </w:r>
    </w:p>
    <w:p w:rsidR="005B7162" w:rsidRPr="008B1EB3" w:rsidRDefault="005B7162" w:rsidP="00E53093">
      <w:pPr>
        <w:ind w:right="-426"/>
        <w:rPr>
          <w:lang w:eastAsia="zh-CN"/>
        </w:rPr>
      </w:pPr>
      <w:r w:rsidRPr="008B1EB3">
        <w:rPr>
          <w:bCs/>
          <w:lang w:eastAsia="zh-CN"/>
        </w:rPr>
        <w:t>4</w:t>
      </w:r>
      <w:r w:rsidRPr="008B1EB3">
        <w:rPr>
          <w:lang w:eastAsia="zh-CN"/>
        </w:rPr>
        <w:tab/>
      </w:r>
      <w:r w:rsidRPr="008B1EB3">
        <w:rPr>
          <w:rFonts w:hint="eastAsia"/>
          <w:lang w:eastAsia="zh-CN"/>
        </w:rPr>
        <w:t>考虑到第</w:t>
      </w:r>
      <w:r w:rsidRPr="008B1EB3">
        <w:rPr>
          <w:rFonts w:hint="eastAsia"/>
          <w:lang w:eastAsia="zh-CN"/>
        </w:rPr>
        <w:t>1</w:t>
      </w:r>
      <w:r w:rsidRPr="008B1EB3">
        <w:rPr>
          <w:rFonts w:hint="eastAsia"/>
          <w:lang w:eastAsia="zh-CN"/>
        </w:rPr>
        <w:t>号决议第</w:t>
      </w:r>
      <w:r w:rsidRPr="008B1EB3">
        <w:rPr>
          <w:rFonts w:hint="eastAsia"/>
          <w:lang w:eastAsia="zh-CN"/>
        </w:rPr>
        <w:t>9</w:t>
      </w:r>
      <w:r w:rsidRPr="008B1EB3">
        <w:rPr>
          <w:rFonts w:hint="eastAsia"/>
          <w:lang w:eastAsia="zh-CN"/>
        </w:rPr>
        <w:t>节的规定，请您在</w:t>
      </w:r>
      <w:r w:rsidRPr="00E53093">
        <w:rPr>
          <w:rFonts w:hint="eastAsia"/>
          <w:lang w:eastAsia="zh-CN"/>
        </w:rPr>
        <w:t>2016</w:t>
      </w:r>
      <w:r w:rsidRPr="00E53093">
        <w:rPr>
          <w:rFonts w:hint="eastAsia"/>
          <w:lang w:eastAsia="zh-CN"/>
        </w:rPr>
        <w:t>年</w:t>
      </w:r>
      <w:r w:rsidR="00E53093" w:rsidRPr="00E53093">
        <w:rPr>
          <w:rFonts w:hint="eastAsia"/>
          <w:lang w:eastAsia="zh-CN"/>
        </w:rPr>
        <w:t>8</w:t>
      </w:r>
      <w:r w:rsidRPr="00E53093">
        <w:rPr>
          <w:rFonts w:hint="eastAsia"/>
          <w:lang w:eastAsia="zh-CN"/>
        </w:rPr>
        <w:t>月</w:t>
      </w:r>
      <w:r w:rsidR="00E53093" w:rsidRPr="00E53093">
        <w:rPr>
          <w:rFonts w:hint="eastAsia"/>
          <w:lang w:eastAsia="zh-CN"/>
        </w:rPr>
        <w:t>17</w:t>
      </w:r>
      <w:r w:rsidRPr="00E53093">
        <w:rPr>
          <w:rFonts w:hint="eastAsia"/>
          <w:lang w:eastAsia="zh-CN"/>
        </w:rPr>
        <w:t>日</w:t>
      </w:r>
      <w:r w:rsidRPr="008B1EB3">
        <w:rPr>
          <w:rFonts w:hint="eastAsia"/>
          <w:lang w:eastAsia="zh-CN"/>
        </w:rPr>
        <w:t>协调世界时</w:t>
      </w:r>
      <w:r w:rsidRPr="008B1EB3">
        <w:rPr>
          <w:rFonts w:hint="eastAsia"/>
          <w:lang w:eastAsia="zh-CN"/>
        </w:rPr>
        <w:t>24</w:t>
      </w:r>
      <w:r w:rsidRPr="008B1EB3">
        <w:rPr>
          <w:rFonts w:hint="eastAsia"/>
          <w:lang w:eastAsia="zh-CN"/>
        </w:rPr>
        <w:t>时之前告知我，贵主管部门是否同意授权</w:t>
      </w:r>
      <w:r w:rsidR="00E53093" w:rsidRPr="008B1EB3">
        <w:rPr>
          <w:rFonts w:hint="eastAsia"/>
          <w:szCs w:val="22"/>
          <w:lang w:eastAsia="zh-CN"/>
        </w:rPr>
        <w:t>ITU-T</w:t>
      </w:r>
      <w:r w:rsidRPr="008B1EB3">
        <w:rPr>
          <w:rFonts w:hint="eastAsia"/>
          <w:lang w:eastAsia="zh-CN"/>
        </w:rPr>
        <w:t>第</w:t>
      </w:r>
      <w:r w:rsidRPr="008B1EB3">
        <w:rPr>
          <w:rFonts w:hint="eastAsia"/>
          <w:lang w:eastAsia="zh-CN"/>
        </w:rPr>
        <w:t>17</w:t>
      </w:r>
      <w:r w:rsidRPr="008B1EB3">
        <w:rPr>
          <w:rFonts w:hint="eastAsia"/>
          <w:lang w:eastAsia="zh-CN"/>
        </w:rPr>
        <w:t>研究组在该研究组会议上审议并批准上述建议书草案。</w:t>
      </w:r>
    </w:p>
    <w:p w:rsidR="005B7162" w:rsidRPr="008B1EB3" w:rsidRDefault="005B7162" w:rsidP="00E53093">
      <w:pPr>
        <w:ind w:firstLineChars="200" w:firstLine="480"/>
        <w:rPr>
          <w:lang w:eastAsia="zh-CN"/>
        </w:rPr>
      </w:pPr>
      <w:r w:rsidRPr="008B1EB3">
        <w:rPr>
          <w:rFonts w:hint="eastAsia"/>
          <w:lang w:eastAsia="zh-CN"/>
        </w:rPr>
        <w:lastRenderedPageBreak/>
        <w:t>如有成员国认为不应进入审议批准程序，应阐明其反对原因并提出可能的修改意见，以推动对相关建议书草案的进一步审议，以便批准。</w:t>
      </w:r>
    </w:p>
    <w:p w:rsidR="00EC44DB" w:rsidRDefault="005B7162" w:rsidP="00E53093">
      <w:pPr>
        <w:keepNext/>
        <w:keepLines/>
        <w:rPr>
          <w:lang w:eastAsia="zh-CN"/>
        </w:rPr>
      </w:pPr>
      <w:r w:rsidRPr="008B1EB3">
        <w:rPr>
          <w:bCs/>
          <w:lang w:eastAsia="zh-CN"/>
        </w:rPr>
        <w:t>5</w:t>
      </w:r>
      <w:r w:rsidRPr="008B1EB3">
        <w:rPr>
          <w:lang w:eastAsia="zh-CN"/>
        </w:rPr>
        <w:tab/>
      </w:r>
      <w:r w:rsidRPr="008B1EB3">
        <w:rPr>
          <w:rFonts w:hint="eastAsia"/>
          <w:lang w:eastAsia="zh-CN"/>
        </w:rPr>
        <w:t>如果</w:t>
      </w:r>
      <w:r w:rsidRPr="008B1EB3">
        <w:rPr>
          <w:rFonts w:hint="eastAsia"/>
          <w:lang w:eastAsia="zh-CN"/>
        </w:rPr>
        <w:t>70</w:t>
      </w:r>
      <w:r>
        <w:rPr>
          <w:lang w:val="en-US" w:eastAsia="zh-CN"/>
        </w:rPr>
        <w:t>%</w:t>
      </w:r>
      <w:r w:rsidRPr="008B1EB3">
        <w:rPr>
          <w:rFonts w:hint="eastAsia"/>
          <w:lang w:eastAsia="zh-CN"/>
        </w:rPr>
        <w:t>以上的成员国在回复中支持在该研究组会议上审议批准上述建议书草案，则将于</w:t>
      </w:r>
      <w:r w:rsidRPr="00E53093">
        <w:rPr>
          <w:rFonts w:hint="eastAsia"/>
          <w:lang w:eastAsia="zh-CN"/>
        </w:rPr>
        <w:t>2016</w:t>
      </w:r>
      <w:r w:rsidRPr="00E53093">
        <w:rPr>
          <w:rFonts w:hint="eastAsia"/>
          <w:lang w:eastAsia="zh-CN"/>
        </w:rPr>
        <w:t>年</w:t>
      </w:r>
      <w:r w:rsidR="00E53093" w:rsidRPr="00E53093">
        <w:rPr>
          <w:rFonts w:hint="eastAsia"/>
          <w:lang w:eastAsia="zh-CN"/>
        </w:rPr>
        <w:t>9</w:t>
      </w:r>
      <w:r w:rsidRPr="00E53093">
        <w:rPr>
          <w:rFonts w:hint="eastAsia"/>
          <w:lang w:eastAsia="zh-CN"/>
        </w:rPr>
        <w:t>月</w:t>
      </w:r>
      <w:r w:rsidR="00E53093" w:rsidRPr="00E53093">
        <w:rPr>
          <w:rFonts w:hint="eastAsia"/>
          <w:lang w:eastAsia="zh-CN"/>
        </w:rPr>
        <w:t>7</w:t>
      </w:r>
      <w:r w:rsidRPr="00E53093">
        <w:rPr>
          <w:rFonts w:hint="eastAsia"/>
          <w:lang w:eastAsia="zh-CN"/>
        </w:rPr>
        <w:t>日</w:t>
      </w:r>
      <w:r w:rsidRPr="008B1EB3">
        <w:rPr>
          <w:rFonts w:hint="eastAsia"/>
          <w:lang w:eastAsia="zh-CN"/>
        </w:rPr>
        <w:t>召开一次全体会议，实施该批准程序</w:t>
      </w:r>
      <w:r>
        <w:rPr>
          <w:rFonts w:hint="eastAsia"/>
          <w:lang w:eastAsia="zh-CN"/>
        </w:rPr>
        <w:t>。</w:t>
      </w:r>
    </w:p>
    <w:p w:rsidR="005B7162" w:rsidRPr="008B1EB3" w:rsidRDefault="005B7162" w:rsidP="005B7162">
      <w:pPr>
        <w:ind w:firstLineChars="200" w:firstLine="480"/>
        <w:rPr>
          <w:lang w:eastAsia="zh-CN"/>
        </w:rPr>
      </w:pPr>
      <w:r w:rsidRPr="008B1EB3">
        <w:rPr>
          <w:rFonts w:hint="eastAsia"/>
          <w:lang w:eastAsia="zh-CN"/>
        </w:rPr>
        <w:t>为此，我邀请贵主管部门派出一名代表参加会议。</w:t>
      </w:r>
      <w:r w:rsidRPr="00E53093">
        <w:rPr>
          <w:rFonts w:hint="eastAsia"/>
          <w:b/>
          <w:bCs/>
          <w:lang w:eastAsia="zh-CN"/>
        </w:rPr>
        <w:t>请国际电联成员国的主管部门提供其代表团团长的姓名。如果贵主管部门希望由一家经认可的运营机构、一个科学或工业组织或处理电信问题的另一实体作为代表参加会议，则应按照国际电联《公约》第</w:t>
      </w:r>
      <w:r w:rsidRPr="00E53093">
        <w:rPr>
          <w:rFonts w:hint="eastAsia"/>
          <w:b/>
          <w:bCs/>
          <w:lang w:eastAsia="zh-CN"/>
        </w:rPr>
        <w:t>19</w:t>
      </w:r>
      <w:r w:rsidRPr="00E53093">
        <w:rPr>
          <w:rFonts w:hint="eastAsia"/>
          <w:b/>
          <w:bCs/>
          <w:lang w:eastAsia="zh-CN"/>
        </w:rPr>
        <w:t>条第</w:t>
      </w:r>
      <w:r w:rsidRPr="00E53093">
        <w:rPr>
          <w:rFonts w:hint="eastAsia"/>
          <w:b/>
          <w:bCs/>
          <w:lang w:eastAsia="zh-CN"/>
        </w:rPr>
        <w:t>239</w:t>
      </w:r>
      <w:r w:rsidRPr="00E53093">
        <w:rPr>
          <w:rFonts w:hint="eastAsia"/>
          <w:b/>
          <w:bCs/>
          <w:lang w:eastAsia="zh-CN"/>
        </w:rPr>
        <w:t>款的规定，将有关情况适时向主任通报。</w:t>
      </w:r>
    </w:p>
    <w:p w:rsidR="005B7162" w:rsidRPr="008B1EB3" w:rsidRDefault="005B7162" w:rsidP="00E53093">
      <w:pPr>
        <w:rPr>
          <w:lang w:eastAsia="zh-CN"/>
        </w:rPr>
      </w:pPr>
      <w:r w:rsidRPr="008B1EB3">
        <w:rPr>
          <w:bCs/>
          <w:lang w:eastAsia="zh-CN"/>
        </w:rPr>
        <w:t>6</w:t>
      </w:r>
      <w:r w:rsidRPr="008B1EB3">
        <w:rPr>
          <w:lang w:eastAsia="zh-CN"/>
        </w:rPr>
        <w:tab/>
      </w:r>
      <w:r w:rsidRPr="008B1EB3">
        <w:rPr>
          <w:rFonts w:hint="eastAsia"/>
          <w:lang w:eastAsia="zh-CN"/>
        </w:rPr>
        <w:t>有关第</w:t>
      </w:r>
      <w:r w:rsidRPr="008B1EB3">
        <w:rPr>
          <w:rFonts w:hint="eastAsia"/>
          <w:lang w:eastAsia="zh-CN"/>
        </w:rPr>
        <w:t>17</w:t>
      </w:r>
      <w:r w:rsidRPr="008B1EB3">
        <w:rPr>
          <w:rFonts w:hint="eastAsia"/>
          <w:lang w:eastAsia="zh-CN"/>
        </w:rPr>
        <w:t>研究组会议的议程和所有相关信息将在</w:t>
      </w:r>
      <w:r w:rsidR="00E53093" w:rsidRPr="008B1EB3">
        <w:rPr>
          <w:rFonts w:hint="eastAsia"/>
          <w:szCs w:val="22"/>
          <w:lang w:eastAsia="zh-CN"/>
        </w:rPr>
        <w:t>ITU-T</w:t>
      </w:r>
      <w:r w:rsidRPr="008B1EB3">
        <w:rPr>
          <w:rFonts w:hint="eastAsia"/>
          <w:lang w:eastAsia="zh-CN"/>
        </w:rPr>
        <w:t>第</w:t>
      </w:r>
      <w:r w:rsidR="00E53093">
        <w:rPr>
          <w:rFonts w:hint="eastAsia"/>
          <w:lang w:eastAsia="zh-CN"/>
        </w:rPr>
        <w:t>8</w:t>
      </w:r>
      <w:r w:rsidRPr="008B1EB3">
        <w:rPr>
          <w:rFonts w:hint="eastAsia"/>
          <w:lang w:eastAsia="zh-CN"/>
        </w:rPr>
        <w:t>/17</w:t>
      </w:r>
      <w:r w:rsidRPr="008B1EB3">
        <w:rPr>
          <w:rFonts w:hint="eastAsia"/>
          <w:lang w:eastAsia="zh-CN"/>
        </w:rPr>
        <w:t>号集体函中提供。</w:t>
      </w:r>
    </w:p>
    <w:p w:rsidR="005B7162" w:rsidRPr="008B1EB3" w:rsidRDefault="005B7162" w:rsidP="005B7162">
      <w:pPr>
        <w:rPr>
          <w:lang w:eastAsia="zh-CN"/>
        </w:rPr>
      </w:pPr>
      <w:r w:rsidRPr="008B1EB3">
        <w:rPr>
          <w:bCs/>
          <w:lang w:eastAsia="zh-CN"/>
        </w:rPr>
        <w:t>7</w:t>
      </w:r>
      <w:r w:rsidRPr="008B1EB3">
        <w:rPr>
          <w:lang w:eastAsia="zh-CN"/>
        </w:rPr>
        <w:tab/>
      </w:r>
      <w:r w:rsidRPr="008B1EB3">
        <w:rPr>
          <w:rFonts w:hint="eastAsia"/>
          <w:lang w:eastAsia="zh-CN"/>
        </w:rPr>
        <w:t>会后，电信标准化局主任将以通函的形式通报就这份建议书做出的决定。此信息还将在《国际电联操作公报》中公布。</w:t>
      </w:r>
    </w:p>
    <w:p w:rsidR="0063445E" w:rsidRDefault="0063445E" w:rsidP="0063445E">
      <w:pPr>
        <w:spacing w:before="480"/>
        <w:rPr>
          <w:lang w:val="en-US" w:eastAsia="zh-CN"/>
        </w:rPr>
      </w:pPr>
      <w:r>
        <w:rPr>
          <w:rFonts w:hint="eastAsia"/>
          <w:lang w:eastAsia="zh-CN"/>
        </w:rPr>
        <w:t>顺致敬意</w:t>
      </w:r>
      <w:r>
        <w:rPr>
          <w:lang w:val="en-US" w:eastAsia="zh-CN"/>
        </w:rPr>
        <w:t>!</w:t>
      </w:r>
    </w:p>
    <w:p w:rsidR="00C201F4" w:rsidRPr="004663B4" w:rsidRDefault="00C201F4" w:rsidP="0063445E">
      <w:pPr>
        <w:spacing w:before="480"/>
        <w:rPr>
          <w:lang w:val="en-US" w:eastAsia="zh-CN"/>
        </w:rPr>
      </w:pPr>
    </w:p>
    <w:p w:rsidR="008D2E54" w:rsidRPr="00C201F4" w:rsidRDefault="00284869" w:rsidP="00C201F4">
      <w:pPr>
        <w:spacing w:before="480"/>
        <w:rPr>
          <w:rFonts w:ascii="SimSun" w:hAnsi="SimSun"/>
          <w:lang w:eastAsia="zh-CN"/>
        </w:rPr>
      </w:pPr>
      <w:r>
        <w:rPr>
          <w:rFonts w:hint="eastAsia"/>
          <w:lang w:eastAsia="zh-CN"/>
        </w:rPr>
        <w:t>电信标准化局主任</w:t>
      </w:r>
      <w:r>
        <w:rPr>
          <w:lang w:eastAsia="zh-CN"/>
        </w:rPr>
        <w:br/>
      </w:r>
      <w:r w:rsidR="00174E9D">
        <w:rPr>
          <w:rFonts w:ascii="SimSun" w:hAnsi="SimSun" w:hint="eastAsia"/>
          <w:lang w:eastAsia="zh-CN"/>
        </w:rPr>
        <w:t>李在摄</w:t>
      </w:r>
    </w:p>
    <w:p w:rsidR="005B7162" w:rsidRDefault="0063445E" w:rsidP="00C201F4">
      <w:pPr>
        <w:spacing w:before="600"/>
        <w:rPr>
          <w:b/>
          <w:bCs/>
          <w:lang w:eastAsia="zh-CN"/>
        </w:rPr>
      </w:pPr>
      <w:r w:rsidRPr="00D43D86">
        <w:rPr>
          <w:rFonts w:hint="eastAsia"/>
          <w:b/>
          <w:bCs/>
          <w:lang w:eastAsia="zh-CN"/>
        </w:rPr>
        <w:t>附件：</w:t>
      </w:r>
      <w:r w:rsidR="00EC44DB">
        <w:rPr>
          <w:rFonts w:hint="eastAsia"/>
          <w:b/>
          <w:bCs/>
          <w:lang w:eastAsia="zh-CN"/>
        </w:rPr>
        <w:t>1</w:t>
      </w:r>
      <w:r w:rsidR="009424FC">
        <w:rPr>
          <w:rFonts w:hint="eastAsia"/>
          <w:b/>
          <w:bCs/>
          <w:lang w:eastAsia="zh-CN"/>
        </w:rPr>
        <w:t>件</w:t>
      </w:r>
    </w:p>
    <w:p w:rsidR="005B7162" w:rsidRDefault="005B7162">
      <w:pPr>
        <w:tabs>
          <w:tab w:val="clear" w:pos="794"/>
          <w:tab w:val="clear" w:pos="1191"/>
          <w:tab w:val="clear" w:pos="1588"/>
          <w:tab w:val="clear" w:pos="1985"/>
        </w:tabs>
        <w:overflowPunct/>
        <w:autoSpaceDE/>
        <w:autoSpaceDN/>
        <w:adjustRightInd/>
        <w:spacing w:before="0"/>
        <w:textAlignment w:val="auto"/>
        <w:rPr>
          <w:b/>
          <w:bCs/>
          <w:lang w:eastAsia="zh-CN"/>
        </w:rPr>
      </w:pPr>
      <w:r>
        <w:rPr>
          <w:b/>
          <w:bCs/>
          <w:lang w:eastAsia="zh-CN"/>
        </w:rPr>
        <w:br w:type="page"/>
      </w:r>
    </w:p>
    <w:p w:rsidR="005B7162" w:rsidRPr="00607996" w:rsidRDefault="005B7162" w:rsidP="00E53093">
      <w:pPr>
        <w:pStyle w:val="AnnexNo"/>
        <w:rPr>
          <w:rFonts w:ascii="Calibri" w:hAnsi="Calibri"/>
          <w:b/>
          <w:bCs/>
          <w:lang w:val="en-US" w:eastAsia="zh-CN"/>
        </w:rPr>
      </w:pPr>
      <w:bookmarkStart w:id="3" w:name="_GoBack"/>
      <w:bookmarkEnd w:id="3"/>
      <w:r w:rsidRPr="00607996">
        <w:rPr>
          <w:rFonts w:ascii="Calibri" w:hAnsi="Calibri"/>
          <w:b/>
          <w:bCs/>
          <w:lang w:val="en-US" w:eastAsia="zh-CN"/>
        </w:rPr>
        <w:lastRenderedPageBreak/>
        <w:t>附件</w:t>
      </w:r>
      <w:r w:rsidRPr="00607996">
        <w:rPr>
          <w:rFonts w:ascii="Calibri" w:hAnsi="Calibri"/>
          <w:b/>
          <w:bCs/>
          <w:lang w:val="en-US" w:eastAsia="zh-CN"/>
        </w:rPr>
        <w:t>1</w:t>
      </w:r>
      <w:r w:rsidRPr="00607996">
        <w:rPr>
          <w:rFonts w:ascii="Calibri" w:hAnsi="Calibri"/>
          <w:b/>
          <w:bCs/>
          <w:lang w:val="en-US" w:eastAsia="zh-CN"/>
        </w:rPr>
        <w:br/>
      </w:r>
      <w:r w:rsidRPr="00607996">
        <w:rPr>
          <w:rFonts w:ascii="Calibri" w:hAnsi="Calibri"/>
          <w:b/>
          <w:bCs/>
          <w:lang w:val="en-US" w:eastAsia="zh-CN"/>
        </w:rPr>
        <w:t>（附于电信标准化局第</w:t>
      </w:r>
      <w:r w:rsidR="00E53093" w:rsidRPr="00607996">
        <w:rPr>
          <w:rFonts w:ascii="Calibri" w:hAnsi="Calibri" w:hint="eastAsia"/>
          <w:b/>
          <w:bCs/>
          <w:lang w:val="en-US" w:eastAsia="zh-CN"/>
        </w:rPr>
        <w:t>21</w:t>
      </w:r>
      <w:r w:rsidRPr="00607996">
        <w:rPr>
          <w:rFonts w:ascii="Calibri" w:hAnsi="Calibri"/>
          <w:b/>
          <w:bCs/>
          <w:lang w:val="en-US" w:eastAsia="zh-CN"/>
        </w:rPr>
        <w:t>4</w:t>
      </w:r>
      <w:r w:rsidRPr="00607996">
        <w:rPr>
          <w:rFonts w:ascii="Calibri" w:hAnsi="Calibri"/>
          <w:b/>
          <w:bCs/>
          <w:lang w:val="en-US" w:eastAsia="zh-CN"/>
        </w:rPr>
        <w:t>号通函）</w:t>
      </w:r>
    </w:p>
    <w:p w:rsidR="005B7162" w:rsidRPr="008B1EB3" w:rsidRDefault="005B7162" w:rsidP="00EC44DB">
      <w:pPr>
        <w:pStyle w:val="Annextitle"/>
        <w:rPr>
          <w:szCs w:val="24"/>
          <w:lang w:val="en-US" w:eastAsia="zh-CN"/>
        </w:rPr>
      </w:pPr>
      <w:r w:rsidRPr="008B1EB3">
        <w:rPr>
          <w:rFonts w:hint="eastAsia"/>
          <w:bCs/>
          <w:szCs w:val="24"/>
          <w:lang w:val="en-US" w:eastAsia="zh-CN"/>
        </w:rPr>
        <w:t>案文摘要和出处</w:t>
      </w:r>
    </w:p>
    <w:p w:rsidR="00E53093" w:rsidRPr="00B845F9" w:rsidRDefault="00E53093" w:rsidP="008D2E54">
      <w:pPr>
        <w:pStyle w:val="Heading1"/>
        <w:rPr>
          <w:lang w:val="en-US" w:eastAsia="zh-CN"/>
        </w:rPr>
      </w:pPr>
      <w:r w:rsidRPr="00B845F9">
        <w:rPr>
          <w:lang w:val="en-US" w:eastAsia="zh-CN"/>
        </w:rPr>
        <w:t>1</w:t>
      </w:r>
      <w:r w:rsidRPr="00B845F9">
        <w:rPr>
          <w:lang w:val="en-US" w:eastAsia="zh-CN"/>
        </w:rPr>
        <w:tab/>
        <w:t>ITU-T X.1258 (ex X.eaaa)</w:t>
      </w:r>
      <w:r>
        <w:rPr>
          <w:rFonts w:eastAsiaTheme="minorEastAsia" w:hint="eastAsia"/>
          <w:lang w:val="fr-CH" w:eastAsia="zh-CN"/>
        </w:rPr>
        <w:t>新建议书草案</w:t>
      </w:r>
      <w:r w:rsidRPr="00B845F9">
        <w:rPr>
          <w:lang w:val="en-US" w:eastAsia="zh-CN"/>
        </w:rPr>
        <w:t>(</w:t>
      </w:r>
      <w:hyperlink r:id="rId11" w:history="1">
        <w:r w:rsidRPr="00B845F9">
          <w:rPr>
            <w:rStyle w:val="Hyperlink"/>
            <w:lang w:val="en-US" w:eastAsia="zh-CN"/>
          </w:rPr>
          <w:t>R 64</w:t>
        </w:r>
      </w:hyperlink>
      <w:r w:rsidRPr="00B845F9">
        <w:rPr>
          <w:lang w:val="en-US" w:eastAsia="zh-CN"/>
        </w:rPr>
        <w:t>)</w:t>
      </w:r>
    </w:p>
    <w:p w:rsidR="00E53093" w:rsidRPr="003E5744" w:rsidRDefault="00E53093" w:rsidP="00BD08A0">
      <w:pPr>
        <w:ind w:firstLineChars="200" w:firstLine="482"/>
        <w:rPr>
          <w:b/>
          <w:bCs/>
          <w:lang w:eastAsia="zh-CN"/>
        </w:rPr>
      </w:pPr>
      <w:r w:rsidRPr="00E53093">
        <w:rPr>
          <w:rFonts w:hint="eastAsia"/>
          <w:b/>
          <w:bCs/>
          <w:lang w:eastAsia="zh-CN"/>
        </w:rPr>
        <w:t>基于聚合属性的增强型实体验证</w:t>
      </w:r>
    </w:p>
    <w:p w:rsidR="00BD08A0" w:rsidRPr="003A3FCE" w:rsidRDefault="00BD08A0" w:rsidP="00BD08A0">
      <w:pPr>
        <w:pStyle w:val="Headingb"/>
        <w:rPr>
          <w:lang w:eastAsia="zh-CN"/>
        </w:rPr>
      </w:pPr>
      <w:r>
        <w:rPr>
          <w:rFonts w:ascii="SimSun" w:hAnsi="SimSun" w:cs="SimSun" w:hint="eastAsia"/>
          <w:lang w:eastAsia="zh-CN"/>
        </w:rPr>
        <w:t>摘</w:t>
      </w:r>
      <w:r w:rsidRPr="003A3FCE">
        <w:rPr>
          <w:rFonts w:hint="eastAsia"/>
          <w:lang w:eastAsia="zh-CN"/>
        </w:rPr>
        <w:t>要</w:t>
      </w:r>
    </w:p>
    <w:p w:rsidR="00E53093" w:rsidRDefault="00B845F9" w:rsidP="00BD08A0">
      <w:pPr>
        <w:ind w:firstLineChars="200" w:firstLine="480"/>
        <w:rPr>
          <w:lang w:eastAsia="zh-CN"/>
        </w:rPr>
      </w:pPr>
      <w:r>
        <w:rPr>
          <w:rFonts w:hint="eastAsia"/>
          <w:lang w:eastAsia="zh-CN"/>
        </w:rPr>
        <w:t>可能确有必要利用多属性机构提供的聚合属性，提升依赖方对其它方身份的信任度。聚合可视作必须处理一系列适用于全局的唯一标识符，这在所有属性机构之间十分常见。实践过程中，各实体并无全局统一的标识，而是拥有不同的实体标识和其它各种实体业务提供商（</w:t>
      </w:r>
      <w:r>
        <w:rPr>
          <w:lang w:eastAsia="zh-CN"/>
        </w:rPr>
        <w:t>IdSP</w:t>
      </w:r>
      <w:r>
        <w:rPr>
          <w:rFonts w:hint="eastAsia"/>
          <w:lang w:eastAsia="zh-CN"/>
        </w:rPr>
        <w:t>）分配的属性。为解决此方案中的属性聚合问题，</w:t>
      </w:r>
      <w:r w:rsidR="00BD08A0">
        <w:rPr>
          <w:rFonts w:hint="eastAsia"/>
          <w:lang w:eastAsia="zh-CN"/>
        </w:rPr>
        <w:t>本文</w:t>
      </w:r>
      <w:r>
        <w:rPr>
          <w:rFonts w:hint="eastAsia"/>
          <w:lang w:eastAsia="zh-CN"/>
        </w:rPr>
        <w:t>使用了身份联盟的概念。例如，</w:t>
      </w:r>
      <w:r w:rsidR="00BD08A0">
        <w:rPr>
          <w:rFonts w:hint="eastAsia"/>
          <w:lang w:eastAsia="zh-CN"/>
        </w:rPr>
        <w:t>若</w:t>
      </w:r>
      <w:r>
        <w:rPr>
          <w:rFonts w:hint="eastAsia"/>
          <w:lang w:eastAsia="zh-CN"/>
        </w:rPr>
        <w:t>某网上书店计划向老年人出售产品，</w:t>
      </w:r>
      <w:r w:rsidR="00BD08A0">
        <w:rPr>
          <w:rFonts w:hint="eastAsia"/>
          <w:lang w:eastAsia="zh-CN"/>
        </w:rPr>
        <w:t>则</w:t>
      </w:r>
      <w:r>
        <w:rPr>
          <w:rFonts w:hint="eastAsia"/>
          <w:lang w:eastAsia="zh-CN"/>
        </w:rPr>
        <w:t>该商店必须由</w:t>
      </w:r>
      <w:r>
        <w:rPr>
          <w:lang w:eastAsia="zh-CN"/>
        </w:rPr>
        <w:t>IdSP</w:t>
      </w:r>
      <w:r>
        <w:rPr>
          <w:rFonts w:hint="eastAsia"/>
          <w:lang w:eastAsia="zh-CN"/>
        </w:rPr>
        <w:t>分配一套聚合属性（信用卡和年龄段），但各</w:t>
      </w:r>
      <w:r w:rsidR="00E53093">
        <w:rPr>
          <w:lang w:eastAsia="zh-CN"/>
        </w:rPr>
        <w:t>IdSP</w:t>
      </w:r>
      <w:r>
        <w:rPr>
          <w:rFonts w:hint="eastAsia"/>
          <w:lang w:eastAsia="zh-CN"/>
        </w:rPr>
        <w:t>之间相互并不了解对方的参与情况。</w:t>
      </w:r>
      <w:r w:rsidR="00127D00">
        <w:rPr>
          <w:rFonts w:hint="eastAsia"/>
          <w:lang w:eastAsia="zh-CN"/>
        </w:rPr>
        <w:t>在标准的联盟身份管理中，某实体只能提供来自一个身份的属性，但此交易要求两个实体均提供属性。目前存在多种身份联盟方法，例如</w:t>
      </w:r>
      <w:r w:rsidR="00127D00" w:rsidRPr="00127D00">
        <w:rPr>
          <w:rFonts w:hint="eastAsia"/>
          <w:lang w:eastAsia="zh-CN"/>
        </w:rPr>
        <w:t>安全断言标</w:t>
      </w:r>
      <w:r w:rsidR="00127D00">
        <w:rPr>
          <w:rFonts w:hint="eastAsia"/>
          <w:lang w:eastAsia="zh-CN"/>
        </w:rPr>
        <w:t>识</w:t>
      </w:r>
      <w:r w:rsidR="00127D00" w:rsidRPr="00127D00">
        <w:rPr>
          <w:rFonts w:hint="eastAsia"/>
          <w:lang w:eastAsia="zh-CN"/>
        </w:rPr>
        <w:t>语言</w:t>
      </w:r>
      <w:r w:rsidR="00E53093">
        <w:rPr>
          <w:lang w:eastAsia="zh-CN"/>
        </w:rPr>
        <w:t xml:space="preserve"> (SAML)</w:t>
      </w:r>
      <w:r w:rsidR="00127D00">
        <w:rPr>
          <w:rFonts w:hint="eastAsia"/>
          <w:lang w:eastAsia="zh-CN"/>
        </w:rPr>
        <w:t>、</w:t>
      </w:r>
      <w:r w:rsidR="00E53093">
        <w:rPr>
          <w:lang w:eastAsia="zh-CN"/>
        </w:rPr>
        <w:t>Shibboleth [b-Shibboleth]</w:t>
      </w:r>
      <w:r w:rsidR="00127D00">
        <w:rPr>
          <w:rFonts w:hint="eastAsia"/>
          <w:lang w:eastAsia="zh-CN"/>
        </w:rPr>
        <w:t>、公开身份</w:t>
      </w:r>
      <w:r w:rsidR="00BD08A0">
        <w:rPr>
          <w:rFonts w:hint="eastAsia"/>
          <w:lang w:eastAsia="zh-CN"/>
        </w:rPr>
        <w:t>（</w:t>
      </w:r>
      <w:r w:rsidR="00E53093">
        <w:rPr>
          <w:lang w:eastAsia="zh-CN"/>
        </w:rPr>
        <w:t>OpenID</w:t>
      </w:r>
      <w:r w:rsidR="00BD08A0">
        <w:rPr>
          <w:rFonts w:hint="eastAsia"/>
          <w:lang w:eastAsia="zh-CN"/>
        </w:rPr>
        <w:t>）</w:t>
      </w:r>
      <w:r w:rsidR="00127D00">
        <w:rPr>
          <w:rFonts w:hint="eastAsia"/>
          <w:lang w:eastAsia="zh-CN"/>
        </w:rPr>
        <w:t>和公开鉴权</w:t>
      </w:r>
      <w:r w:rsidR="00BD08A0">
        <w:rPr>
          <w:rFonts w:hint="eastAsia"/>
          <w:lang w:eastAsia="zh-CN"/>
        </w:rPr>
        <w:t>（</w:t>
      </w:r>
      <w:r w:rsidR="00E53093">
        <w:rPr>
          <w:lang w:eastAsia="zh-CN"/>
        </w:rPr>
        <w:t>OAuth</w:t>
      </w:r>
      <w:r w:rsidR="00BD08A0">
        <w:rPr>
          <w:rFonts w:hint="eastAsia"/>
          <w:lang w:eastAsia="zh-CN"/>
        </w:rPr>
        <w:t>）</w:t>
      </w:r>
      <w:r w:rsidR="00127D00">
        <w:rPr>
          <w:rFonts w:hint="eastAsia"/>
          <w:lang w:eastAsia="zh-CN"/>
        </w:rPr>
        <w:t>等。</w:t>
      </w:r>
      <w:r w:rsidR="00E53093">
        <w:rPr>
          <w:lang w:eastAsia="zh-CN"/>
        </w:rPr>
        <w:t>ITU-T X.1258 (X.eaaa)</w:t>
      </w:r>
      <w:r w:rsidR="00127D00">
        <w:rPr>
          <w:rFonts w:hint="eastAsia"/>
          <w:lang w:eastAsia="zh-CN"/>
        </w:rPr>
        <w:t>建议书引入了属性聚合概念，使实体能够聚合来自多个</w:t>
      </w:r>
      <w:r w:rsidR="00E53093">
        <w:rPr>
          <w:lang w:eastAsia="zh-CN"/>
        </w:rPr>
        <w:t>IdSP</w:t>
      </w:r>
      <w:r w:rsidR="00127D00">
        <w:rPr>
          <w:rFonts w:hint="eastAsia"/>
          <w:lang w:eastAsia="zh-CN"/>
        </w:rPr>
        <w:t>的属性。属性聚合是一种收集某实体从多个身份服务提供商那里检索到的属性的机制。属性聚合可用于按需动态汇聚各种属性。当某实体希望获得服务时，</w:t>
      </w:r>
      <w:r w:rsidR="00E53093">
        <w:rPr>
          <w:lang w:eastAsia="zh-CN"/>
        </w:rPr>
        <w:t>IdSP</w:t>
      </w:r>
      <w:r w:rsidR="00127D00">
        <w:rPr>
          <w:rFonts w:hint="eastAsia"/>
          <w:lang w:eastAsia="zh-CN"/>
        </w:rPr>
        <w:t>可实现聚合请求。此外，以实体为中心的属性聚合机制亦可用于缓解隐私泄露的鉴权。</w:t>
      </w:r>
    </w:p>
    <w:p w:rsidR="00E53093" w:rsidRPr="00D83BD7" w:rsidRDefault="00E53093" w:rsidP="00BD08A0">
      <w:pPr>
        <w:pStyle w:val="Heading1"/>
        <w:spacing w:line="360" w:lineRule="auto"/>
        <w:rPr>
          <w:lang w:val="fr-CH" w:eastAsia="zh-CN"/>
        </w:rPr>
      </w:pPr>
      <w:r w:rsidRPr="00D83BD7">
        <w:rPr>
          <w:lang w:val="fr-CH" w:eastAsia="zh-CN"/>
        </w:rPr>
        <w:t>2</w:t>
      </w:r>
      <w:r w:rsidRPr="00D83BD7">
        <w:rPr>
          <w:lang w:val="fr-CH" w:eastAsia="zh-CN"/>
        </w:rPr>
        <w:tab/>
        <w:t>ITU-T X.1542 (ex X.simef)</w:t>
      </w:r>
      <w:r w:rsidR="00127D00">
        <w:rPr>
          <w:rFonts w:eastAsiaTheme="minorEastAsia" w:hint="eastAsia"/>
          <w:lang w:val="fr-CH" w:eastAsia="zh-CN"/>
        </w:rPr>
        <w:t>新建议书草案</w:t>
      </w:r>
      <w:r w:rsidRPr="00D83BD7">
        <w:rPr>
          <w:lang w:val="fr-CH" w:eastAsia="zh-CN"/>
        </w:rPr>
        <w:t>(</w:t>
      </w:r>
      <w:hyperlink r:id="rId12" w:history="1">
        <w:r w:rsidRPr="00D83BD7">
          <w:rPr>
            <w:rStyle w:val="Hyperlink"/>
            <w:lang w:val="fr-CH" w:eastAsia="zh-CN"/>
          </w:rPr>
          <w:t>R 61</w:t>
        </w:r>
      </w:hyperlink>
      <w:r w:rsidRPr="00D83BD7">
        <w:rPr>
          <w:lang w:val="fr-CH" w:eastAsia="zh-CN"/>
        </w:rPr>
        <w:t>)</w:t>
      </w:r>
    </w:p>
    <w:p w:rsidR="00E53093" w:rsidRPr="00BD08A0" w:rsidRDefault="00127D00" w:rsidP="00BD08A0">
      <w:pPr>
        <w:ind w:firstLineChars="200" w:firstLine="482"/>
        <w:rPr>
          <w:b/>
          <w:bCs/>
          <w:lang w:eastAsia="zh-CN"/>
        </w:rPr>
      </w:pPr>
      <w:r w:rsidRPr="00BD08A0">
        <w:rPr>
          <w:rFonts w:hint="eastAsia"/>
          <w:b/>
          <w:bCs/>
          <w:lang w:eastAsia="zh-CN"/>
        </w:rPr>
        <w:t>会话信息的消息交换格式</w:t>
      </w:r>
    </w:p>
    <w:p w:rsidR="00BD08A0" w:rsidRPr="003A3FCE" w:rsidRDefault="00BD08A0" w:rsidP="00BD08A0">
      <w:pPr>
        <w:pStyle w:val="Headingb"/>
        <w:rPr>
          <w:lang w:eastAsia="zh-CN"/>
        </w:rPr>
      </w:pPr>
      <w:r>
        <w:rPr>
          <w:rFonts w:ascii="SimSun" w:hAnsi="SimSun" w:cs="SimSun" w:hint="eastAsia"/>
          <w:lang w:eastAsia="zh-CN"/>
        </w:rPr>
        <w:t>摘</w:t>
      </w:r>
      <w:r w:rsidRPr="003A3FCE">
        <w:rPr>
          <w:rFonts w:hint="eastAsia"/>
          <w:lang w:eastAsia="zh-CN"/>
        </w:rPr>
        <w:t>要</w:t>
      </w:r>
    </w:p>
    <w:p w:rsidR="00E53093" w:rsidRDefault="00127D00" w:rsidP="00BD08A0">
      <w:pPr>
        <w:ind w:firstLineChars="200" w:firstLine="480"/>
        <w:rPr>
          <w:lang w:eastAsia="zh-CN"/>
        </w:rPr>
      </w:pPr>
      <w:r>
        <w:rPr>
          <w:rFonts w:hint="eastAsia"/>
          <w:lang w:eastAsia="zh-CN"/>
        </w:rPr>
        <w:t>在当今的网络环境下，计算机网络可能</w:t>
      </w:r>
      <w:r w:rsidR="00952C50">
        <w:rPr>
          <w:rFonts w:hint="eastAsia"/>
          <w:lang w:eastAsia="zh-CN"/>
        </w:rPr>
        <w:t>同时</w:t>
      </w:r>
      <w:r>
        <w:rPr>
          <w:rFonts w:hint="eastAsia"/>
          <w:lang w:eastAsia="zh-CN"/>
        </w:rPr>
        <w:t>会受到来自组织内外的</w:t>
      </w:r>
      <w:r w:rsidR="00952C50">
        <w:rPr>
          <w:rFonts w:hint="eastAsia"/>
          <w:lang w:eastAsia="zh-CN"/>
        </w:rPr>
        <w:t>威胁。防火墙系统负责记录选定的出入向传输控制协议</w:t>
      </w:r>
      <w:r w:rsidR="00952C50">
        <w:rPr>
          <w:lang w:eastAsia="zh-CN"/>
        </w:rPr>
        <w:t>/</w:t>
      </w:r>
      <w:r w:rsidR="00952C50">
        <w:rPr>
          <w:rFonts w:hint="eastAsia"/>
          <w:lang w:eastAsia="zh-CN"/>
        </w:rPr>
        <w:t>互联网协议</w:t>
      </w:r>
      <w:r w:rsidR="00952C50">
        <w:rPr>
          <w:lang w:eastAsia="zh-CN"/>
        </w:rPr>
        <w:t>(TCP/IP)</w:t>
      </w:r>
      <w:r w:rsidR="00952C50">
        <w:rPr>
          <w:rFonts w:hint="eastAsia"/>
          <w:lang w:eastAsia="zh-CN"/>
        </w:rPr>
        <w:t>连接的会话信息。但是，目前</w:t>
      </w:r>
      <w:r w:rsidR="00BD08A0">
        <w:rPr>
          <w:rFonts w:hint="eastAsia"/>
          <w:lang w:eastAsia="zh-CN"/>
        </w:rPr>
        <w:t>提供</w:t>
      </w:r>
      <w:r w:rsidR="00952C50">
        <w:rPr>
          <w:rFonts w:hint="eastAsia"/>
          <w:lang w:eastAsia="zh-CN"/>
        </w:rPr>
        <w:t>的这些系统通常无法实现互</w:t>
      </w:r>
      <w:r w:rsidR="00BD08A0">
        <w:rPr>
          <w:rFonts w:hint="eastAsia"/>
          <w:lang w:eastAsia="zh-CN"/>
        </w:rPr>
        <w:t>操作，因为各系统</w:t>
      </w:r>
      <w:r w:rsidR="00952C50">
        <w:rPr>
          <w:rFonts w:hint="eastAsia"/>
          <w:lang w:eastAsia="zh-CN"/>
        </w:rPr>
        <w:t>均有自身独特的功能、控制机制和会话日志格式。大多数安全管理员现今面临的需求是，在不同防火墙系统甚至是不同基础设施之间保持一致的会话信息交换格式。</w:t>
      </w:r>
      <w:r w:rsidR="00E53093">
        <w:rPr>
          <w:lang w:eastAsia="zh-CN"/>
        </w:rPr>
        <w:t>ITU-T X.1542 (X.simef)</w:t>
      </w:r>
      <w:r w:rsidR="00952C50">
        <w:rPr>
          <w:rFonts w:hint="eastAsia"/>
          <w:lang w:eastAsia="zh-CN"/>
        </w:rPr>
        <w:t>建议书阐述了</w:t>
      </w:r>
      <w:r w:rsidR="00952C50" w:rsidRPr="00952C50">
        <w:rPr>
          <w:rFonts w:hint="eastAsia"/>
          <w:lang w:eastAsia="zh-CN"/>
        </w:rPr>
        <w:t>会话信息的消息交换格式（</w:t>
      </w:r>
      <w:r w:rsidR="00952C50" w:rsidRPr="00952C50">
        <w:rPr>
          <w:rFonts w:hint="eastAsia"/>
          <w:lang w:eastAsia="zh-CN"/>
        </w:rPr>
        <w:t>SIMEF</w:t>
      </w:r>
      <w:r w:rsidR="00952C50" w:rsidRPr="00952C50">
        <w:rPr>
          <w:rFonts w:hint="eastAsia"/>
          <w:lang w:eastAsia="zh-CN"/>
        </w:rPr>
        <w:t>）</w:t>
      </w:r>
      <w:r w:rsidR="00952C50">
        <w:rPr>
          <w:rFonts w:hint="eastAsia"/>
          <w:lang w:eastAsia="zh-CN"/>
        </w:rPr>
        <w:t>的信息模型，并提供了使用扩展标识语言</w:t>
      </w:r>
      <w:r w:rsidR="00952C50">
        <w:rPr>
          <w:lang w:eastAsia="zh-CN"/>
        </w:rPr>
        <w:t>(XML)</w:t>
      </w:r>
      <w:r w:rsidR="00952C50">
        <w:rPr>
          <w:rFonts w:hint="eastAsia"/>
          <w:lang w:eastAsia="zh-CN"/>
        </w:rPr>
        <w:t>方案描</w:t>
      </w:r>
      <w:r w:rsidR="00952C50">
        <w:rPr>
          <w:rFonts w:hint="eastAsia"/>
          <w:lang w:eastAsia="zh-CN"/>
        </w:rPr>
        <w:lastRenderedPageBreak/>
        <w:t>述的相关数据模型。</w:t>
      </w:r>
      <w:r w:rsidR="00E53093">
        <w:rPr>
          <w:lang w:eastAsia="zh-CN"/>
        </w:rPr>
        <w:t>SIMEF</w:t>
      </w:r>
      <w:r w:rsidR="00952C50">
        <w:rPr>
          <w:rFonts w:hint="eastAsia"/>
          <w:lang w:eastAsia="zh-CN"/>
        </w:rPr>
        <w:t>为分享有关集中式网络安全管理和安全信息交换系统的传输层会话日志信息，定义了一种数据</w:t>
      </w:r>
      <w:r w:rsidR="0081272B">
        <w:rPr>
          <w:rFonts w:hint="eastAsia"/>
          <w:lang w:eastAsia="zh-CN"/>
        </w:rPr>
        <w:t>模型表达方法。所有传输协议的规范</w:t>
      </w:r>
      <w:r w:rsidR="00BD08A0">
        <w:rPr>
          <w:rFonts w:hint="eastAsia"/>
          <w:lang w:eastAsia="zh-CN"/>
        </w:rPr>
        <w:t>均</w:t>
      </w:r>
      <w:r w:rsidR="0081272B">
        <w:rPr>
          <w:rFonts w:hint="eastAsia"/>
          <w:lang w:eastAsia="zh-CN"/>
        </w:rPr>
        <w:t>不属于本建议书的讨论范围。</w:t>
      </w:r>
      <w:r w:rsidR="00E53093">
        <w:rPr>
          <w:lang w:eastAsia="zh-CN"/>
        </w:rPr>
        <w:t xml:space="preserve"> </w:t>
      </w:r>
    </w:p>
    <w:p w:rsidR="00E53093" w:rsidRPr="0081272B" w:rsidRDefault="00E53093" w:rsidP="00BD08A0">
      <w:pPr>
        <w:pStyle w:val="Heading1"/>
        <w:spacing w:line="360" w:lineRule="auto"/>
        <w:rPr>
          <w:lang w:eastAsia="zh-CN"/>
        </w:rPr>
      </w:pPr>
      <w:r w:rsidRPr="0081272B">
        <w:rPr>
          <w:lang w:eastAsia="zh-CN"/>
        </w:rPr>
        <w:t>3</w:t>
      </w:r>
      <w:r w:rsidRPr="0081272B">
        <w:rPr>
          <w:lang w:eastAsia="zh-CN"/>
        </w:rPr>
        <w:tab/>
        <w:t>ITU-T X.1641 (ex X.CSCDataSec)</w:t>
      </w:r>
      <w:r w:rsidR="0081272B">
        <w:rPr>
          <w:rFonts w:eastAsiaTheme="minorEastAsia" w:hint="eastAsia"/>
          <w:lang w:val="fr-CH" w:eastAsia="zh-CN"/>
        </w:rPr>
        <w:t>新建议书草案</w:t>
      </w:r>
      <w:r w:rsidRPr="0081272B">
        <w:rPr>
          <w:lang w:eastAsia="zh-CN"/>
        </w:rPr>
        <w:t>(</w:t>
      </w:r>
      <w:hyperlink r:id="rId13" w:history="1">
        <w:r w:rsidRPr="0081272B">
          <w:rPr>
            <w:rStyle w:val="Hyperlink"/>
            <w:lang w:eastAsia="zh-CN"/>
          </w:rPr>
          <w:t>R 63</w:t>
        </w:r>
      </w:hyperlink>
      <w:r w:rsidRPr="0081272B">
        <w:rPr>
          <w:lang w:eastAsia="zh-CN"/>
        </w:rPr>
        <w:t>)</w:t>
      </w:r>
    </w:p>
    <w:p w:rsidR="00E53093" w:rsidRPr="00BD08A0" w:rsidRDefault="0081272B" w:rsidP="00BD08A0">
      <w:pPr>
        <w:ind w:firstLineChars="200" w:firstLine="482"/>
        <w:rPr>
          <w:b/>
          <w:bCs/>
          <w:lang w:eastAsia="zh-CN"/>
        </w:rPr>
      </w:pPr>
      <w:r w:rsidRPr="00BD08A0">
        <w:rPr>
          <w:rFonts w:hint="eastAsia"/>
          <w:b/>
          <w:bCs/>
          <w:lang w:eastAsia="zh-CN"/>
        </w:rPr>
        <w:t>云业务客户数据安全性导则</w:t>
      </w:r>
    </w:p>
    <w:p w:rsidR="00BD08A0" w:rsidRPr="003A3FCE" w:rsidRDefault="00BD08A0" w:rsidP="00BD08A0">
      <w:pPr>
        <w:pStyle w:val="Headingb"/>
        <w:rPr>
          <w:lang w:eastAsia="zh-CN"/>
        </w:rPr>
      </w:pPr>
      <w:r>
        <w:rPr>
          <w:rFonts w:ascii="SimSun" w:hAnsi="SimSun" w:cs="SimSun" w:hint="eastAsia"/>
          <w:lang w:eastAsia="zh-CN"/>
        </w:rPr>
        <w:t>摘</w:t>
      </w:r>
      <w:r w:rsidRPr="003A3FCE">
        <w:rPr>
          <w:rFonts w:hint="eastAsia"/>
          <w:lang w:eastAsia="zh-CN"/>
        </w:rPr>
        <w:t>要</w:t>
      </w:r>
    </w:p>
    <w:p w:rsidR="00E53093" w:rsidRDefault="00E53093" w:rsidP="00467EDA">
      <w:pPr>
        <w:ind w:firstLineChars="200" w:firstLine="480"/>
        <w:rPr>
          <w:lang w:eastAsia="zh-CN"/>
        </w:rPr>
      </w:pPr>
      <w:r>
        <w:rPr>
          <w:lang w:eastAsia="zh-CN"/>
        </w:rPr>
        <w:t>ITU-T X.1641 (X.CSCdataSec)</w:t>
      </w:r>
      <w:r w:rsidR="0081272B">
        <w:rPr>
          <w:rFonts w:hint="eastAsia"/>
          <w:lang w:eastAsia="zh-CN"/>
        </w:rPr>
        <w:t>建议书为云计算的云业务客户</w:t>
      </w:r>
      <w:r w:rsidR="00467EDA">
        <w:rPr>
          <w:rFonts w:hint="eastAsia"/>
          <w:lang w:eastAsia="zh-CN"/>
        </w:rPr>
        <w:t>（</w:t>
      </w:r>
      <w:r w:rsidR="0081272B">
        <w:rPr>
          <w:lang w:eastAsia="zh-CN"/>
        </w:rPr>
        <w:t>CSC</w:t>
      </w:r>
      <w:r w:rsidR="00467EDA">
        <w:rPr>
          <w:rFonts w:hint="eastAsia"/>
          <w:lang w:eastAsia="zh-CN"/>
        </w:rPr>
        <w:t>）</w:t>
      </w:r>
      <w:r w:rsidR="0081272B">
        <w:rPr>
          <w:rFonts w:hint="eastAsia"/>
          <w:lang w:eastAsia="zh-CN"/>
        </w:rPr>
        <w:t>数据安全性制定了通用导则。导则分析了</w:t>
      </w:r>
      <w:r>
        <w:rPr>
          <w:lang w:eastAsia="zh-CN"/>
        </w:rPr>
        <w:t>CSC</w:t>
      </w:r>
      <w:r w:rsidR="0081272B">
        <w:rPr>
          <w:rFonts w:hint="eastAsia"/>
          <w:lang w:eastAsia="zh-CN"/>
        </w:rPr>
        <w:t>数据安全性的生命周期并对数据生命周期内的各个阶段提出了安全要求。此外，建议书就何时应将各种控制应用于最佳安全实践，提出了指导原则。</w:t>
      </w:r>
    </w:p>
    <w:p w:rsidR="0063445E" w:rsidRPr="000D6324" w:rsidRDefault="005B7162" w:rsidP="000D6324">
      <w:pPr>
        <w:jc w:val="center"/>
      </w:pPr>
      <w:r>
        <w:t>______________</w:t>
      </w:r>
    </w:p>
    <w:sectPr w:rsidR="0063445E" w:rsidRPr="000D6324">
      <w:headerReference w:type="default" r:id="rId14"/>
      <w:footerReference w:type="default" r:id="rId15"/>
      <w:footerReference w:type="first" r:id="rId16"/>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20EE" w:rsidRDefault="005E20EE">
      <w:r>
        <w:separator/>
      </w:r>
    </w:p>
  </w:endnote>
  <w:endnote w:type="continuationSeparator" w:id="0">
    <w:p w:rsidR="005E20EE" w:rsidRDefault="005E2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E54" w:rsidRPr="00607996" w:rsidRDefault="00607996" w:rsidP="00607996">
    <w:pPr>
      <w:tabs>
        <w:tab w:val="clear" w:pos="794"/>
        <w:tab w:val="clear" w:pos="1191"/>
        <w:tab w:val="clear" w:pos="1588"/>
        <w:tab w:val="clear" w:pos="1985"/>
        <w:tab w:val="left" w:pos="5954"/>
        <w:tab w:val="right" w:pos="9639"/>
      </w:tabs>
      <w:spacing w:before="0"/>
      <w:rPr>
        <w:rFonts w:ascii="Calibri" w:eastAsia="Times New Roman" w:hAnsi="Calibri"/>
        <w:caps/>
        <w:noProof/>
        <w:sz w:val="16"/>
        <w:lang w:val="fr-CH"/>
      </w:rPr>
    </w:pPr>
    <w:r w:rsidRPr="00607996">
      <w:rPr>
        <w:rFonts w:ascii="Calibri" w:eastAsia="Times New Roman" w:hAnsi="Calibri"/>
        <w:caps/>
        <w:noProof/>
        <w:sz w:val="16"/>
        <w:lang w:val="fr-CH"/>
      </w:rPr>
      <w:t>ITU-T\BUREAU\CIRC\214</w:t>
    </w:r>
    <w:r>
      <w:rPr>
        <w:rFonts w:ascii="Calibri" w:eastAsia="Times New Roman" w:hAnsi="Calibri"/>
        <w:caps/>
        <w:noProof/>
        <w:sz w:val="16"/>
        <w:lang w:val="fr-CH"/>
      </w:rPr>
      <w:t>C</w:t>
    </w:r>
    <w:r w:rsidRPr="00607996">
      <w:rPr>
        <w:rFonts w:ascii="Calibri" w:eastAsia="Times New Roman" w:hAnsi="Calibri"/>
        <w:caps/>
        <w:noProof/>
        <w:sz w:val="16"/>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E39" w:rsidRPr="002B0CEE" w:rsidRDefault="002B0CEE" w:rsidP="002B0CEE">
    <w:pPr>
      <w:tabs>
        <w:tab w:val="clear" w:pos="794"/>
        <w:tab w:val="clear" w:pos="1191"/>
        <w:tab w:val="clear" w:pos="1588"/>
        <w:tab w:val="clear" w:pos="1985"/>
      </w:tabs>
      <w:overflowPunct/>
      <w:autoSpaceDE/>
      <w:autoSpaceDN/>
      <w:adjustRightInd/>
      <w:spacing w:before="40"/>
      <w:ind w:left="-397" w:right="-397"/>
      <w:jc w:val="center"/>
      <w:textAlignment w:val="auto"/>
      <w:rPr>
        <w:rFonts w:cs="Calibri"/>
        <w:sz w:val="18"/>
        <w:szCs w:val="18"/>
        <w:lang w:val="fr-CH"/>
      </w:rP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r>
      <w:rPr>
        <w:sz w:val="18"/>
        <w:szCs w:val="18"/>
        <w:lang w:val="fr-CH"/>
      </w:rPr>
      <w:t xml:space="preserve"> </w:t>
    </w:r>
    <w:hyperlink r:id="rId3" w:history="1">
      <w:r>
        <w:rPr>
          <w:rStyle w:val="Hyperlink"/>
          <w:sz w:val="18"/>
          <w:szCs w:val="18"/>
          <w:lang w:val="fr-CH"/>
        </w:rPr>
        <w:t>CCITT/ITU-T 60 years</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20EE" w:rsidRDefault="005E20EE">
      <w:r>
        <w:separator/>
      </w:r>
    </w:p>
  </w:footnote>
  <w:footnote w:type="continuationSeparator" w:id="0">
    <w:p w:rsidR="005E20EE" w:rsidRDefault="005E20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612" w:rsidRPr="00E95D2D" w:rsidRDefault="00E95D2D" w:rsidP="00590119">
    <w:pPr>
      <w:pStyle w:val="Header"/>
      <w:rPr>
        <w:sz w:val="18"/>
        <w:szCs w:val="16"/>
      </w:rPr>
    </w:pPr>
    <w:r w:rsidRPr="00E95D2D">
      <w:rPr>
        <w:sz w:val="18"/>
        <w:szCs w:val="16"/>
      </w:rPr>
      <w:t xml:space="preserve">- </w:t>
    </w:r>
    <w:r w:rsidR="00841612" w:rsidRPr="00E95D2D">
      <w:rPr>
        <w:sz w:val="18"/>
        <w:szCs w:val="16"/>
      </w:rPr>
      <w:fldChar w:fldCharType="begin"/>
    </w:r>
    <w:r w:rsidR="00841612" w:rsidRPr="00E95D2D">
      <w:rPr>
        <w:sz w:val="18"/>
        <w:szCs w:val="16"/>
      </w:rPr>
      <w:instrText>PAGE</w:instrText>
    </w:r>
    <w:r w:rsidR="00841612" w:rsidRPr="00E95D2D">
      <w:rPr>
        <w:sz w:val="18"/>
        <w:szCs w:val="16"/>
      </w:rPr>
      <w:fldChar w:fldCharType="separate"/>
    </w:r>
    <w:r w:rsidR="007D5E1C">
      <w:rPr>
        <w:noProof/>
        <w:sz w:val="18"/>
        <w:szCs w:val="16"/>
      </w:rPr>
      <w:t>3</w:t>
    </w:r>
    <w:r w:rsidR="00841612" w:rsidRPr="00E95D2D">
      <w:rPr>
        <w:sz w:val="18"/>
        <w:szCs w:val="16"/>
      </w:rPr>
      <w:fldChar w:fldCharType="end"/>
    </w:r>
    <w:r w:rsidRPr="00E95D2D">
      <w:rPr>
        <w:sz w:val="18"/>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C39CF49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4D844EA"/>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016871DA"/>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D1D"/>
    <w:rsid w:val="00027EE3"/>
    <w:rsid w:val="00081BA5"/>
    <w:rsid w:val="00090E72"/>
    <w:rsid w:val="00094C0B"/>
    <w:rsid w:val="000A2484"/>
    <w:rsid w:val="000D6324"/>
    <w:rsid w:val="0010423E"/>
    <w:rsid w:val="00117471"/>
    <w:rsid w:val="00127D00"/>
    <w:rsid w:val="00160A43"/>
    <w:rsid w:val="00174E9D"/>
    <w:rsid w:val="001D6E70"/>
    <w:rsid w:val="00234A9B"/>
    <w:rsid w:val="00282732"/>
    <w:rsid w:val="00284869"/>
    <w:rsid w:val="002B0CEE"/>
    <w:rsid w:val="002C4148"/>
    <w:rsid w:val="002E05E3"/>
    <w:rsid w:val="00303A2A"/>
    <w:rsid w:val="003064AD"/>
    <w:rsid w:val="00334A24"/>
    <w:rsid w:val="0035674D"/>
    <w:rsid w:val="003F1CCA"/>
    <w:rsid w:val="00457CC5"/>
    <w:rsid w:val="00464015"/>
    <w:rsid w:val="00467EDA"/>
    <w:rsid w:val="00486359"/>
    <w:rsid w:val="00537563"/>
    <w:rsid w:val="00583E0D"/>
    <w:rsid w:val="00590119"/>
    <w:rsid w:val="005B7162"/>
    <w:rsid w:val="005C26FD"/>
    <w:rsid w:val="005D7A4D"/>
    <w:rsid w:val="005E20EE"/>
    <w:rsid w:val="00607996"/>
    <w:rsid w:val="00627AE8"/>
    <w:rsid w:val="0063445E"/>
    <w:rsid w:val="006B463C"/>
    <w:rsid w:val="006D22B1"/>
    <w:rsid w:val="006D42C6"/>
    <w:rsid w:val="007568DA"/>
    <w:rsid w:val="007D5E1C"/>
    <w:rsid w:val="0081272B"/>
    <w:rsid w:val="00841612"/>
    <w:rsid w:val="0084436D"/>
    <w:rsid w:val="00860A71"/>
    <w:rsid w:val="008B2BDA"/>
    <w:rsid w:val="008D2E54"/>
    <w:rsid w:val="009128F1"/>
    <w:rsid w:val="009424FC"/>
    <w:rsid w:val="00952C50"/>
    <w:rsid w:val="00956D38"/>
    <w:rsid w:val="009727EA"/>
    <w:rsid w:val="00974486"/>
    <w:rsid w:val="009C2FF6"/>
    <w:rsid w:val="00A1090D"/>
    <w:rsid w:val="00A16AB0"/>
    <w:rsid w:val="00A26326"/>
    <w:rsid w:val="00A4569A"/>
    <w:rsid w:val="00A55D76"/>
    <w:rsid w:val="00A577A3"/>
    <w:rsid w:val="00A90E75"/>
    <w:rsid w:val="00B01F79"/>
    <w:rsid w:val="00B56B75"/>
    <w:rsid w:val="00B845F9"/>
    <w:rsid w:val="00BB5392"/>
    <w:rsid w:val="00BC7AEE"/>
    <w:rsid w:val="00BD08A0"/>
    <w:rsid w:val="00BD77CF"/>
    <w:rsid w:val="00BE339D"/>
    <w:rsid w:val="00C03E87"/>
    <w:rsid w:val="00C201F4"/>
    <w:rsid w:val="00C6016A"/>
    <w:rsid w:val="00C7008A"/>
    <w:rsid w:val="00C70EDA"/>
    <w:rsid w:val="00C91313"/>
    <w:rsid w:val="00C916ED"/>
    <w:rsid w:val="00CA3478"/>
    <w:rsid w:val="00CC4AE6"/>
    <w:rsid w:val="00D16F47"/>
    <w:rsid w:val="00D34F86"/>
    <w:rsid w:val="00D70069"/>
    <w:rsid w:val="00E35907"/>
    <w:rsid w:val="00E41E39"/>
    <w:rsid w:val="00E47AFF"/>
    <w:rsid w:val="00E53093"/>
    <w:rsid w:val="00E95D2D"/>
    <w:rsid w:val="00EC44DB"/>
    <w:rsid w:val="00F07A3C"/>
    <w:rsid w:val="00F346AB"/>
    <w:rsid w:val="00F9383A"/>
    <w:rsid w:val="00FE1D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47EBEF55-7DED-4316-AD47-60C7C140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8A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E53093"/>
    <w:pPr>
      <w:keepNext/>
      <w:keepLines/>
      <w:spacing w:before="280"/>
      <w:ind w:left="1134" w:hanging="1134"/>
      <w:outlineLvl w:val="0"/>
    </w:pPr>
    <w:rPr>
      <w:rFonts w:ascii="Calibri" w:eastAsia="Times New Roman" w:hAnsi="Calibri"/>
      <w:b/>
      <w:sz w:val="28"/>
    </w:rPr>
  </w:style>
  <w:style w:type="paragraph" w:styleId="Heading2">
    <w:name w:val="heading 2"/>
    <w:basedOn w:val="Heading1"/>
    <w:next w:val="Normal"/>
    <w:link w:val="Heading2Char"/>
    <w:qFormat/>
    <w:rsid w:val="00E53093"/>
    <w:pPr>
      <w:spacing w:before="200"/>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link w:val="BodyTextChar"/>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rsid w:val="005B716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eastAsia="Times New Roman"/>
    </w:rPr>
  </w:style>
  <w:style w:type="paragraph" w:customStyle="1" w:styleId="AppendixRef">
    <w:name w:val="Appendix_Ref"/>
    <w:basedOn w:val="Normal"/>
    <w:next w:val="Normal"/>
    <w:rsid w:val="005B7162"/>
    <w:pPr>
      <w:keepNext/>
      <w:keepLines/>
      <w:jc w:val="center"/>
    </w:pPr>
    <w:rPr>
      <w:rFonts w:ascii="Times New Roman" w:eastAsiaTheme="minorEastAsia" w:hAnsi="Times New Roman"/>
    </w:rPr>
  </w:style>
  <w:style w:type="paragraph" w:customStyle="1" w:styleId="AnnexNo">
    <w:name w:val="Annex_No"/>
    <w:basedOn w:val="Normal"/>
    <w:next w:val="Normal"/>
    <w:rsid w:val="00EC44DB"/>
    <w:pPr>
      <w:keepNext/>
      <w:keepLines/>
      <w:tabs>
        <w:tab w:val="clear" w:pos="794"/>
        <w:tab w:val="clear" w:pos="1191"/>
        <w:tab w:val="clear" w:pos="1588"/>
        <w:tab w:val="clear" w:pos="1985"/>
        <w:tab w:val="left" w:pos="1134"/>
        <w:tab w:val="left" w:pos="1871"/>
        <w:tab w:val="left" w:pos="2268"/>
      </w:tabs>
      <w:spacing w:before="480" w:after="80"/>
      <w:jc w:val="center"/>
    </w:pPr>
    <w:rPr>
      <w:rFonts w:ascii="Times New Roman" w:hAnsi="Times New Roman"/>
      <w:caps/>
      <w:sz w:val="28"/>
    </w:rPr>
  </w:style>
  <w:style w:type="paragraph" w:customStyle="1" w:styleId="Annextitle">
    <w:name w:val="Annex_title"/>
    <w:basedOn w:val="Normal"/>
    <w:next w:val="Normal"/>
    <w:rsid w:val="00EC44DB"/>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character" w:customStyle="1" w:styleId="Heading1Char">
    <w:name w:val="Heading 1 Char"/>
    <w:basedOn w:val="DefaultParagraphFont"/>
    <w:link w:val="Heading1"/>
    <w:rsid w:val="00E53093"/>
    <w:rPr>
      <w:rFonts w:ascii="Calibri" w:eastAsia="Times New Roman" w:hAnsi="Calibri"/>
      <w:b/>
      <w:sz w:val="28"/>
      <w:lang w:val="en-GB" w:eastAsia="en-US"/>
    </w:rPr>
  </w:style>
  <w:style w:type="character" w:customStyle="1" w:styleId="Heading2Char">
    <w:name w:val="Heading 2 Char"/>
    <w:basedOn w:val="DefaultParagraphFont"/>
    <w:link w:val="Heading2"/>
    <w:rsid w:val="00E53093"/>
    <w:rPr>
      <w:rFonts w:ascii="Calibri" w:eastAsia="Times New Roman" w:hAnsi="Calibri"/>
      <w:b/>
      <w:sz w:val="24"/>
      <w:lang w:val="en-GB" w:eastAsia="en-US"/>
    </w:rPr>
  </w:style>
  <w:style w:type="paragraph" w:customStyle="1" w:styleId="Headingb">
    <w:name w:val="Heading_b"/>
    <w:basedOn w:val="Normal"/>
    <w:next w:val="Normal"/>
    <w:rsid w:val="00BD08A0"/>
    <w:pPr>
      <w:keepNext/>
      <w:spacing w:before="160"/>
    </w:pPr>
    <w:rPr>
      <w:rFonts w:ascii="Times New Roman" w:hAnsi="Times New Roman"/>
      <w:b/>
    </w:rPr>
  </w:style>
  <w:style w:type="character" w:customStyle="1" w:styleId="BodyTextChar">
    <w:name w:val="Body Text Char"/>
    <w:basedOn w:val="DefaultParagraphFont"/>
    <w:link w:val="BodyText"/>
    <w:rsid w:val="00BD08A0"/>
    <w:rPr>
      <w:rFonts w:ascii="Futura Lt BT" w:hAnsi="Futura Lt BT"/>
      <w:sz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itu.int/md/T13-SG17-R-0063"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itu.int/md/T13-SG17-R-006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md/T13-SG17-R-0064"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u.int/ipr/" TargetMode="External"/><Relationship Id="rId4" Type="http://schemas.openxmlformats.org/officeDocument/2006/relationships/webSettings" Target="webSettings.xml"/><Relationship Id="rId9" Type="http://schemas.openxmlformats.org/officeDocument/2006/relationships/hyperlink" Target="mailto:tsbsg17@itu.int"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us\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PC_TSBCIRC1-C.dotx</Template>
  <TotalTime>1</TotalTime>
  <Pages>3</Pages>
  <Words>1829</Words>
  <Characters>785</Characters>
  <Application>Microsoft Office Word</Application>
  <DocSecurity>4</DocSecurity>
  <Lines>6</Lines>
  <Paragraphs>5</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2609</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Liu, Sanp</dc:creator>
  <cp:keywords/>
  <dc:description>Circ_214C.docx  For: _x000d_Document date: _x000d_Saved by ITU51011599 at 10:03:10 on 18/04/2016</dc:description>
  <cp:lastModifiedBy>Bettini, Nadine</cp:lastModifiedBy>
  <cp:revision>2</cp:revision>
  <cp:lastPrinted>2016-04-18T10:21:00Z</cp:lastPrinted>
  <dcterms:created xsi:type="dcterms:W3CDTF">2016-04-19T06:32:00Z</dcterms:created>
  <dcterms:modified xsi:type="dcterms:W3CDTF">2016-04-19T06:32:00Z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Circ_214C.docx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