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06D15" w:rsidRPr="007A7559" w:rsidTr="00F537F5">
        <w:trPr>
          <w:cantSplit/>
        </w:trPr>
        <w:tc>
          <w:tcPr>
            <w:tcW w:w="1276" w:type="dxa"/>
            <w:vAlign w:val="center"/>
          </w:tcPr>
          <w:p w:rsidR="00306D15" w:rsidRPr="007A7559" w:rsidRDefault="00306D15" w:rsidP="00F537F5">
            <w:pPr>
              <w:tabs>
                <w:tab w:val="right" w:pos="8732"/>
              </w:tabs>
              <w:spacing w:before="0"/>
              <w:rPr>
                <w:rFonts w:ascii="Verdana" w:hAnsi="Verdana"/>
                <w:b/>
                <w:bCs/>
                <w:color w:val="FFFFFF"/>
                <w:sz w:val="26"/>
                <w:szCs w:val="26"/>
              </w:rPr>
            </w:pPr>
            <w:bookmarkStart w:id="0" w:name="ditulogo"/>
            <w:bookmarkEnd w:id="0"/>
            <w:r w:rsidRPr="007A7559">
              <w:rPr>
                <w:noProof/>
                <w:lang w:val="en-GB" w:eastAsia="zh-CN"/>
              </w:rPr>
              <w:drawing>
                <wp:inline distT="0" distB="0" distL="0" distR="0" wp14:anchorId="2BC42FD1" wp14:editId="206B245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991430" w:rsidRPr="007A7559" w:rsidRDefault="00991430" w:rsidP="00F537F5">
            <w:pPr>
              <w:spacing w:before="0"/>
              <w:rPr>
                <w:rFonts w:cs="Times New Roman Bold"/>
                <w:b/>
                <w:bCs/>
                <w:iCs/>
                <w:smallCaps/>
                <w:sz w:val="34"/>
                <w:szCs w:val="34"/>
              </w:rPr>
            </w:pPr>
            <w:r w:rsidRPr="007A7559">
              <w:rPr>
                <w:rFonts w:cs="Times New Roman Bold"/>
                <w:b/>
                <w:bCs/>
                <w:iCs/>
                <w:smallCaps/>
                <w:sz w:val="34"/>
                <w:szCs w:val="34"/>
              </w:rPr>
              <w:t>Unión Internacional de Telecomunicaciones</w:t>
            </w:r>
          </w:p>
          <w:p w:rsidR="00306D15" w:rsidRPr="007A7559" w:rsidRDefault="00991430" w:rsidP="00F537F5">
            <w:pPr>
              <w:tabs>
                <w:tab w:val="right" w:pos="8732"/>
              </w:tabs>
              <w:spacing w:before="0"/>
              <w:rPr>
                <w:rFonts w:ascii="Verdana" w:hAnsi="Verdana"/>
                <w:b/>
                <w:bCs/>
                <w:color w:val="FFFFFF"/>
                <w:sz w:val="26"/>
                <w:szCs w:val="26"/>
              </w:rPr>
            </w:pPr>
            <w:r w:rsidRPr="007A7559">
              <w:rPr>
                <w:rFonts w:cs="Times New Roman Bold"/>
                <w:b/>
                <w:bCs/>
                <w:iCs/>
                <w:smallCaps/>
                <w:sz w:val="28"/>
                <w:szCs w:val="28"/>
              </w:rPr>
              <w:t>Oficina de Normalización de las Telecomunicaciones</w:t>
            </w:r>
          </w:p>
        </w:tc>
        <w:tc>
          <w:tcPr>
            <w:tcW w:w="1984" w:type="dxa"/>
            <w:vAlign w:val="center"/>
          </w:tcPr>
          <w:p w:rsidR="00306D15" w:rsidRPr="007A7559" w:rsidRDefault="00F8342A" w:rsidP="00F537F5">
            <w:pPr>
              <w:spacing w:before="0"/>
              <w:jc w:val="right"/>
              <w:rPr>
                <w:rFonts w:ascii="Verdana" w:hAnsi="Verdana"/>
                <w:color w:val="FFFFFF"/>
                <w:sz w:val="26"/>
                <w:szCs w:val="26"/>
              </w:rPr>
            </w:pPr>
            <w:r w:rsidRPr="007A7559">
              <w:rPr>
                <w:noProof/>
                <w:lang w:val="en-GB" w:eastAsia="zh-CN"/>
              </w:rPr>
              <w:drawing>
                <wp:inline distT="0" distB="0" distL="0" distR="0" wp14:anchorId="571790F7" wp14:editId="3E21379C">
                  <wp:extent cx="876300" cy="762000"/>
                  <wp:effectExtent l="0" t="0" r="0" b="0"/>
                  <wp:docPr id="1" name="Picture 1" descr="ITUT60_blu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T60_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inline>
              </w:drawing>
            </w:r>
          </w:p>
        </w:tc>
      </w:tr>
      <w:tr w:rsidR="00C34772" w:rsidRPr="007A7559" w:rsidTr="00F537F5">
        <w:trPr>
          <w:cantSplit/>
        </w:trPr>
        <w:tc>
          <w:tcPr>
            <w:tcW w:w="6426" w:type="dxa"/>
            <w:gridSpan w:val="2"/>
            <w:vAlign w:val="center"/>
          </w:tcPr>
          <w:p w:rsidR="00C34772" w:rsidRPr="007A7559" w:rsidRDefault="00C34772" w:rsidP="00F537F5">
            <w:pPr>
              <w:tabs>
                <w:tab w:val="right" w:pos="8732"/>
              </w:tabs>
              <w:spacing w:before="0"/>
              <w:rPr>
                <w:rFonts w:ascii="Verdana" w:hAnsi="Verdana"/>
                <w:b/>
                <w:bCs/>
                <w:iCs/>
                <w:sz w:val="18"/>
                <w:szCs w:val="18"/>
              </w:rPr>
            </w:pPr>
          </w:p>
        </w:tc>
        <w:tc>
          <w:tcPr>
            <w:tcW w:w="3355" w:type="dxa"/>
            <w:gridSpan w:val="2"/>
            <w:vAlign w:val="center"/>
          </w:tcPr>
          <w:p w:rsidR="00C34772" w:rsidRPr="007A7559" w:rsidRDefault="00C34772" w:rsidP="00F537F5">
            <w:pPr>
              <w:spacing w:before="0"/>
              <w:ind w:left="993" w:hanging="993"/>
              <w:jc w:val="right"/>
              <w:rPr>
                <w:rFonts w:ascii="Verdana" w:hAnsi="Verdana"/>
                <w:sz w:val="18"/>
                <w:szCs w:val="18"/>
              </w:rPr>
            </w:pPr>
          </w:p>
        </w:tc>
      </w:tr>
    </w:tbl>
    <w:p w:rsidR="00C34772" w:rsidRPr="007A7559" w:rsidRDefault="00C34772" w:rsidP="00303D62">
      <w:pPr>
        <w:tabs>
          <w:tab w:val="clear" w:pos="794"/>
          <w:tab w:val="clear" w:pos="1191"/>
          <w:tab w:val="clear" w:pos="1588"/>
          <w:tab w:val="clear" w:pos="1985"/>
          <w:tab w:val="left" w:pos="4962"/>
        </w:tabs>
      </w:pPr>
    </w:p>
    <w:p w:rsidR="00C34772" w:rsidRPr="00B40E3E" w:rsidRDefault="00C34772" w:rsidP="00F8342A">
      <w:pPr>
        <w:tabs>
          <w:tab w:val="clear" w:pos="794"/>
          <w:tab w:val="clear" w:pos="1191"/>
          <w:tab w:val="clear" w:pos="1588"/>
          <w:tab w:val="clear" w:pos="1985"/>
          <w:tab w:val="left" w:pos="4962"/>
        </w:tabs>
        <w:rPr>
          <w:szCs w:val="24"/>
        </w:rPr>
      </w:pPr>
      <w:r w:rsidRPr="007A7559">
        <w:tab/>
      </w:r>
      <w:r w:rsidRPr="00B40E3E">
        <w:rPr>
          <w:szCs w:val="24"/>
        </w:rPr>
        <w:t xml:space="preserve">Ginebra, </w:t>
      </w:r>
      <w:r w:rsidR="00BB24D2" w:rsidRPr="00B40E3E">
        <w:rPr>
          <w:szCs w:val="24"/>
        </w:rPr>
        <w:t>2</w:t>
      </w:r>
      <w:r w:rsidR="00F8342A" w:rsidRPr="00B40E3E">
        <w:rPr>
          <w:szCs w:val="24"/>
        </w:rPr>
        <w:t>8</w:t>
      </w:r>
      <w:r w:rsidR="00BB24D2" w:rsidRPr="00B40E3E">
        <w:rPr>
          <w:szCs w:val="24"/>
        </w:rPr>
        <w:t xml:space="preserve"> de </w:t>
      </w:r>
      <w:r w:rsidR="00F8342A" w:rsidRPr="00B40E3E">
        <w:rPr>
          <w:szCs w:val="24"/>
        </w:rPr>
        <w:t>noviembre</w:t>
      </w:r>
      <w:r w:rsidR="00BB24D2" w:rsidRPr="00B40E3E">
        <w:rPr>
          <w:szCs w:val="24"/>
        </w:rPr>
        <w:t xml:space="preserve"> de 201</w:t>
      </w:r>
      <w:r w:rsidR="00F8342A" w:rsidRPr="00B40E3E">
        <w:rPr>
          <w:szCs w:val="24"/>
        </w:rPr>
        <w:t>6</w:t>
      </w:r>
    </w:p>
    <w:p w:rsidR="00C34772" w:rsidRPr="00B40E3E" w:rsidRDefault="00C34772" w:rsidP="00303D62">
      <w:pPr>
        <w:rPr>
          <w:szCs w:val="24"/>
        </w:rPr>
      </w:pPr>
    </w:p>
    <w:tbl>
      <w:tblPr>
        <w:tblW w:w="10107" w:type="dxa"/>
        <w:tblInd w:w="8" w:type="dxa"/>
        <w:tblLayout w:type="fixed"/>
        <w:tblCellMar>
          <w:left w:w="0" w:type="dxa"/>
          <w:right w:w="0" w:type="dxa"/>
        </w:tblCellMar>
        <w:tblLook w:val="0000" w:firstRow="0" w:lastRow="0" w:firstColumn="0" w:lastColumn="0" w:noHBand="0" w:noVBand="0"/>
      </w:tblPr>
      <w:tblGrid>
        <w:gridCol w:w="1126"/>
        <w:gridCol w:w="3751"/>
        <w:gridCol w:w="5230"/>
      </w:tblGrid>
      <w:tr w:rsidR="00C34772" w:rsidRPr="00B40E3E" w:rsidTr="00147651">
        <w:trPr>
          <w:cantSplit/>
          <w:trHeight w:val="340"/>
        </w:trPr>
        <w:tc>
          <w:tcPr>
            <w:tcW w:w="1126" w:type="dxa"/>
          </w:tcPr>
          <w:p w:rsidR="00C34772" w:rsidRPr="00B40E3E" w:rsidRDefault="00C34772" w:rsidP="00303D62">
            <w:pPr>
              <w:tabs>
                <w:tab w:val="left" w:pos="4111"/>
              </w:tabs>
              <w:spacing w:before="10"/>
              <w:ind w:left="57"/>
              <w:rPr>
                <w:b/>
                <w:bCs/>
                <w:szCs w:val="24"/>
              </w:rPr>
            </w:pPr>
            <w:r w:rsidRPr="00B40E3E">
              <w:rPr>
                <w:b/>
                <w:bCs/>
                <w:szCs w:val="24"/>
              </w:rPr>
              <w:t>Ref.:</w:t>
            </w:r>
          </w:p>
          <w:p w:rsidR="00055103" w:rsidRPr="00B40E3E" w:rsidRDefault="00055103" w:rsidP="002A6D38">
            <w:pPr>
              <w:tabs>
                <w:tab w:val="left" w:pos="4111"/>
              </w:tabs>
              <w:spacing w:before="0"/>
              <w:ind w:left="57"/>
              <w:rPr>
                <w:b/>
                <w:bCs/>
                <w:szCs w:val="24"/>
              </w:rPr>
            </w:pPr>
          </w:p>
          <w:p w:rsidR="00055103" w:rsidRPr="00B40E3E" w:rsidRDefault="00055103" w:rsidP="002A6D38">
            <w:pPr>
              <w:tabs>
                <w:tab w:val="left" w:pos="4111"/>
              </w:tabs>
              <w:spacing w:before="0"/>
              <w:ind w:left="57"/>
              <w:rPr>
                <w:b/>
                <w:bCs/>
                <w:szCs w:val="24"/>
              </w:rPr>
            </w:pPr>
          </w:p>
          <w:p w:rsidR="00055103" w:rsidRPr="00B40E3E" w:rsidRDefault="00055103" w:rsidP="00147651">
            <w:pPr>
              <w:tabs>
                <w:tab w:val="left" w:pos="4111"/>
              </w:tabs>
              <w:spacing w:before="0"/>
              <w:ind w:left="57"/>
              <w:rPr>
                <w:b/>
                <w:bCs/>
                <w:szCs w:val="24"/>
              </w:rPr>
            </w:pPr>
            <w:r w:rsidRPr="00B40E3E">
              <w:rPr>
                <w:b/>
                <w:bCs/>
                <w:szCs w:val="24"/>
              </w:rPr>
              <w:t>Tel.:</w:t>
            </w:r>
            <w:r w:rsidRPr="00B40E3E">
              <w:rPr>
                <w:b/>
                <w:bCs/>
                <w:szCs w:val="24"/>
              </w:rPr>
              <w:br/>
              <w:t>Fax:</w:t>
            </w:r>
          </w:p>
        </w:tc>
        <w:tc>
          <w:tcPr>
            <w:tcW w:w="3751" w:type="dxa"/>
          </w:tcPr>
          <w:p w:rsidR="00C34772" w:rsidRPr="00B40E3E" w:rsidRDefault="00C56A51" w:rsidP="00F8342A">
            <w:pPr>
              <w:tabs>
                <w:tab w:val="left" w:pos="4111"/>
              </w:tabs>
              <w:spacing w:before="0"/>
              <w:ind w:left="57"/>
              <w:rPr>
                <w:b/>
                <w:szCs w:val="24"/>
                <w:lang w:val="en-US"/>
              </w:rPr>
            </w:pPr>
            <w:r w:rsidRPr="00B40E3E">
              <w:rPr>
                <w:b/>
                <w:szCs w:val="24"/>
                <w:lang w:val="en-US"/>
              </w:rPr>
              <w:t xml:space="preserve">Circular TSB </w:t>
            </w:r>
            <w:r w:rsidR="00F8342A" w:rsidRPr="00B40E3E">
              <w:rPr>
                <w:b/>
                <w:szCs w:val="24"/>
                <w:lang w:val="en-US"/>
              </w:rPr>
              <w:t>246</w:t>
            </w:r>
          </w:p>
          <w:p w:rsidR="00C34772" w:rsidRPr="00B40E3E" w:rsidRDefault="00F8342A" w:rsidP="00F8342A">
            <w:pPr>
              <w:tabs>
                <w:tab w:val="left" w:pos="4111"/>
              </w:tabs>
              <w:spacing w:before="0"/>
              <w:ind w:left="57"/>
              <w:rPr>
                <w:szCs w:val="24"/>
                <w:lang w:val="en-US"/>
              </w:rPr>
            </w:pPr>
            <w:r w:rsidRPr="00B40E3E">
              <w:rPr>
                <w:szCs w:val="24"/>
                <w:lang w:val="en-US"/>
              </w:rPr>
              <w:t>SG</w:t>
            </w:r>
            <w:r w:rsidR="00BB24D2" w:rsidRPr="00B40E3E">
              <w:rPr>
                <w:szCs w:val="24"/>
                <w:lang w:val="en-US"/>
              </w:rPr>
              <w:t>17/MEU</w:t>
            </w:r>
          </w:p>
          <w:p w:rsidR="00C34772" w:rsidRPr="00B40E3E" w:rsidRDefault="00C34772" w:rsidP="00303D62">
            <w:pPr>
              <w:tabs>
                <w:tab w:val="left" w:pos="4111"/>
              </w:tabs>
              <w:spacing w:before="0"/>
              <w:ind w:left="57"/>
              <w:rPr>
                <w:szCs w:val="24"/>
                <w:lang w:val="en-US"/>
              </w:rPr>
            </w:pPr>
          </w:p>
          <w:p w:rsidR="00055103" w:rsidRPr="00B40E3E" w:rsidRDefault="00055103" w:rsidP="00147651">
            <w:pPr>
              <w:tabs>
                <w:tab w:val="left" w:pos="4111"/>
              </w:tabs>
              <w:spacing w:before="0"/>
              <w:ind w:left="57"/>
              <w:rPr>
                <w:szCs w:val="24"/>
                <w:lang w:val="en-US"/>
              </w:rPr>
            </w:pPr>
            <w:r w:rsidRPr="00B40E3E">
              <w:rPr>
                <w:szCs w:val="24"/>
                <w:lang w:val="en-US"/>
              </w:rPr>
              <w:t>+41 22 730 5866</w:t>
            </w:r>
            <w:r w:rsidRPr="00B40E3E">
              <w:rPr>
                <w:szCs w:val="24"/>
                <w:lang w:val="en-US"/>
              </w:rPr>
              <w:br/>
              <w:t>+41 22 730 5853</w:t>
            </w:r>
          </w:p>
        </w:tc>
        <w:tc>
          <w:tcPr>
            <w:tcW w:w="5230" w:type="dxa"/>
          </w:tcPr>
          <w:p w:rsidR="00C34772" w:rsidRPr="00B40E3E" w:rsidRDefault="00C34772" w:rsidP="00303D62">
            <w:pPr>
              <w:tabs>
                <w:tab w:val="clear" w:pos="794"/>
                <w:tab w:val="clear" w:pos="1191"/>
                <w:tab w:val="clear" w:pos="1588"/>
                <w:tab w:val="clear" w:pos="1985"/>
                <w:tab w:val="left" w:pos="284"/>
              </w:tabs>
              <w:spacing w:before="0"/>
              <w:ind w:left="284" w:hanging="227"/>
              <w:rPr>
                <w:szCs w:val="24"/>
              </w:rPr>
            </w:pPr>
            <w:r w:rsidRPr="00B40E3E">
              <w:rPr>
                <w:szCs w:val="24"/>
              </w:rPr>
              <w:t>-</w:t>
            </w:r>
            <w:r w:rsidRPr="00B40E3E">
              <w:rPr>
                <w:szCs w:val="24"/>
              </w:rPr>
              <w:tab/>
              <w:t>A las Administraciones de los Estados Miembros de la Unión</w:t>
            </w:r>
          </w:p>
        </w:tc>
      </w:tr>
      <w:tr w:rsidR="00C34772" w:rsidRPr="00B40E3E" w:rsidTr="00147651">
        <w:trPr>
          <w:cantSplit/>
        </w:trPr>
        <w:tc>
          <w:tcPr>
            <w:tcW w:w="1126" w:type="dxa"/>
          </w:tcPr>
          <w:p w:rsidR="00C34772" w:rsidRPr="00B40E3E" w:rsidRDefault="00147651" w:rsidP="00303D62">
            <w:pPr>
              <w:tabs>
                <w:tab w:val="left" w:pos="4111"/>
              </w:tabs>
              <w:spacing w:before="10"/>
              <w:ind w:left="57"/>
              <w:rPr>
                <w:b/>
                <w:bCs/>
                <w:szCs w:val="24"/>
              </w:rPr>
            </w:pPr>
            <w:r w:rsidRPr="00B40E3E">
              <w:rPr>
                <w:b/>
                <w:bCs/>
                <w:szCs w:val="24"/>
              </w:rPr>
              <w:t>Correo-e:</w:t>
            </w:r>
          </w:p>
        </w:tc>
        <w:tc>
          <w:tcPr>
            <w:tcW w:w="3751" w:type="dxa"/>
          </w:tcPr>
          <w:p w:rsidR="00C34772" w:rsidRPr="00B40E3E" w:rsidRDefault="0054071A" w:rsidP="00303D62">
            <w:pPr>
              <w:tabs>
                <w:tab w:val="left" w:pos="4111"/>
              </w:tabs>
              <w:spacing w:before="0"/>
              <w:ind w:left="57"/>
              <w:rPr>
                <w:szCs w:val="24"/>
              </w:rPr>
            </w:pPr>
            <w:hyperlink r:id="rId11" w:history="1">
              <w:r w:rsidR="00147651" w:rsidRPr="00B40E3E">
                <w:rPr>
                  <w:rStyle w:val="Hyperlink"/>
                  <w:szCs w:val="24"/>
                  <w:lang w:val="en-US"/>
                </w:rPr>
                <w:t>tsbsg17@itu.int</w:t>
              </w:r>
            </w:hyperlink>
          </w:p>
        </w:tc>
        <w:tc>
          <w:tcPr>
            <w:tcW w:w="5230" w:type="dxa"/>
          </w:tcPr>
          <w:p w:rsidR="00C34772" w:rsidRPr="00B40E3E" w:rsidRDefault="00C34772" w:rsidP="00303D62">
            <w:pPr>
              <w:tabs>
                <w:tab w:val="left" w:pos="4111"/>
              </w:tabs>
              <w:spacing w:before="0"/>
              <w:rPr>
                <w:szCs w:val="24"/>
              </w:rPr>
            </w:pPr>
            <w:r w:rsidRPr="00B40E3E">
              <w:rPr>
                <w:b/>
                <w:szCs w:val="24"/>
              </w:rPr>
              <w:t>Copia</w:t>
            </w:r>
            <w:r w:rsidRPr="00B40E3E">
              <w:rPr>
                <w:szCs w:val="24"/>
              </w:rPr>
              <w:t>:</w:t>
            </w:r>
          </w:p>
          <w:p w:rsidR="00C34772" w:rsidRPr="00B40E3E" w:rsidRDefault="00C34772" w:rsidP="00303D62">
            <w:pPr>
              <w:tabs>
                <w:tab w:val="clear" w:pos="794"/>
                <w:tab w:val="left" w:pos="226"/>
                <w:tab w:val="left" w:pos="4111"/>
              </w:tabs>
              <w:spacing w:before="0"/>
              <w:rPr>
                <w:szCs w:val="24"/>
              </w:rPr>
            </w:pPr>
            <w:r w:rsidRPr="00B40E3E">
              <w:rPr>
                <w:szCs w:val="24"/>
              </w:rPr>
              <w:t>-</w:t>
            </w:r>
            <w:r w:rsidRPr="00B40E3E">
              <w:rPr>
                <w:szCs w:val="24"/>
              </w:rPr>
              <w:tab/>
              <w:t>A los Miembros del Sector UIT-T;</w:t>
            </w:r>
          </w:p>
          <w:p w:rsidR="00C34772" w:rsidRPr="00B40E3E" w:rsidRDefault="00C34772" w:rsidP="00303D62">
            <w:pPr>
              <w:tabs>
                <w:tab w:val="clear" w:pos="794"/>
                <w:tab w:val="left" w:pos="226"/>
                <w:tab w:val="left" w:pos="4111"/>
              </w:tabs>
              <w:spacing w:before="0"/>
              <w:rPr>
                <w:szCs w:val="24"/>
              </w:rPr>
            </w:pPr>
            <w:r w:rsidRPr="00B40E3E">
              <w:rPr>
                <w:szCs w:val="24"/>
              </w:rPr>
              <w:t>-</w:t>
            </w:r>
            <w:r w:rsidRPr="00B40E3E">
              <w:rPr>
                <w:szCs w:val="24"/>
              </w:rPr>
              <w:tab/>
              <w:t>A los Asociados del UIT-T;</w:t>
            </w:r>
          </w:p>
          <w:p w:rsidR="00C34772" w:rsidRPr="00B40E3E" w:rsidRDefault="00C34772" w:rsidP="00E16A1E">
            <w:pPr>
              <w:tabs>
                <w:tab w:val="clear" w:pos="794"/>
                <w:tab w:val="left" w:pos="226"/>
                <w:tab w:val="left" w:pos="4111"/>
              </w:tabs>
              <w:spacing w:before="0"/>
              <w:rPr>
                <w:szCs w:val="24"/>
              </w:rPr>
            </w:pPr>
            <w:r w:rsidRPr="00B40E3E">
              <w:rPr>
                <w:szCs w:val="24"/>
              </w:rPr>
              <w:t>-</w:t>
            </w:r>
            <w:r w:rsidRPr="00B40E3E">
              <w:rPr>
                <w:szCs w:val="24"/>
              </w:rPr>
              <w:tab/>
              <w:t xml:space="preserve">A las Instituciones </w:t>
            </w:r>
            <w:r w:rsidR="00E16A1E" w:rsidRPr="00B40E3E">
              <w:rPr>
                <w:szCs w:val="24"/>
              </w:rPr>
              <w:t>Académicas de la UIT</w:t>
            </w:r>
            <w:r w:rsidRPr="00B40E3E">
              <w:rPr>
                <w:szCs w:val="24"/>
              </w:rPr>
              <w:t>;</w:t>
            </w:r>
          </w:p>
          <w:p w:rsidR="00C34772" w:rsidRPr="00B40E3E" w:rsidRDefault="00C34772" w:rsidP="00303D62">
            <w:pPr>
              <w:tabs>
                <w:tab w:val="left" w:pos="226"/>
                <w:tab w:val="left" w:pos="4111"/>
              </w:tabs>
              <w:spacing w:before="0"/>
              <w:ind w:left="226" w:hanging="226"/>
              <w:rPr>
                <w:szCs w:val="24"/>
              </w:rPr>
            </w:pPr>
            <w:r w:rsidRPr="00B40E3E">
              <w:rPr>
                <w:szCs w:val="24"/>
              </w:rPr>
              <w:t>-</w:t>
            </w:r>
            <w:r w:rsidRPr="00B40E3E">
              <w:rPr>
                <w:szCs w:val="24"/>
              </w:rPr>
              <w:tab/>
              <w:t>Al Presidente y a los Vicepresident</w:t>
            </w:r>
            <w:r w:rsidR="0085548A" w:rsidRPr="00B40E3E">
              <w:rPr>
                <w:szCs w:val="24"/>
              </w:rPr>
              <w:t>es de la Comisión de Estudio 17</w:t>
            </w:r>
            <w:r w:rsidR="00F8342A" w:rsidRPr="00B40E3E">
              <w:rPr>
                <w:szCs w:val="24"/>
              </w:rPr>
              <w:t xml:space="preserve"> del UIT-T</w:t>
            </w:r>
            <w:r w:rsidRPr="00B40E3E">
              <w:rPr>
                <w:szCs w:val="24"/>
              </w:rPr>
              <w:t>;</w:t>
            </w:r>
          </w:p>
          <w:p w:rsidR="00C34772" w:rsidRPr="00B40E3E" w:rsidRDefault="00C34772" w:rsidP="00303D62">
            <w:pPr>
              <w:tabs>
                <w:tab w:val="clear" w:pos="794"/>
                <w:tab w:val="left" w:pos="218"/>
                <w:tab w:val="left" w:pos="4111"/>
              </w:tabs>
              <w:spacing w:before="0"/>
              <w:ind w:left="218" w:hanging="218"/>
              <w:rPr>
                <w:szCs w:val="24"/>
              </w:rPr>
            </w:pPr>
            <w:r w:rsidRPr="00B40E3E">
              <w:rPr>
                <w:szCs w:val="24"/>
              </w:rPr>
              <w:t>-</w:t>
            </w:r>
            <w:r w:rsidRPr="00B40E3E">
              <w:rPr>
                <w:szCs w:val="24"/>
              </w:rPr>
              <w:tab/>
              <w:t xml:space="preserve">Al Director de la Oficina de Desarrollo </w:t>
            </w:r>
            <w:r w:rsidR="00E87036" w:rsidRPr="00B40E3E">
              <w:rPr>
                <w:szCs w:val="24"/>
              </w:rPr>
              <w:br/>
            </w:r>
            <w:r w:rsidRPr="00B40E3E">
              <w:rPr>
                <w:szCs w:val="24"/>
              </w:rPr>
              <w:t>de las Telecomunicaciones;</w:t>
            </w:r>
          </w:p>
          <w:p w:rsidR="00C34772" w:rsidRPr="00B40E3E" w:rsidRDefault="00C34772" w:rsidP="00651D5D">
            <w:pPr>
              <w:tabs>
                <w:tab w:val="clear" w:pos="794"/>
                <w:tab w:val="left" w:pos="226"/>
                <w:tab w:val="left" w:pos="4111"/>
              </w:tabs>
              <w:spacing w:before="0" w:after="120"/>
              <w:ind w:left="227" w:hanging="227"/>
              <w:rPr>
                <w:szCs w:val="24"/>
              </w:rPr>
            </w:pPr>
            <w:r w:rsidRPr="00B40E3E">
              <w:rPr>
                <w:szCs w:val="24"/>
              </w:rPr>
              <w:t>-</w:t>
            </w:r>
            <w:r w:rsidRPr="00B40E3E">
              <w:rPr>
                <w:szCs w:val="24"/>
              </w:rPr>
              <w:tab/>
              <w:t>Al Director de la Oficina de Radiocomunicaciones</w:t>
            </w:r>
          </w:p>
        </w:tc>
      </w:tr>
      <w:tr w:rsidR="00C34772" w:rsidRPr="00B40E3E" w:rsidTr="00147651">
        <w:trPr>
          <w:cantSplit/>
          <w:trHeight w:val="333"/>
        </w:trPr>
        <w:tc>
          <w:tcPr>
            <w:tcW w:w="1126" w:type="dxa"/>
          </w:tcPr>
          <w:p w:rsidR="00C34772" w:rsidRPr="00B40E3E" w:rsidRDefault="00C34772" w:rsidP="007041BE">
            <w:pPr>
              <w:tabs>
                <w:tab w:val="left" w:pos="4111"/>
              </w:tabs>
              <w:spacing w:before="80"/>
              <w:ind w:left="57"/>
              <w:rPr>
                <w:rFonts w:asciiTheme="minorHAnsi" w:hAnsiTheme="minorHAnsi"/>
                <w:b/>
                <w:bCs/>
                <w:szCs w:val="24"/>
              </w:rPr>
            </w:pPr>
            <w:r w:rsidRPr="00B40E3E">
              <w:rPr>
                <w:rFonts w:asciiTheme="minorHAnsi" w:hAnsiTheme="minorHAnsi"/>
                <w:b/>
                <w:bCs/>
                <w:szCs w:val="24"/>
              </w:rPr>
              <w:t>Asunto:</w:t>
            </w:r>
          </w:p>
        </w:tc>
        <w:tc>
          <w:tcPr>
            <w:tcW w:w="8981" w:type="dxa"/>
            <w:gridSpan w:val="2"/>
          </w:tcPr>
          <w:p w:rsidR="00C34772" w:rsidRPr="00B40E3E" w:rsidRDefault="00BB24D2" w:rsidP="00F8342A">
            <w:pPr>
              <w:tabs>
                <w:tab w:val="left" w:pos="4111"/>
              </w:tabs>
              <w:spacing w:before="80"/>
              <w:ind w:left="57"/>
              <w:rPr>
                <w:rFonts w:asciiTheme="minorHAnsi" w:hAnsiTheme="minorHAnsi"/>
                <w:b/>
                <w:bCs/>
                <w:szCs w:val="24"/>
              </w:rPr>
            </w:pPr>
            <w:r w:rsidRPr="00B40E3E">
              <w:rPr>
                <w:rFonts w:asciiTheme="minorHAnsi" w:hAnsiTheme="minorHAnsi"/>
                <w:b/>
                <w:bCs/>
                <w:szCs w:val="24"/>
              </w:rPr>
              <w:t xml:space="preserve">Reunión de la Comisión de Estudio 17 </w:t>
            </w:r>
            <w:r w:rsidR="00F8342A" w:rsidRPr="00B40E3E">
              <w:rPr>
                <w:rFonts w:asciiTheme="minorHAnsi" w:hAnsiTheme="minorHAnsi"/>
                <w:b/>
                <w:bCs/>
                <w:szCs w:val="24"/>
              </w:rPr>
              <w:t xml:space="preserve">del UIT-T, del 22 al 30 de marzo de 2017, </w:t>
            </w:r>
            <w:r w:rsidRPr="00B40E3E">
              <w:rPr>
                <w:rFonts w:asciiTheme="minorHAnsi" w:hAnsiTheme="minorHAnsi"/>
                <w:b/>
                <w:bCs/>
                <w:szCs w:val="24"/>
              </w:rPr>
              <w:t>para la aprobación de los proyect</w:t>
            </w:r>
            <w:r w:rsidR="00823C1B" w:rsidRPr="00B40E3E">
              <w:rPr>
                <w:rFonts w:asciiTheme="minorHAnsi" w:hAnsiTheme="minorHAnsi"/>
                <w:b/>
                <w:bCs/>
                <w:szCs w:val="24"/>
              </w:rPr>
              <w:t xml:space="preserve">os de </w:t>
            </w:r>
            <w:r w:rsidR="00F8342A" w:rsidRPr="00B40E3E">
              <w:rPr>
                <w:rFonts w:asciiTheme="minorHAnsi" w:hAnsiTheme="minorHAnsi"/>
                <w:b/>
                <w:bCs/>
                <w:szCs w:val="24"/>
              </w:rPr>
              <w:t>Recomendación</w:t>
            </w:r>
            <w:r w:rsidR="00823C1B" w:rsidRPr="00B40E3E">
              <w:rPr>
                <w:rFonts w:asciiTheme="minorHAnsi" w:hAnsiTheme="minorHAnsi"/>
                <w:b/>
                <w:bCs/>
                <w:szCs w:val="24"/>
              </w:rPr>
              <w:t xml:space="preserve"> UIT</w:t>
            </w:r>
            <w:r w:rsidRPr="00B40E3E">
              <w:rPr>
                <w:rFonts w:asciiTheme="minorHAnsi" w:hAnsiTheme="minorHAnsi"/>
                <w:b/>
                <w:bCs/>
                <w:szCs w:val="24"/>
              </w:rPr>
              <w:noBreakHyphen/>
              <w:t xml:space="preserve">T </w:t>
            </w:r>
            <w:r w:rsidR="00F8342A" w:rsidRPr="00B40E3E">
              <w:rPr>
                <w:rFonts w:asciiTheme="minorHAnsi" w:hAnsiTheme="minorHAnsi"/>
                <w:b/>
                <w:bCs/>
                <w:szCs w:val="24"/>
              </w:rPr>
              <w:t>1058 (</w:t>
            </w:r>
            <w:proofErr w:type="spellStart"/>
            <w:r w:rsidR="00F8342A" w:rsidRPr="00B40E3E">
              <w:rPr>
                <w:rFonts w:asciiTheme="minorHAnsi" w:hAnsiTheme="minorHAnsi"/>
                <w:b/>
                <w:bCs/>
                <w:szCs w:val="24"/>
              </w:rPr>
              <w:t>X.gpim</w:t>
            </w:r>
            <w:proofErr w:type="spellEnd"/>
            <w:r w:rsidR="00F8342A" w:rsidRPr="00B40E3E">
              <w:rPr>
                <w:rFonts w:asciiTheme="minorHAnsi" w:hAnsiTheme="minorHAnsi"/>
                <w:b/>
                <w:bCs/>
                <w:szCs w:val="24"/>
              </w:rPr>
              <w:t>), X.1080.0 (</w:t>
            </w:r>
            <w:proofErr w:type="spellStart"/>
            <w:r w:rsidR="00F8342A" w:rsidRPr="00B40E3E">
              <w:rPr>
                <w:rFonts w:asciiTheme="minorHAnsi" w:hAnsiTheme="minorHAnsi"/>
                <w:b/>
                <w:bCs/>
                <w:szCs w:val="24"/>
              </w:rPr>
              <w:t>X.pbact</w:t>
            </w:r>
            <w:proofErr w:type="spellEnd"/>
            <w:r w:rsidR="00F8342A" w:rsidRPr="00B40E3E">
              <w:rPr>
                <w:rFonts w:asciiTheme="minorHAnsi" w:hAnsiTheme="minorHAnsi"/>
                <w:b/>
                <w:bCs/>
                <w:szCs w:val="24"/>
              </w:rPr>
              <w:t>), X.1126 (X.msec-11), X.1212 (</w:t>
            </w:r>
            <w:proofErr w:type="spellStart"/>
            <w:r w:rsidR="00F8342A" w:rsidRPr="00B40E3E">
              <w:rPr>
                <w:rFonts w:asciiTheme="minorHAnsi" w:hAnsiTheme="minorHAnsi"/>
                <w:b/>
                <w:bCs/>
                <w:szCs w:val="24"/>
              </w:rPr>
              <w:t>X.cogent</w:t>
            </w:r>
            <w:proofErr w:type="spellEnd"/>
            <w:r w:rsidR="00F8342A" w:rsidRPr="00B40E3E">
              <w:rPr>
                <w:rFonts w:asciiTheme="minorHAnsi" w:hAnsiTheme="minorHAnsi"/>
                <w:b/>
                <w:bCs/>
                <w:szCs w:val="24"/>
              </w:rPr>
              <w:t>), X.1362 (X.iotsec-1), X.1373 (X.itssec-1), y X.1550 (</w:t>
            </w:r>
            <w:proofErr w:type="spellStart"/>
            <w:r w:rsidR="00F8342A" w:rsidRPr="00B40E3E">
              <w:rPr>
                <w:rFonts w:asciiTheme="minorHAnsi" w:hAnsiTheme="minorHAnsi"/>
                <w:b/>
                <w:bCs/>
                <w:szCs w:val="24"/>
              </w:rPr>
              <w:t>X.nessa</w:t>
            </w:r>
            <w:proofErr w:type="spellEnd"/>
            <w:r w:rsidR="00F8342A" w:rsidRPr="00B40E3E">
              <w:rPr>
                <w:rFonts w:asciiTheme="minorHAnsi" w:hAnsiTheme="minorHAnsi"/>
                <w:b/>
                <w:bCs/>
                <w:szCs w:val="24"/>
              </w:rPr>
              <w:t>)</w:t>
            </w:r>
            <w:r w:rsidRPr="00B40E3E">
              <w:rPr>
                <w:rFonts w:asciiTheme="minorHAnsi" w:hAnsiTheme="minorHAnsi"/>
                <w:b/>
                <w:bCs/>
                <w:szCs w:val="24"/>
              </w:rPr>
              <w:t>, de acuerdo con las</w:t>
            </w:r>
            <w:r w:rsidR="0085548A" w:rsidRPr="00B40E3E">
              <w:rPr>
                <w:rFonts w:asciiTheme="minorHAnsi" w:hAnsiTheme="minorHAnsi"/>
                <w:b/>
                <w:bCs/>
                <w:szCs w:val="24"/>
              </w:rPr>
              <w:t xml:space="preserve"> disposiciones de la </w:t>
            </w:r>
            <w:r w:rsidR="00F9734B" w:rsidRPr="00B40E3E">
              <w:rPr>
                <w:rFonts w:asciiTheme="minorHAnsi" w:hAnsiTheme="minorHAnsi"/>
                <w:b/>
                <w:bCs/>
                <w:szCs w:val="24"/>
              </w:rPr>
              <w:t xml:space="preserve">Sección 9 de la </w:t>
            </w:r>
            <w:r w:rsidR="0085548A" w:rsidRPr="00B40E3E">
              <w:rPr>
                <w:rFonts w:asciiTheme="minorHAnsi" w:hAnsiTheme="minorHAnsi"/>
                <w:b/>
                <w:bCs/>
                <w:szCs w:val="24"/>
              </w:rPr>
              <w:t>Resolución </w:t>
            </w:r>
            <w:r w:rsidRPr="00B40E3E">
              <w:rPr>
                <w:rFonts w:asciiTheme="minorHAnsi" w:hAnsiTheme="minorHAnsi"/>
                <w:b/>
                <w:bCs/>
                <w:szCs w:val="24"/>
              </w:rPr>
              <w:t>1, de la AMNT (</w:t>
            </w:r>
            <w:r w:rsidR="00F8342A" w:rsidRPr="00B40E3E">
              <w:rPr>
                <w:rFonts w:asciiTheme="minorHAnsi" w:hAnsiTheme="minorHAnsi"/>
                <w:b/>
                <w:bCs/>
                <w:szCs w:val="24"/>
              </w:rPr>
              <w:t xml:space="preserve">Rev. </w:t>
            </w:r>
            <w:r w:rsidRPr="00B40E3E">
              <w:rPr>
                <w:rFonts w:asciiTheme="minorHAnsi" w:hAnsiTheme="minorHAnsi"/>
                <w:b/>
                <w:bCs/>
                <w:szCs w:val="24"/>
              </w:rPr>
              <w:t>Dubái, 2012)</w:t>
            </w:r>
          </w:p>
        </w:tc>
      </w:tr>
    </w:tbl>
    <w:p w:rsidR="00BB24D2" w:rsidRPr="00B40E3E" w:rsidRDefault="00BB24D2" w:rsidP="00F91059">
      <w:pPr>
        <w:pStyle w:val="Normalaftertitle"/>
        <w:rPr>
          <w:rFonts w:asciiTheme="minorHAnsi" w:hAnsiTheme="minorHAnsi"/>
          <w:szCs w:val="24"/>
        </w:rPr>
      </w:pPr>
      <w:r w:rsidRPr="00B40E3E">
        <w:rPr>
          <w:rFonts w:asciiTheme="minorHAnsi" w:hAnsiTheme="minorHAnsi"/>
          <w:szCs w:val="24"/>
        </w:rPr>
        <w:t>Muy Señora mía/Muy Señor mío</w:t>
      </w:r>
      <w:proofErr w:type="gramStart"/>
      <w:r w:rsidRPr="00B40E3E">
        <w:rPr>
          <w:rFonts w:asciiTheme="minorHAnsi" w:hAnsiTheme="minorHAnsi"/>
          <w:szCs w:val="24"/>
        </w:rPr>
        <w:t>:</w:t>
      </w:r>
      <w:r w:rsidRPr="00B40E3E">
        <w:rPr>
          <w:rFonts w:asciiTheme="minorHAnsi" w:hAnsiTheme="minorHAnsi"/>
          <w:szCs w:val="24"/>
          <w:cs/>
        </w:rPr>
        <w:t>‎</w:t>
      </w:r>
      <w:proofErr w:type="gramEnd"/>
    </w:p>
    <w:p w:rsidR="00BB24D2" w:rsidRPr="00B40E3E" w:rsidRDefault="00BB24D2" w:rsidP="00F8342A">
      <w:pPr>
        <w:rPr>
          <w:rFonts w:asciiTheme="minorHAnsi" w:hAnsiTheme="minorHAnsi"/>
          <w:szCs w:val="24"/>
        </w:rPr>
      </w:pPr>
      <w:r w:rsidRPr="00B40E3E">
        <w:rPr>
          <w:rFonts w:asciiTheme="minorHAnsi" w:hAnsiTheme="minorHAnsi"/>
          <w:szCs w:val="24"/>
        </w:rPr>
        <w:t>1</w:t>
      </w:r>
      <w:r w:rsidRPr="00B40E3E">
        <w:rPr>
          <w:rFonts w:asciiTheme="minorHAnsi" w:hAnsiTheme="minorHAnsi"/>
          <w:szCs w:val="24"/>
        </w:rPr>
        <w:tab/>
        <w:t>A petición del Presidente de la Comisión de Estudio 17</w:t>
      </w:r>
      <w:r w:rsidR="00F8342A" w:rsidRPr="00B40E3E">
        <w:rPr>
          <w:rFonts w:asciiTheme="minorHAnsi" w:hAnsiTheme="minorHAnsi"/>
          <w:szCs w:val="24"/>
        </w:rPr>
        <w:t xml:space="preserve"> del UIT-T</w:t>
      </w:r>
      <w:r w:rsidRPr="00B40E3E">
        <w:rPr>
          <w:rFonts w:asciiTheme="minorHAnsi" w:hAnsiTheme="minorHAnsi"/>
          <w:szCs w:val="24"/>
        </w:rPr>
        <w:t xml:space="preserve">, </w:t>
      </w:r>
      <w:r w:rsidRPr="00B40E3E">
        <w:rPr>
          <w:rFonts w:asciiTheme="minorHAnsi" w:hAnsiTheme="minorHAnsi"/>
          <w:i/>
          <w:iCs/>
          <w:szCs w:val="24"/>
        </w:rPr>
        <w:t>Seguridad</w:t>
      </w:r>
      <w:r w:rsidRPr="00B40E3E">
        <w:rPr>
          <w:rFonts w:asciiTheme="minorHAnsi" w:hAnsiTheme="minorHAnsi"/>
          <w:szCs w:val="24"/>
        </w:rPr>
        <w:t xml:space="preserve">, tengo el honor de informarle que esta Comisión de Estudio, que se reunirá del </w:t>
      </w:r>
      <w:r w:rsidR="00F8342A" w:rsidRPr="00B40E3E">
        <w:rPr>
          <w:rFonts w:asciiTheme="minorHAnsi" w:hAnsiTheme="minorHAnsi"/>
          <w:szCs w:val="24"/>
        </w:rPr>
        <w:t>22</w:t>
      </w:r>
      <w:r w:rsidRPr="00B40E3E">
        <w:rPr>
          <w:rFonts w:asciiTheme="minorHAnsi" w:hAnsiTheme="minorHAnsi"/>
          <w:szCs w:val="24"/>
        </w:rPr>
        <w:t xml:space="preserve"> al </w:t>
      </w:r>
      <w:r w:rsidR="00F8342A" w:rsidRPr="00B40E3E">
        <w:rPr>
          <w:rFonts w:asciiTheme="minorHAnsi" w:hAnsiTheme="minorHAnsi"/>
          <w:szCs w:val="24"/>
        </w:rPr>
        <w:t>30</w:t>
      </w:r>
      <w:r w:rsidRPr="00B40E3E">
        <w:rPr>
          <w:rFonts w:asciiTheme="minorHAnsi" w:hAnsiTheme="minorHAnsi"/>
          <w:szCs w:val="24"/>
        </w:rPr>
        <w:t xml:space="preserve"> de marzo de 201</w:t>
      </w:r>
      <w:r w:rsidR="00F8342A" w:rsidRPr="00B40E3E">
        <w:rPr>
          <w:rFonts w:asciiTheme="minorHAnsi" w:hAnsiTheme="minorHAnsi"/>
          <w:szCs w:val="24"/>
        </w:rPr>
        <w:t>7</w:t>
      </w:r>
      <w:r w:rsidRPr="00B40E3E">
        <w:rPr>
          <w:rFonts w:asciiTheme="minorHAnsi" w:hAnsiTheme="minorHAnsi"/>
          <w:szCs w:val="24"/>
        </w:rPr>
        <w:t xml:space="preserve">, se propone aplicar el procedimiento descrito en la </w:t>
      </w:r>
      <w:r w:rsidR="00D86DA1" w:rsidRPr="00B40E3E">
        <w:rPr>
          <w:rFonts w:asciiTheme="minorHAnsi" w:hAnsiTheme="minorHAnsi"/>
          <w:szCs w:val="24"/>
        </w:rPr>
        <w:t xml:space="preserve">Sección 9 de la </w:t>
      </w:r>
      <w:r w:rsidR="00FA5ABD" w:rsidRPr="00B40E3E">
        <w:rPr>
          <w:rFonts w:asciiTheme="minorHAnsi" w:hAnsiTheme="minorHAnsi"/>
          <w:szCs w:val="24"/>
        </w:rPr>
        <w:t xml:space="preserve">Resolución 1 </w:t>
      </w:r>
      <w:r w:rsidR="00486B32" w:rsidRPr="00B40E3E">
        <w:rPr>
          <w:rFonts w:asciiTheme="minorHAnsi" w:hAnsiTheme="minorHAnsi"/>
          <w:szCs w:val="24"/>
        </w:rPr>
        <w:t>de la AMNT (Dubái, </w:t>
      </w:r>
      <w:r w:rsidRPr="00B40E3E">
        <w:rPr>
          <w:rFonts w:asciiTheme="minorHAnsi" w:hAnsiTheme="minorHAnsi"/>
          <w:szCs w:val="24"/>
        </w:rPr>
        <w:t xml:space="preserve">2012) para la aprobación </w:t>
      </w:r>
      <w:r w:rsidR="00E830ED" w:rsidRPr="00B40E3E">
        <w:rPr>
          <w:rFonts w:asciiTheme="minorHAnsi" w:hAnsiTheme="minorHAnsi"/>
          <w:szCs w:val="24"/>
        </w:rPr>
        <w:t>de los proyectos de Recomendación</w:t>
      </w:r>
      <w:r w:rsidRPr="00B40E3E">
        <w:rPr>
          <w:rFonts w:asciiTheme="minorHAnsi" w:hAnsiTheme="minorHAnsi"/>
          <w:szCs w:val="24"/>
        </w:rPr>
        <w:t xml:space="preserve"> arriba mencionados.</w:t>
      </w:r>
    </w:p>
    <w:p w:rsidR="00BB24D2" w:rsidRPr="00B40E3E" w:rsidRDefault="00BB24D2" w:rsidP="00F8342A">
      <w:pPr>
        <w:rPr>
          <w:rFonts w:asciiTheme="minorHAnsi" w:hAnsiTheme="minorHAnsi"/>
          <w:szCs w:val="24"/>
        </w:rPr>
      </w:pPr>
      <w:r w:rsidRPr="00B40E3E">
        <w:rPr>
          <w:rFonts w:asciiTheme="minorHAnsi" w:hAnsiTheme="minorHAnsi"/>
          <w:szCs w:val="24"/>
        </w:rPr>
        <w:t>2</w:t>
      </w:r>
      <w:r w:rsidRPr="00B40E3E">
        <w:rPr>
          <w:rFonts w:asciiTheme="minorHAnsi" w:hAnsiTheme="minorHAnsi"/>
          <w:szCs w:val="24"/>
        </w:rPr>
        <w:tab/>
        <w:t xml:space="preserve">El </w:t>
      </w:r>
      <w:r w:rsidR="001B09B0" w:rsidRPr="00B40E3E">
        <w:rPr>
          <w:rFonts w:asciiTheme="minorHAnsi" w:hAnsiTheme="minorHAnsi"/>
          <w:b/>
          <w:bCs/>
          <w:szCs w:val="24"/>
        </w:rPr>
        <w:t xml:space="preserve">Anexo </w:t>
      </w:r>
      <w:r w:rsidRPr="00B40E3E">
        <w:rPr>
          <w:rFonts w:asciiTheme="minorHAnsi" w:hAnsiTheme="minorHAnsi"/>
          <w:b/>
          <w:bCs/>
          <w:szCs w:val="24"/>
        </w:rPr>
        <w:t>1</w:t>
      </w:r>
      <w:r w:rsidR="00F01367" w:rsidRPr="00B40E3E">
        <w:rPr>
          <w:rFonts w:asciiTheme="minorHAnsi" w:hAnsiTheme="minorHAnsi"/>
          <w:szCs w:val="24"/>
        </w:rPr>
        <w:t xml:space="preserve"> contiene los títulos</w:t>
      </w:r>
      <w:r w:rsidR="00F43D58" w:rsidRPr="00B40E3E">
        <w:rPr>
          <w:rFonts w:asciiTheme="minorHAnsi" w:hAnsiTheme="minorHAnsi"/>
          <w:szCs w:val="24"/>
        </w:rPr>
        <w:t xml:space="preserve"> y</w:t>
      </w:r>
      <w:r w:rsidR="00F01367" w:rsidRPr="00B40E3E">
        <w:rPr>
          <w:rFonts w:asciiTheme="minorHAnsi" w:hAnsiTheme="minorHAnsi"/>
          <w:szCs w:val="24"/>
        </w:rPr>
        <w:t xml:space="preserve"> </w:t>
      </w:r>
      <w:r w:rsidRPr="00B40E3E">
        <w:rPr>
          <w:rFonts w:asciiTheme="minorHAnsi" w:hAnsiTheme="minorHAnsi"/>
          <w:szCs w:val="24"/>
        </w:rPr>
        <w:t>los resúmenes</w:t>
      </w:r>
      <w:r w:rsidR="00F01367" w:rsidRPr="00B40E3E">
        <w:rPr>
          <w:rFonts w:asciiTheme="minorHAnsi" w:hAnsiTheme="minorHAnsi"/>
          <w:szCs w:val="24"/>
        </w:rPr>
        <w:t xml:space="preserve"> </w:t>
      </w:r>
      <w:r w:rsidRPr="00B40E3E">
        <w:rPr>
          <w:rFonts w:asciiTheme="minorHAnsi" w:hAnsiTheme="minorHAnsi"/>
          <w:szCs w:val="24"/>
        </w:rPr>
        <w:t>de</w:t>
      </w:r>
      <w:r w:rsidR="00F8342A" w:rsidRPr="00B40E3E">
        <w:rPr>
          <w:rFonts w:asciiTheme="minorHAnsi" w:hAnsiTheme="minorHAnsi"/>
          <w:szCs w:val="24"/>
        </w:rPr>
        <w:t xml:space="preserve"> </w:t>
      </w:r>
      <w:r w:rsidR="00F43D58" w:rsidRPr="00B40E3E">
        <w:rPr>
          <w:rFonts w:asciiTheme="minorHAnsi" w:hAnsiTheme="minorHAnsi"/>
          <w:szCs w:val="24"/>
        </w:rPr>
        <w:t>l</w:t>
      </w:r>
      <w:r w:rsidR="00F8342A" w:rsidRPr="00B40E3E">
        <w:rPr>
          <w:rFonts w:asciiTheme="minorHAnsi" w:hAnsiTheme="minorHAnsi"/>
          <w:szCs w:val="24"/>
        </w:rPr>
        <w:t>os</w:t>
      </w:r>
      <w:r w:rsidRPr="00B40E3E">
        <w:rPr>
          <w:rFonts w:asciiTheme="minorHAnsi" w:hAnsiTheme="minorHAnsi"/>
          <w:szCs w:val="24"/>
        </w:rPr>
        <w:t xml:space="preserve"> pr</w:t>
      </w:r>
      <w:r w:rsidR="00E3093E" w:rsidRPr="00B40E3E">
        <w:rPr>
          <w:rFonts w:asciiTheme="minorHAnsi" w:hAnsiTheme="minorHAnsi"/>
          <w:szCs w:val="24"/>
        </w:rPr>
        <w:t>oyecto</w:t>
      </w:r>
      <w:r w:rsidR="00F8342A" w:rsidRPr="00B40E3E">
        <w:rPr>
          <w:rFonts w:asciiTheme="minorHAnsi" w:hAnsiTheme="minorHAnsi"/>
          <w:szCs w:val="24"/>
        </w:rPr>
        <w:t>s</w:t>
      </w:r>
      <w:r w:rsidR="00F43D58" w:rsidRPr="00B40E3E">
        <w:rPr>
          <w:rFonts w:asciiTheme="minorHAnsi" w:hAnsiTheme="minorHAnsi"/>
          <w:szCs w:val="24"/>
        </w:rPr>
        <w:t xml:space="preserve"> de Recomendació</w:t>
      </w:r>
      <w:r w:rsidRPr="00B40E3E">
        <w:rPr>
          <w:rFonts w:asciiTheme="minorHAnsi" w:hAnsiTheme="minorHAnsi"/>
          <w:szCs w:val="24"/>
        </w:rPr>
        <w:t xml:space="preserve">n </w:t>
      </w:r>
      <w:r w:rsidR="00F43D58" w:rsidRPr="00B40E3E">
        <w:rPr>
          <w:rFonts w:asciiTheme="minorHAnsi" w:hAnsiTheme="minorHAnsi"/>
          <w:szCs w:val="24"/>
        </w:rPr>
        <w:t xml:space="preserve">UIT-T </w:t>
      </w:r>
      <w:r w:rsidR="00997BC7" w:rsidRPr="00B40E3E">
        <w:rPr>
          <w:rFonts w:asciiTheme="minorHAnsi" w:hAnsiTheme="minorHAnsi"/>
          <w:szCs w:val="24"/>
        </w:rPr>
        <w:t xml:space="preserve">propuestos para </w:t>
      </w:r>
      <w:r w:rsidR="002A5C0E" w:rsidRPr="00B40E3E">
        <w:rPr>
          <w:rFonts w:asciiTheme="minorHAnsi" w:hAnsiTheme="minorHAnsi"/>
          <w:szCs w:val="24"/>
        </w:rPr>
        <w:t>aprobación</w:t>
      </w:r>
      <w:r w:rsidRPr="00B40E3E">
        <w:rPr>
          <w:rFonts w:asciiTheme="minorHAnsi" w:hAnsiTheme="minorHAnsi"/>
          <w:szCs w:val="24"/>
        </w:rPr>
        <w:t>, con indicación de los documentos en que figuran.</w:t>
      </w:r>
    </w:p>
    <w:p w:rsidR="00BB24D2" w:rsidRPr="00B40E3E" w:rsidRDefault="00BB24D2" w:rsidP="0085548A">
      <w:pPr>
        <w:rPr>
          <w:rFonts w:asciiTheme="minorHAnsi" w:hAnsiTheme="minorHAnsi"/>
          <w:szCs w:val="24"/>
        </w:rPr>
      </w:pPr>
      <w:r w:rsidRPr="00B40E3E">
        <w:rPr>
          <w:rFonts w:asciiTheme="minorHAnsi" w:hAnsiTheme="minorHAnsi"/>
          <w:szCs w:val="24"/>
        </w:rPr>
        <w:t>3</w:t>
      </w:r>
      <w:r w:rsidRPr="00B40E3E">
        <w:rPr>
          <w:rFonts w:asciiTheme="minorHAnsi" w:hAnsiTheme="minorHAnsi"/>
          <w:szCs w:val="24"/>
        </w:rPr>
        <w:tab/>
        <w:t xml:space="preserve">Todo Estado Miembro, Miembro de Sector, Asociado o Institución Académica de la UIT consciente de la titularidad de una patente propia o ajena que pueda cubrir total o parcialmente los elementos de los proyectos de Recomendación propuestos para aprobación debe poner esa información en conocimiento de la TSB, de conformidad con la </w:t>
      </w:r>
      <w:r w:rsidR="00573EC6" w:rsidRPr="00B40E3E">
        <w:rPr>
          <w:rFonts w:asciiTheme="minorHAnsi" w:hAnsiTheme="minorHAnsi"/>
          <w:szCs w:val="24"/>
        </w:rPr>
        <w:t xml:space="preserve">política </w:t>
      </w:r>
      <w:r w:rsidR="003E4CC1" w:rsidRPr="00B40E3E">
        <w:rPr>
          <w:rFonts w:asciiTheme="minorHAnsi" w:hAnsiTheme="minorHAnsi"/>
          <w:szCs w:val="24"/>
        </w:rPr>
        <w:t xml:space="preserve">común </w:t>
      </w:r>
      <w:r w:rsidR="00573EC6" w:rsidRPr="00B40E3E">
        <w:rPr>
          <w:rFonts w:asciiTheme="minorHAnsi" w:hAnsiTheme="minorHAnsi"/>
          <w:szCs w:val="24"/>
        </w:rPr>
        <w:t>sobre patentes del UIT</w:t>
      </w:r>
      <w:r w:rsidR="00573EC6" w:rsidRPr="00B40E3E">
        <w:rPr>
          <w:rFonts w:asciiTheme="minorHAnsi" w:hAnsiTheme="minorHAnsi"/>
          <w:szCs w:val="24"/>
        </w:rPr>
        <w:noBreakHyphen/>
      </w:r>
      <w:r w:rsidRPr="00B40E3E">
        <w:rPr>
          <w:rFonts w:asciiTheme="minorHAnsi" w:hAnsiTheme="minorHAnsi"/>
          <w:szCs w:val="24"/>
        </w:rPr>
        <w:t>T/UIT-R/ISO/CEI.</w:t>
      </w:r>
    </w:p>
    <w:p w:rsidR="00BB24D2" w:rsidRPr="00B40E3E" w:rsidRDefault="00BB24D2" w:rsidP="00074A23">
      <w:pPr>
        <w:rPr>
          <w:rFonts w:asciiTheme="minorHAnsi" w:hAnsiTheme="minorHAnsi"/>
          <w:szCs w:val="24"/>
        </w:rPr>
      </w:pPr>
      <w:r w:rsidRPr="00B40E3E">
        <w:rPr>
          <w:rFonts w:asciiTheme="minorHAnsi" w:hAnsiTheme="minorHAnsi"/>
          <w:szCs w:val="24"/>
        </w:rPr>
        <w:t xml:space="preserve">Puede accederse en línea a la información disponible sobre patentes a través del sitio </w:t>
      </w:r>
      <w:r w:rsidR="008212AE" w:rsidRPr="00B40E3E">
        <w:rPr>
          <w:rFonts w:asciiTheme="minorHAnsi" w:hAnsiTheme="minorHAnsi"/>
          <w:szCs w:val="24"/>
        </w:rPr>
        <w:t>web del UIT</w:t>
      </w:r>
      <w:r w:rsidR="008212AE" w:rsidRPr="00B40E3E">
        <w:rPr>
          <w:rFonts w:asciiTheme="minorHAnsi" w:hAnsiTheme="minorHAnsi"/>
          <w:szCs w:val="24"/>
        </w:rPr>
        <w:noBreakHyphen/>
      </w:r>
      <w:r w:rsidRPr="00B40E3E">
        <w:rPr>
          <w:rFonts w:asciiTheme="minorHAnsi" w:hAnsiTheme="minorHAnsi"/>
          <w:szCs w:val="24"/>
        </w:rPr>
        <w:t>T (</w:t>
      </w:r>
      <w:hyperlink r:id="rId12" w:history="1">
        <w:r w:rsidR="00074A23" w:rsidRPr="00B40E3E">
          <w:rPr>
            <w:rStyle w:val="Hyperlink"/>
            <w:rFonts w:asciiTheme="minorHAnsi" w:hAnsiTheme="minorHAnsi"/>
            <w:szCs w:val="24"/>
          </w:rPr>
          <w:t>www.itu.int/ITU-T/ipr/</w:t>
        </w:r>
      </w:hyperlink>
      <w:r w:rsidRPr="00B40E3E">
        <w:rPr>
          <w:rFonts w:asciiTheme="minorHAnsi" w:hAnsiTheme="minorHAnsi"/>
          <w:szCs w:val="24"/>
        </w:rPr>
        <w:t>).</w:t>
      </w:r>
    </w:p>
    <w:p w:rsidR="002A5ECF" w:rsidRDefault="002A5ECF" w:rsidP="002A5ECF">
      <w:r>
        <w:br w:type="page"/>
      </w:r>
    </w:p>
    <w:p w:rsidR="00BB24D2" w:rsidRPr="007A7559" w:rsidRDefault="00BB24D2" w:rsidP="00F8342A">
      <w:r w:rsidRPr="007A7559">
        <w:lastRenderedPageBreak/>
        <w:t>4</w:t>
      </w:r>
      <w:r w:rsidRPr="007A7559">
        <w:tab/>
        <w:t xml:space="preserve">Teniendo en cuenta las disposiciones de la Resolución 1, Sección 9, le agradecería que me comunicase antes de las 24.00 horas UTC del </w:t>
      </w:r>
      <w:r w:rsidR="00F8342A" w:rsidRPr="007A7559">
        <w:rPr>
          <w:b/>
          <w:bCs/>
        </w:rPr>
        <w:t>13</w:t>
      </w:r>
      <w:r w:rsidRPr="007A7559">
        <w:rPr>
          <w:b/>
          <w:bCs/>
        </w:rPr>
        <w:t xml:space="preserve"> de marzo de 201</w:t>
      </w:r>
      <w:r w:rsidR="00F8342A" w:rsidRPr="007A7559">
        <w:rPr>
          <w:b/>
          <w:bCs/>
        </w:rPr>
        <w:t>7</w:t>
      </w:r>
      <w:r w:rsidRPr="007A7559">
        <w:t xml:space="preserve"> si su Administración otorga a la Comisión de Estudio 17 </w:t>
      </w:r>
      <w:r w:rsidR="00F8342A" w:rsidRPr="007A7559">
        <w:t xml:space="preserve">del UIT-T </w:t>
      </w:r>
      <w:r w:rsidRPr="007A7559">
        <w:t>la autoridad necesaria para que durante su reunión puedan considerar la aprobación de</w:t>
      </w:r>
      <w:r w:rsidR="0087251F" w:rsidRPr="007A7559">
        <w:t xml:space="preserve"> estos proyectos de Recomendació</w:t>
      </w:r>
      <w:r w:rsidRPr="007A7559">
        <w:t>n.</w:t>
      </w:r>
    </w:p>
    <w:p w:rsidR="00BB24D2" w:rsidRPr="007A7559" w:rsidRDefault="00BB24D2" w:rsidP="00AA3B75">
      <w:r w:rsidRPr="007A7559">
        <w:t xml:space="preserve">Si algunos Estados Miembros opinan que no puede procederse a considerar la aprobación, deben indicar sus razones de desaprobación así como los posibles cambios que facilitarían el nuevo examen y la aprobación de los proyectos de </w:t>
      </w:r>
      <w:r w:rsidR="00AA3B75" w:rsidRPr="007A7559">
        <w:t>revisi</w:t>
      </w:r>
      <w:r w:rsidR="00E11EC2" w:rsidRPr="007A7559">
        <w:t>ón</w:t>
      </w:r>
      <w:r w:rsidRPr="007A7559">
        <w:t>.</w:t>
      </w:r>
    </w:p>
    <w:p w:rsidR="00BB24D2" w:rsidRPr="007A7559" w:rsidRDefault="00BB24D2" w:rsidP="007A7559">
      <w:r w:rsidRPr="007A7559">
        <w:t>5</w:t>
      </w:r>
      <w:r w:rsidRPr="007A7559">
        <w:tab/>
        <w:t>Si el 70% como mínimo de las respuestas de los Estados Miembros están a favor de que se considere la aprobación de es</w:t>
      </w:r>
      <w:r w:rsidR="00B1568F" w:rsidRPr="007A7559">
        <w:t>tos proyectos de Recomendación</w:t>
      </w:r>
      <w:r w:rsidRPr="007A7559">
        <w:t xml:space="preserve"> en la reunión de la Comisión de Estudio, el </w:t>
      </w:r>
      <w:r w:rsidR="007A7559" w:rsidRPr="007A7559">
        <w:rPr>
          <w:b/>
          <w:bCs/>
        </w:rPr>
        <w:t>30</w:t>
      </w:r>
      <w:r w:rsidRPr="007A7559">
        <w:rPr>
          <w:b/>
          <w:bCs/>
        </w:rPr>
        <w:t xml:space="preserve"> de marzo de 201</w:t>
      </w:r>
      <w:r w:rsidR="007A7559" w:rsidRPr="007A7559">
        <w:rPr>
          <w:b/>
          <w:bCs/>
        </w:rPr>
        <w:t>7</w:t>
      </w:r>
      <w:r w:rsidRPr="007A7559">
        <w:t xml:space="preserve"> se dedicará una Sesión Plenaria a la aplicación del procedimiento de aprobación.</w:t>
      </w:r>
    </w:p>
    <w:p w:rsidR="00BB24D2" w:rsidRPr="007A7559" w:rsidRDefault="00BB24D2" w:rsidP="0085548A">
      <w:r w:rsidRPr="007A7559">
        <w:t xml:space="preserve">Invito pues a su Administración a que envíe un representante a dicha reunión. Se invita a </w:t>
      </w:r>
      <w:r w:rsidR="00F20FF0" w:rsidRPr="007A7559">
        <w:t>las </w:t>
      </w:r>
      <w:r w:rsidRPr="007A7559">
        <w:rPr>
          <w:b/>
          <w:bCs/>
        </w:rPr>
        <w:t>Administraciones de los Estados Miembros de la Unión</w:t>
      </w:r>
      <w:r w:rsidRPr="007A7559">
        <w:t xml:space="preserve"> </w:t>
      </w:r>
      <w:r w:rsidRPr="00147651">
        <w:rPr>
          <w:b/>
          <w:bCs/>
        </w:rPr>
        <w:t xml:space="preserve">a precisar el nombre de su </w:t>
      </w:r>
      <w:r w:rsidR="000247A4" w:rsidRPr="00147651">
        <w:rPr>
          <w:b/>
          <w:bCs/>
        </w:rPr>
        <w:t xml:space="preserve">Jefe </w:t>
      </w:r>
      <w:r w:rsidRPr="00147651">
        <w:rPr>
          <w:b/>
          <w:bCs/>
        </w:rPr>
        <w:t>de delegación. Si su Administración desea estar representada en esa reunión por una empresa de explotación reconocida</w:t>
      </w:r>
      <w:r w:rsidRPr="007A7559">
        <w:t>, un organismo científico o industrial u otra entidad que se ocupe de cuestiones de telecomunicaciones, habrá de comunicarlo al Director de conformidad con lo dispuesto en el Artículo 19, número 239, del Convenio de la UIT.</w:t>
      </w:r>
    </w:p>
    <w:p w:rsidR="00BB24D2" w:rsidRPr="007A7559" w:rsidRDefault="00BB24D2" w:rsidP="007A7559">
      <w:r w:rsidRPr="007A7559">
        <w:t>6</w:t>
      </w:r>
      <w:r w:rsidRPr="007A7559">
        <w:tab/>
        <w:t xml:space="preserve">El orden del día y toda la información pertinente sobre la reunión de la Comisión de Estudio </w:t>
      </w:r>
      <w:r w:rsidR="007A7559" w:rsidRPr="007A7559">
        <w:t xml:space="preserve">UIT-T </w:t>
      </w:r>
      <w:r w:rsidRPr="007A7559">
        <w:t xml:space="preserve">17 figurarán en la Carta </w:t>
      </w:r>
      <w:r w:rsidR="00023FAE" w:rsidRPr="007A7559">
        <w:t xml:space="preserve">Colectiva </w:t>
      </w:r>
      <w:r w:rsidR="007A7559" w:rsidRPr="007A7559">
        <w:t>1</w:t>
      </w:r>
      <w:r w:rsidRPr="007A7559">
        <w:t>/17.</w:t>
      </w:r>
    </w:p>
    <w:p w:rsidR="00BB24D2" w:rsidRPr="007A7559" w:rsidRDefault="00BB24D2" w:rsidP="0085548A">
      <w:pPr>
        <w:rPr>
          <w:szCs w:val="22"/>
        </w:rPr>
      </w:pPr>
      <w:r w:rsidRPr="007A7559">
        <w:t>7</w:t>
      </w:r>
      <w:r w:rsidRPr="007A7559">
        <w:tab/>
        <w:t>Después de la reunión, el Director de la TSB notificará por Circular la decisión tomada sobre estas Recomendaciones. Esta información se publicará también en el Boletín de Explotación de la UIT.</w:t>
      </w:r>
    </w:p>
    <w:p w:rsidR="00BB24D2" w:rsidRDefault="00BB24D2" w:rsidP="0085548A">
      <w:r w:rsidRPr="007A7559">
        <w:t>Atentamente,</w:t>
      </w:r>
    </w:p>
    <w:p w:rsidR="00B40E3E" w:rsidRPr="007A7559" w:rsidRDefault="00B40E3E" w:rsidP="0085548A">
      <w:pPr>
        <w:rPr>
          <w:szCs w:val="22"/>
        </w:rPr>
      </w:pPr>
    </w:p>
    <w:p w:rsidR="00BB24D2" w:rsidRPr="007A7559" w:rsidRDefault="00BB24D2" w:rsidP="00B40E3E">
      <w:pPr>
        <w:spacing w:before="0"/>
        <w:ind w:right="-284"/>
        <w:rPr>
          <w:szCs w:val="22"/>
        </w:rPr>
      </w:pPr>
      <w:r w:rsidRPr="007A7559">
        <w:t>Chaesub Lee</w:t>
      </w:r>
      <w:r w:rsidRPr="007A7559">
        <w:br/>
        <w:t xml:space="preserve">Director de la Oficina de </w:t>
      </w:r>
      <w:r w:rsidR="000C1310" w:rsidRPr="007A7559">
        <w:br/>
      </w:r>
      <w:r w:rsidRPr="007A7559">
        <w:t>Normalización</w:t>
      </w:r>
      <w:r w:rsidR="000C1310" w:rsidRPr="007A7559">
        <w:t xml:space="preserve"> </w:t>
      </w:r>
      <w:r w:rsidRPr="007A7559">
        <w:t>de las Telecomunicaciones</w:t>
      </w:r>
    </w:p>
    <w:p w:rsidR="00BB24D2" w:rsidRPr="007A7559" w:rsidRDefault="00BB24D2" w:rsidP="002A5ECF">
      <w:pPr>
        <w:spacing w:before="2280"/>
        <w:ind w:right="-284"/>
        <w:rPr>
          <w:szCs w:val="22"/>
        </w:rPr>
      </w:pPr>
      <w:r w:rsidRPr="007A7559">
        <w:rPr>
          <w:b/>
        </w:rPr>
        <w:t>Anexo</w:t>
      </w:r>
      <w:r w:rsidR="0085548A" w:rsidRPr="007A7559">
        <w:rPr>
          <w:b/>
        </w:rPr>
        <w:t>:</w:t>
      </w:r>
      <w:r w:rsidR="0085548A" w:rsidRPr="007A7559">
        <w:rPr>
          <w:bCs/>
        </w:rPr>
        <w:t xml:space="preserve"> </w:t>
      </w:r>
      <w:r w:rsidRPr="007A7559">
        <w:rPr>
          <w:bCs/>
        </w:rPr>
        <w:t>1</w:t>
      </w:r>
    </w:p>
    <w:p w:rsidR="002A5ECF" w:rsidRDefault="002A5ECF" w:rsidP="002A5ECF">
      <w:r>
        <w:br w:type="page"/>
      </w:r>
    </w:p>
    <w:p w:rsidR="00BB24D2" w:rsidRPr="00B40E3E" w:rsidRDefault="00BB24D2" w:rsidP="00B40E3E">
      <w:pPr>
        <w:pStyle w:val="AnnexNotitle"/>
        <w:tabs>
          <w:tab w:val="center" w:pos="4819"/>
          <w:tab w:val="left" w:pos="5719"/>
        </w:tabs>
        <w:rPr>
          <w:rFonts w:asciiTheme="minorHAnsi" w:hAnsiTheme="minorHAnsi"/>
          <w:szCs w:val="28"/>
        </w:rPr>
      </w:pPr>
      <w:r w:rsidRPr="00B40E3E">
        <w:rPr>
          <w:rFonts w:asciiTheme="minorHAnsi" w:hAnsiTheme="minorHAnsi"/>
        </w:rPr>
        <w:lastRenderedPageBreak/>
        <w:t>Anexo 1</w:t>
      </w:r>
      <w:r w:rsidR="00B40E3E" w:rsidRPr="00B40E3E">
        <w:rPr>
          <w:rFonts w:asciiTheme="minorHAnsi" w:hAnsiTheme="minorHAnsi"/>
        </w:rPr>
        <w:tab/>
      </w:r>
      <w:r w:rsidR="002A5ECF" w:rsidRPr="00B40E3E">
        <w:rPr>
          <w:rFonts w:asciiTheme="minorHAnsi" w:hAnsiTheme="minorHAnsi"/>
        </w:rPr>
        <w:br/>
      </w:r>
      <w:r w:rsidRPr="00B40E3E">
        <w:rPr>
          <w:rFonts w:asciiTheme="minorHAnsi" w:hAnsiTheme="minorHAnsi"/>
          <w:szCs w:val="28"/>
        </w:rPr>
        <w:t>(</w:t>
      </w:r>
      <w:r w:rsidR="00601902" w:rsidRPr="00B40E3E">
        <w:rPr>
          <w:rFonts w:asciiTheme="minorHAnsi" w:hAnsiTheme="minorHAnsi"/>
          <w:szCs w:val="28"/>
        </w:rPr>
        <w:t xml:space="preserve">a la Circular </w:t>
      </w:r>
      <w:r w:rsidRPr="00B40E3E">
        <w:rPr>
          <w:rFonts w:asciiTheme="minorHAnsi" w:hAnsiTheme="minorHAnsi"/>
          <w:szCs w:val="28"/>
        </w:rPr>
        <w:t xml:space="preserve">TSB </w:t>
      </w:r>
      <w:r w:rsidRPr="00B40E3E">
        <w:rPr>
          <w:rFonts w:asciiTheme="minorHAnsi" w:hAnsiTheme="minorHAnsi"/>
          <w:szCs w:val="28"/>
          <w:cs/>
        </w:rPr>
        <w:t>‎</w:t>
      </w:r>
      <w:r w:rsidR="007A7559" w:rsidRPr="00B40E3E">
        <w:rPr>
          <w:rFonts w:asciiTheme="minorHAnsi" w:hAnsiTheme="minorHAnsi"/>
          <w:szCs w:val="28"/>
        </w:rPr>
        <w:t>246</w:t>
      </w:r>
      <w:r w:rsidRPr="00B40E3E">
        <w:rPr>
          <w:rFonts w:asciiTheme="minorHAnsi" w:hAnsiTheme="minorHAnsi"/>
          <w:szCs w:val="28"/>
          <w:cs/>
        </w:rPr>
        <w:t>‎</w:t>
      </w:r>
      <w:r w:rsidRPr="00B40E3E">
        <w:rPr>
          <w:rFonts w:asciiTheme="minorHAnsi" w:hAnsiTheme="minorHAnsi"/>
          <w:szCs w:val="28"/>
        </w:rPr>
        <w:t>)</w:t>
      </w:r>
    </w:p>
    <w:p w:rsidR="00BB24D2" w:rsidRPr="00B40E3E" w:rsidRDefault="00BB24D2" w:rsidP="00B40E3E">
      <w:pPr>
        <w:pStyle w:val="AnnexTitle"/>
        <w:rPr>
          <w:rFonts w:asciiTheme="minorHAnsi" w:hAnsiTheme="minorHAnsi"/>
          <w:sz w:val="28"/>
          <w:szCs w:val="28"/>
        </w:rPr>
      </w:pPr>
      <w:r w:rsidRPr="00B40E3E">
        <w:rPr>
          <w:rFonts w:asciiTheme="minorHAnsi" w:hAnsiTheme="minorHAnsi"/>
          <w:sz w:val="28"/>
          <w:szCs w:val="28"/>
        </w:rPr>
        <w:t>Resumen y ubicación de los textos</w:t>
      </w:r>
    </w:p>
    <w:p w:rsidR="007A7559" w:rsidRPr="007A7559" w:rsidRDefault="007A7559" w:rsidP="002A5ECF">
      <w:pPr>
        <w:pStyle w:val="Heading1"/>
      </w:pPr>
      <w:r w:rsidRPr="007A7559">
        <w:t>1</w:t>
      </w:r>
      <w:r w:rsidRPr="007A7559">
        <w:tab/>
      </w:r>
      <w:r>
        <w:t>Proyecto de</w:t>
      </w:r>
      <w:r w:rsidRPr="007A7559">
        <w:t xml:space="preserve"> Recomendación UIT-T X.1058 (ex </w:t>
      </w:r>
      <w:proofErr w:type="spellStart"/>
      <w:r w:rsidRPr="007A7559">
        <w:t>X.gpim</w:t>
      </w:r>
      <w:proofErr w:type="spellEnd"/>
      <w:r w:rsidRPr="007A7559">
        <w:t>) (</w:t>
      </w:r>
      <w:hyperlink r:id="rId13" w:history="1">
        <w:r w:rsidR="002A5ECF">
          <w:rPr>
            <w:color w:val="0000FF"/>
            <w:u w:val="single"/>
          </w:rPr>
          <w:t>R 69(Rev.1)</w:t>
        </w:r>
      </w:hyperlink>
      <w:r w:rsidRPr="007A7559">
        <w:t>)</w:t>
      </w:r>
    </w:p>
    <w:p w:rsidR="007A7559" w:rsidRPr="00B65937" w:rsidRDefault="004970B2" w:rsidP="00147651">
      <w:pPr>
        <w:pStyle w:val="Rectitle0"/>
        <w:jc w:val="left"/>
        <w:rPr>
          <w:sz w:val="24"/>
          <w:szCs w:val="24"/>
        </w:rPr>
      </w:pPr>
      <w:r w:rsidRPr="00B65937">
        <w:rPr>
          <w:sz w:val="24"/>
          <w:szCs w:val="24"/>
        </w:rPr>
        <w:t>Tecnología de la información — Técnicas de seguridad — Código de prácticas relativo a la protección de la información de identificación personal</w:t>
      </w:r>
    </w:p>
    <w:p w:rsidR="007A7559" w:rsidRPr="007A7559" w:rsidRDefault="004970B2" w:rsidP="002A5ECF">
      <w:pPr>
        <w:pStyle w:val="headingb"/>
      </w:pPr>
      <w:r>
        <w:t>Resumen</w:t>
      </w:r>
    </w:p>
    <w:p w:rsidR="007A7559" w:rsidRPr="007A7559" w:rsidRDefault="004970B2" w:rsidP="004970B2">
      <w:r w:rsidRPr="004970B2">
        <w:t xml:space="preserve">El número de organizaciones que llevan a cabo el procesamiento de la información de identificación personal (PII, </w:t>
      </w:r>
      <w:proofErr w:type="spellStart"/>
      <w:r w:rsidRPr="00E676C5">
        <w:rPr>
          <w:i/>
          <w:iCs/>
        </w:rPr>
        <w:t>Personally</w:t>
      </w:r>
      <w:proofErr w:type="spellEnd"/>
      <w:r w:rsidRPr="00E676C5">
        <w:rPr>
          <w:i/>
          <w:iCs/>
        </w:rPr>
        <w:t xml:space="preserve"> </w:t>
      </w:r>
      <w:proofErr w:type="spellStart"/>
      <w:r w:rsidRPr="00E676C5">
        <w:rPr>
          <w:i/>
          <w:iCs/>
        </w:rPr>
        <w:t>Identifiable</w:t>
      </w:r>
      <w:proofErr w:type="spellEnd"/>
      <w:r w:rsidRPr="00E676C5">
        <w:rPr>
          <w:i/>
          <w:iCs/>
        </w:rPr>
        <w:t xml:space="preserve"> </w:t>
      </w:r>
      <w:proofErr w:type="spellStart"/>
      <w:r w:rsidRPr="00E676C5">
        <w:rPr>
          <w:i/>
          <w:iCs/>
        </w:rPr>
        <w:t>Information</w:t>
      </w:r>
      <w:proofErr w:type="spellEnd"/>
      <w:r w:rsidRPr="004970B2">
        <w:t>) aumenta sin cesar, del mismo modo que la cantidad de PII que tratan esas organizaciones. Al mismo tiempo, las expectativas de la sociedad respecto de la protección de la PII y la seguridad de los datos personales también están aumentando. Numerosos países incrementan su legislación para hacer frente al número cada vez mayor de graves violaciones a la seguridad de los datos. En esta Recomendación | Norma Internacional se establecen objetivos de control, controles y directrices para la implementación de controles con la finalidad de cumplir los requisitos identificados por la evaluación de los riesgos e incidencias vinculados a la protección de la información de identificación personal. En particular, en la presente Recomendación | Norma Internacional se describen directrices basadas en ISO/CEI 27002, teniendo en cuenta los requisitos necesarios para el procesamiento de la PII que puedan ser aplicables en el contexto de uno o más entornos de riesgo para la seguridad de la información de una organización</w:t>
      </w:r>
      <w:r>
        <w:t>.</w:t>
      </w:r>
    </w:p>
    <w:p w:rsidR="007A7559" w:rsidRPr="007A7559" w:rsidRDefault="007A7559" w:rsidP="002A5ECF">
      <w:pPr>
        <w:pStyle w:val="Heading1"/>
      </w:pPr>
      <w:r w:rsidRPr="007A7559">
        <w:t>2</w:t>
      </w:r>
      <w:r w:rsidRPr="007A7559">
        <w:tab/>
      </w:r>
      <w:r>
        <w:t>Proyecto de</w:t>
      </w:r>
      <w:r w:rsidRPr="007A7559">
        <w:t xml:space="preserve"> Recomendación UIT-T X.1080.0 (ex </w:t>
      </w:r>
      <w:proofErr w:type="spellStart"/>
      <w:r w:rsidRPr="007A7559">
        <w:t>X.pbact</w:t>
      </w:r>
      <w:proofErr w:type="spellEnd"/>
      <w:r w:rsidRPr="007A7559">
        <w:t>) (</w:t>
      </w:r>
      <w:hyperlink r:id="rId14" w:history="1">
        <w:r w:rsidRPr="007A7559">
          <w:rPr>
            <w:color w:val="0000FF"/>
            <w:u w:val="single"/>
          </w:rPr>
          <w:t>R 75</w:t>
        </w:r>
      </w:hyperlink>
      <w:r w:rsidRPr="007A7559">
        <w:t>)</w:t>
      </w:r>
    </w:p>
    <w:p w:rsidR="007A7559" w:rsidRPr="00B65937" w:rsidRDefault="00EF4305" w:rsidP="00147651">
      <w:pPr>
        <w:pStyle w:val="Rectitle0"/>
        <w:jc w:val="left"/>
        <w:rPr>
          <w:sz w:val="24"/>
          <w:szCs w:val="24"/>
        </w:rPr>
      </w:pPr>
      <w:r w:rsidRPr="00B65937">
        <w:rPr>
          <w:sz w:val="24"/>
          <w:szCs w:val="24"/>
        </w:rPr>
        <w:t xml:space="preserve">Control de acceso para la protección de datos </w:t>
      </w:r>
      <w:proofErr w:type="spellStart"/>
      <w:r w:rsidRPr="00B65937">
        <w:rPr>
          <w:sz w:val="24"/>
          <w:szCs w:val="24"/>
        </w:rPr>
        <w:t>telebiométricos</w:t>
      </w:r>
      <w:proofErr w:type="spellEnd"/>
    </w:p>
    <w:p w:rsidR="007A7559" w:rsidRPr="007A7559" w:rsidRDefault="00EF4305" w:rsidP="002A5ECF">
      <w:pPr>
        <w:pStyle w:val="headingb"/>
      </w:pPr>
      <w:r>
        <w:t>Resumen</w:t>
      </w:r>
    </w:p>
    <w:p w:rsidR="007A7559" w:rsidRPr="007A7559" w:rsidRDefault="00EF4305" w:rsidP="002A5ECF">
      <w:r w:rsidRPr="00EF4305">
        <w:t xml:space="preserve">En la Recomendación UIT-T X.1080.0, Control de acceso para la protección de datos </w:t>
      </w:r>
      <w:proofErr w:type="spellStart"/>
      <w:r w:rsidRPr="00EF4305">
        <w:t>telebiométricos</w:t>
      </w:r>
      <w:proofErr w:type="spellEnd"/>
      <w:r w:rsidRPr="00EF4305">
        <w:t xml:space="preserve">, se especifica cómo proteger la información </w:t>
      </w:r>
      <w:proofErr w:type="spellStart"/>
      <w:r w:rsidRPr="00EF4305">
        <w:t>telebiométrica</w:t>
      </w:r>
      <w:proofErr w:type="spellEnd"/>
      <w:r w:rsidRPr="00EF4305">
        <w:t xml:space="preserve"> contra el acceso no autorizado adoptando un enfoque orientado al servicio, donde sólo se facilita la información necesaria para un fin concreto, es decir, que el acceso no sólo se concede en función del derecho a saber, sino también en función de la necesidad de conocer.</w:t>
      </w:r>
      <w:r w:rsidR="002A5ECF">
        <w:t xml:space="preserve"> </w:t>
      </w:r>
      <w:r w:rsidRPr="00EF4305">
        <w:t>La piedra angular de esta Recomendación es una especificación de atributo, incluido en un certificado de atributo o certificado de clave pública, que especifica detalladamente qué privilegios posee una entidad concreta para uno o más tipos de servicios.</w:t>
      </w:r>
      <w:r w:rsidR="002A5ECF">
        <w:t xml:space="preserve"> </w:t>
      </w:r>
      <w:r w:rsidRPr="00EF4305">
        <w:t>La seguridad se da con un perfil de sintaxis de mensaje criptográfico (CMS), que garantiza la autentificación, la integridad y, cuando procede, la confidencialidad (encriptación).</w:t>
      </w:r>
      <w:r w:rsidR="002A5ECF">
        <w:t xml:space="preserve"> </w:t>
      </w:r>
      <w:r w:rsidRPr="00EF4305">
        <w:t xml:space="preserve">Este perfil está previsto para dar seguridad a las especificaciones </w:t>
      </w:r>
      <w:proofErr w:type="spellStart"/>
      <w:r w:rsidRPr="00EF4305">
        <w:t>telebiométricas</w:t>
      </w:r>
      <w:proofErr w:type="spellEnd"/>
      <w:r w:rsidRPr="00EF4305">
        <w:t xml:space="preserve"> en general. El perfil supone la correcta implantación de una infraestructura de clave pública (PKI) y, al mismo tiempo, depende de ella.</w:t>
      </w:r>
      <w:r w:rsidR="002A5ECF">
        <w:t xml:space="preserve"> </w:t>
      </w:r>
      <w:r w:rsidRPr="00EF4305">
        <w:t>La Recomendación UIT-T X.1080.0 también depende de la existencia de una infraestructura de gestión de privilegios (PMI).</w:t>
      </w:r>
    </w:p>
    <w:p w:rsidR="007A7559" w:rsidRPr="007A7559" w:rsidRDefault="007A7559" w:rsidP="002A5ECF">
      <w:pPr>
        <w:pStyle w:val="Heading1"/>
      </w:pPr>
      <w:r w:rsidRPr="007A7559">
        <w:lastRenderedPageBreak/>
        <w:t>3</w:t>
      </w:r>
      <w:r w:rsidRPr="007A7559">
        <w:tab/>
      </w:r>
      <w:r>
        <w:t>Proyecto de</w:t>
      </w:r>
      <w:r w:rsidRPr="007A7559">
        <w:t xml:space="preserve"> Recomendación UIT-T X.1126 (ex X.msec-11) (</w:t>
      </w:r>
      <w:hyperlink r:id="rId15" w:history="1">
        <w:r w:rsidRPr="007A7559">
          <w:rPr>
            <w:color w:val="0000FF"/>
            <w:u w:val="single"/>
          </w:rPr>
          <w:t>R 76</w:t>
        </w:r>
      </w:hyperlink>
      <w:r w:rsidRPr="007A7559">
        <w:t>)</w:t>
      </w:r>
    </w:p>
    <w:p w:rsidR="007A7559" w:rsidRPr="00147651" w:rsidRDefault="004E3BD6" w:rsidP="00147651">
      <w:pPr>
        <w:pStyle w:val="Rectitle0"/>
        <w:jc w:val="left"/>
        <w:rPr>
          <w:sz w:val="24"/>
          <w:szCs w:val="24"/>
        </w:rPr>
      </w:pPr>
      <w:r w:rsidRPr="00147651">
        <w:rPr>
          <w:sz w:val="24"/>
          <w:szCs w:val="24"/>
        </w:rPr>
        <w:t>Directrices para la mitigación de los efectos negativos de los terminales</w:t>
      </w:r>
      <w:r w:rsidR="00651D5D" w:rsidRPr="00147651">
        <w:rPr>
          <w:sz w:val="24"/>
          <w:szCs w:val="24"/>
        </w:rPr>
        <w:t xml:space="preserve"> </w:t>
      </w:r>
      <w:r w:rsidRPr="00147651">
        <w:rPr>
          <w:sz w:val="24"/>
          <w:szCs w:val="24"/>
        </w:rPr>
        <w:t>infectados en las redes móviles</w:t>
      </w:r>
    </w:p>
    <w:p w:rsidR="007A7559" w:rsidRPr="007A7559" w:rsidRDefault="004E3BD6" w:rsidP="002A5ECF">
      <w:pPr>
        <w:pStyle w:val="headingb"/>
      </w:pPr>
      <w:r>
        <w:t>Resumen</w:t>
      </w:r>
    </w:p>
    <w:p w:rsidR="007A7559" w:rsidRPr="007A7559" w:rsidRDefault="004E3BD6" w:rsidP="007A7559">
      <w:r w:rsidRPr="004E3BD6">
        <w:t>La Recomendación UIT-T X.1126 proporciona directrices a los operadores móviles para limitar el número de terminales infectados en las redes móviles mediante la utilización de tecnologías que protejan tanto a los abonados como a los operadores móviles. Del mismo modo, describe las características y las repercusiones del software malicioso en los ecosistemas nocivos del entorno móvil. La presente Recomendación se basa en las tecnologías del lado de red y se centra en la mitigación de los efectos perniciosos de los terminales infectados. Por último, define y organiza medidas de mitigación y tecnologías pertinentes</w:t>
      </w:r>
      <w:r w:rsidR="007A7559" w:rsidRPr="007A7559">
        <w:t>.</w:t>
      </w:r>
    </w:p>
    <w:p w:rsidR="007A7559" w:rsidRPr="007A7559" w:rsidRDefault="007A7559" w:rsidP="00651D5D">
      <w:pPr>
        <w:pStyle w:val="Heading1"/>
      </w:pPr>
      <w:r w:rsidRPr="007A7559">
        <w:t>4</w:t>
      </w:r>
      <w:r w:rsidRPr="007A7559">
        <w:tab/>
      </w:r>
      <w:r>
        <w:t>Proyecto de</w:t>
      </w:r>
      <w:r w:rsidRPr="007A7559">
        <w:t xml:space="preserve"> Recomendación UIT-T X.1212 (ex </w:t>
      </w:r>
      <w:proofErr w:type="spellStart"/>
      <w:r w:rsidRPr="007A7559">
        <w:t>X.cogent</w:t>
      </w:r>
      <w:proofErr w:type="spellEnd"/>
      <w:r w:rsidRPr="007A7559">
        <w:t>) (</w:t>
      </w:r>
      <w:hyperlink r:id="rId16" w:history="1">
        <w:r w:rsidRPr="007A7559">
          <w:rPr>
            <w:color w:val="0000FF"/>
            <w:u w:val="single"/>
          </w:rPr>
          <w:t>R 71</w:t>
        </w:r>
      </w:hyperlink>
      <w:r w:rsidRPr="007A7559">
        <w:t>)</w:t>
      </w:r>
    </w:p>
    <w:p w:rsidR="007A7559" w:rsidRPr="00147651" w:rsidRDefault="004E3BD6" w:rsidP="00147651">
      <w:pPr>
        <w:pStyle w:val="Rectitle0"/>
        <w:jc w:val="left"/>
        <w:rPr>
          <w:sz w:val="24"/>
          <w:szCs w:val="24"/>
        </w:rPr>
      </w:pPr>
      <w:r w:rsidRPr="00147651">
        <w:rPr>
          <w:sz w:val="24"/>
          <w:szCs w:val="24"/>
        </w:rPr>
        <w:t>Consideraciones de diseño para la mejor percepción por el usuario extremo</w:t>
      </w:r>
      <w:r w:rsidR="00651D5D" w:rsidRPr="00147651">
        <w:rPr>
          <w:sz w:val="24"/>
          <w:szCs w:val="24"/>
        </w:rPr>
        <w:t xml:space="preserve"> </w:t>
      </w:r>
      <w:r w:rsidRPr="00147651">
        <w:rPr>
          <w:sz w:val="24"/>
          <w:szCs w:val="24"/>
        </w:rPr>
        <w:t>de los indicadores de fiabilidad</w:t>
      </w:r>
    </w:p>
    <w:p w:rsidR="007A7559" w:rsidRPr="007A7559" w:rsidRDefault="004E3BD6" w:rsidP="00651D5D">
      <w:pPr>
        <w:pStyle w:val="headingb"/>
      </w:pPr>
      <w:r>
        <w:t>Resumen</w:t>
      </w:r>
    </w:p>
    <w:p w:rsidR="007A7559" w:rsidRPr="007A7559" w:rsidRDefault="004E3BD6" w:rsidP="0094395D">
      <w:r w:rsidRPr="004E3BD6">
        <w:t>Ataques de varios tipos emplean la replicación de contenido de proveedores de servicio fiables, engañando así a los usuarios extremos, que creen en esa falsa fiabilidad.</w:t>
      </w:r>
      <w:r>
        <w:t xml:space="preserve"> </w:t>
      </w:r>
      <w:r w:rsidRPr="004E3BD6">
        <w:t>En la Recomendación UIT-T X.1212 se describen las consideraciones de diseño para la mejor percepción por el usuario extremo de los indicadores de fiabilidad. En los Apéndices se describen técnicas representativas para medir la percepción por el usuario extremo de esos indicadores</w:t>
      </w:r>
      <w:r w:rsidR="007A7559" w:rsidRPr="007A7559">
        <w:t>.</w:t>
      </w:r>
    </w:p>
    <w:p w:rsidR="007A7559" w:rsidRPr="007A7559" w:rsidRDefault="007A7559" w:rsidP="00651D5D">
      <w:pPr>
        <w:pStyle w:val="Heading1"/>
      </w:pPr>
      <w:r w:rsidRPr="007A7559">
        <w:t>5</w:t>
      </w:r>
      <w:r w:rsidRPr="007A7559">
        <w:tab/>
      </w:r>
      <w:r>
        <w:t>Proyecto de</w:t>
      </w:r>
      <w:r w:rsidRPr="007A7559">
        <w:t xml:space="preserve"> Recomendación UIT-T X.1362 (ex X.iotsec-1) (</w:t>
      </w:r>
      <w:hyperlink r:id="rId17" w:history="1">
        <w:r w:rsidRPr="007A7559">
          <w:rPr>
            <w:color w:val="0000FF"/>
            <w:u w:val="single"/>
          </w:rPr>
          <w:t>R 77</w:t>
        </w:r>
      </w:hyperlink>
      <w:r w:rsidRPr="007A7559">
        <w:t>)</w:t>
      </w:r>
    </w:p>
    <w:p w:rsidR="007A7559" w:rsidRPr="00147651" w:rsidRDefault="00E676C5" w:rsidP="00651D5D">
      <w:pPr>
        <w:rPr>
          <w:b/>
          <w:bCs/>
        </w:rPr>
      </w:pPr>
      <w:r w:rsidRPr="00147651">
        <w:rPr>
          <w:b/>
          <w:bCs/>
        </w:rPr>
        <w:t>Procedimiento de encriptación simple para la Internet de las cosas</w:t>
      </w:r>
    </w:p>
    <w:p w:rsidR="007A7559" w:rsidRPr="007A7559" w:rsidRDefault="00E676C5" w:rsidP="00651D5D">
      <w:pPr>
        <w:pStyle w:val="headingb"/>
      </w:pPr>
      <w:r>
        <w:t>Resumen</w:t>
      </w:r>
    </w:p>
    <w:p w:rsidR="007A7559" w:rsidRPr="007A7559" w:rsidRDefault="00E676C5" w:rsidP="00E676C5">
      <w:r w:rsidRPr="00E676C5">
        <w:t>La Internet de las cosas (</w:t>
      </w:r>
      <w:proofErr w:type="spellStart"/>
      <w:r w:rsidRPr="00E676C5">
        <w:t>IoT</w:t>
      </w:r>
      <w:proofErr w:type="spellEnd"/>
      <w:r w:rsidRPr="00E676C5">
        <w:t xml:space="preserve">) se considera unas de las esferas más significativas en materia de normalización futura. Desde el punto de vista del UIT-T, la </w:t>
      </w:r>
      <w:proofErr w:type="spellStart"/>
      <w:r w:rsidRPr="00E676C5">
        <w:t>IoT</w:t>
      </w:r>
      <w:proofErr w:type="spellEnd"/>
      <w:r w:rsidRPr="00E676C5">
        <w:t xml:space="preserve"> se define como una infraestructura mundial para la sociedad de la información que permite prestar servicios avanzados mediante la interconexión de objetos (tanto físicos como virtuales). En determinados casos, en particular en lo concerniente a los dispositivos </w:t>
      </w:r>
      <w:proofErr w:type="spellStart"/>
      <w:r w:rsidRPr="00E676C5">
        <w:t>IoT</w:t>
      </w:r>
      <w:proofErr w:type="spellEnd"/>
      <w:r w:rsidRPr="00E676C5">
        <w:t>, es necesario llevar a cabo el procesamiento de tareas en tiempo real en un periodo de tiempo determinado. Con objeto de velar por la confidencialidad y protección integral de los datos, una de las contramedidas fundamentales es la aplicación de algoritmos de encriptación o autentificación de datos. Las aplicaciones normales de los algoritmos de encriptación o autenticación de datos presentan la dificultad de no satisfacer ese requisito. La Recomendación UIT-T X.1362 tiene como objetivo especificar la encriptación con datos de máscara asociados (EAMD) para los dispositivos de la Internet de las cosas. Permite asimismo describir la EAMD y el modo en que ésta proporciona una serie de servicios de seguridad a los efectos de tráfico de datos</w:t>
      </w:r>
      <w:r w:rsidR="007A7559" w:rsidRPr="007A7559">
        <w:t>.</w:t>
      </w:r>
    </w:p>
    <w:p w:rsidR="007A7559" w:rsidRPr="0054071A" w:rsidRDefault="007A7559" w:rsidP="007A7559">
      <w:pPr>
        <w:keepNext/>
        <w:keepLines/>
        <w:spacing w:before="280"/>
        <w:ind w:left="1134" w:hanging="1134"/>
        <w:outlineLvl w:val="0"/>
        <w:rPr>
          <w:b/>
          <w:sz w:val="28"/>
          <w:szCs w:val="28"/>
        </w:rPr>
      </w:pPr>
      <w:r w:rsidRPr="0054071A">
        <w:rPr>
          <w:b/>
          <w:sz w:val="28"/>
          <w:szCs w:val="28"/>
        </w:rPr>
        <w:lastRenderedPageBreak/>
        <w:t>6</w:t>
      </w:r>
      <w:r w:rsidRPr="0054071A">
        <w:rPr>
          <w:b/>
          <w:sz w:val="28"/>
          <w:szCs w:val="28"/>
        </w:rPr>
        <w:tab/>
        <w:t>Proyecto de Recomendación UIT-T X.1373 (ex X.itssec-1) (</w:t>
      </w:r>
      <w:hyperlink r:id="rId18" w:history="1">
        <w:r w:rsidR="00651D5D" w:rsidRPr="0054071A">
          <w:rPr>
            <w:b/>
            <w:color w:val="0000FF"/>
            <w:sz w:val="28"/>
            <w:szCs w:val="28"/>
            <w:u w:val="single"/>
          </w:rPr>
          <w:t>R 78(Rev.2)</w:t>
        </w:r>
      </w:hyperlink>
      <w:r w:rsidRPr="0054071A">
        <w:rPr>
          <w:b/>
          <w:sz w:val="28"/>
          <w:szCs w:val="28"/>
        </w:rPr>
        <w:t>)</w:t>
      </w:r>
    </w:p>
    <w:p w:rsidR="007A7559" w:rsidRPr="00147651" w:rsidRDefault="00E676C5" w:rsidP="00E676C5">
      <w:pPr>
        <w:rPr>
          <w:b/>
          <w:bCs/>
        </w:rPr>
      </w:pPr>
      <w:r w:rsidRPr="00147651">
        <w:rPr>
          <w:b/>
          <w:bCs/>
        </w:rPr>
        <w:t>Capacidad de actualización segura de software en dispositivos de comunicación de sistemas de transporte inteligente</w:t>
      </w:r>
    </w:p>
    <w:p w:rsidR="007A7559" w:rsidRPr="007A7559" w:rsidRDefault="00E676C5" w:rsidP="00651D5D">
      <w:pPr>
        <w:pStyle w:val="headingb"/>
      </w:pPr>
      <w:r>
        <w:t>Resumen</w:t>
      </w:r>
    </w:p>
    <w:p w:rsidR="007A7559" w:rsidRPr="007A7559" w:rsidRDefault="00E676C5" w:rsidP="00E676C5">
      <w:r w:rsidRPr="00E676C5">
        <w:t xml:space="preserve">La mejora de las tecnologías de los sistemas de transporte inteligente (ITS) ha permitido que sea habitual la comunicación entre vehículos y otras entidades, ya sean otros vehículos (comunicaciones vehículo a vehículo, V2V) o infraestructura (comunicaciones vehículo a infraestructura, V2I). Los dispositivos electrónicos en el interior de los vehículos, como las unidades de control electrónicas (ECU), los sistemas electrónicos de pago de peaje (ETC) y los </w:t>
      </w:r>
      <w:bookmarkStart w:id="1" w:name="_GoBack"/>
      <w:bookmarkEnd w:id="1"/>
      <w:r w:rsidRPr="00E676C5">
        <w:t>sistemas de navegación son cada vez más sofisticados. Como resultado de ello, los módulos software de dichos dispositivos electrónicos deben actualizarse adecuadamente para subsanar errores del software y mejorar la calidad de funcionamiento y la seguridad con el fin de evitar accidentes.</w:t>
      </w:r>
      <w:r>
        <w:t xml:space="preserve"> </w:t>
      </w:r>
      <w:r w:rsidRPr="00E676C5">
        <w:t>Con el objetivo de cumplir los requisitos mencionados, la Recomendación UIT.T X.1373 proporciona procedimientos de actualización segura de software que se ejecutan entre el servidor de actualización de software y los vehículos, en los que se aplican controles de seguridad adecuados con el fin de satisfacer esos requisitos. Esta Recomendación puede ser de utilidad para fabricantes de automóviles y para industrias relacionadas con los ITS, como conjunto de capacidades normalizadas para el desarrollo de prácticas idóneas</w:t>
      </w:r>
      <w:r w:rsidR="007A7559" w:rsidRPr="007A7559">
        <w:t>.</w:t>
      </w:r>
    </w:p>
    <w:p w:rsidR="007A7559" w:rsidRPr="007A7559" w:rsidRDefault="007A7559" w:rsidP="00651D5D">
      <w:pPr>
        <w:pStyle w:val="Heading1"/>
      </w:pPr>
      <w:r w:rsidRPr="007A7559">
        <w:t>7</w:t>
      </w:r>
      <w:r w:rsidRPr="007A7559">
        <w:tab/>
      </w:r>
      <w:r>
        <w:t>Proyecto de</w:t>
      </w:r>
      <w:r w:rsidRPr="007A7559">
        <w:t xml:space="preserve"> Recomendación UIT-T X.1550 (ex </w:t>
      </w:r>
      <w:proofErr w:type="spellStart"/>
      <w:r w:rsidRPr="007A7559">
        <w:t>X.nessa</w:t>
      </w:r>
      <w:proofErr w:type="spellEnd"/>
      <w:r w:rsidRPr="007A7559">
        <w:t>) (</w:t>
      </w:r>
      <w:hyperlink r:id="rId19" w:history="1">
        <w:r w:rsidRPr="007A7559">
          <w:rPr>
            <w:color w:val="0000FF"/>
            <w:u w:val="single"/>
          </w:rPr>
          <w:t>R 72</w:t>
        </w:r>
      </w:hyperlink>
      <w:r w:rsidRPr="007A7559">
        <w:t>)</w:t>
      </w:r>
    </w:p>
    <w:p w:rsidR="007A7559" w:rsidRPr="00147651" w:rsidRDefault="00E676C5" w:rsidP="00651D5D">
      <w:pPr>
        <w:rPr>
          <w:b/>
          <w:bCs/>
        </w:rPr>
      </w:pPr>
      <w:r w:rsidRPr="00147651">
        <w:rPr>
          <w:b/>
          <w:bCs/>
        </w:rPr>
        <w:t>Modelos de control de acceso para redes de intercambio de incidentes</w:t>
      </w:r>
    </w:p>
    <w:p w:rsidR="007A7559" w:rsidRPr="007A7559" w:rsidRDefault="00E676C5" w:rsidP="00651D5D">
      <w:pPr>
        <w:pStyle w:val="headingb"/>
      </w:pPr>
      <w:r>
        <w:t>Resumen</w:t>
      </w:r>
    </w:p>
    <w:p w:rsidR="00D03B30" w:rsidRDefault="00E676C5" w:rsidP="00651D5D">
      <w:r w:rsidRPr="00E676C5">
        <w:t xml:space="preserve">En la Recomendación UIT-T X.1550 se describen los métodos existentes para la implementación de las políticas de control de acceso en las redes de intercambio de incidentes. En esta Recomendación se describen varios modelos de control de acceso consolidados, modelos de compartición así como criterios para evaluar la calidad de funcionamiento de una red de intercambio de incidentes. Se analizan soluciones normalizadas para facilitar la implementación de modelos de control de acceso diferentes en modelos de compartición de información de </w:t>
      </w:r>
      <w:proofErr w:type="spellStart"/>
      <w:r w:rsidRPr="00E676C5">
        <w:t>ciberseguridad</w:t>
      </w:r>
      <w:proofErr w:type="spellEnd"/>
      <w:r w:rsidRPr="00E676C5">
        <w:t xml:space="preserve"> diferentes y en entornos con diversos niveles de confianza</w:t>
      </w:r>
      <w:r w:rsidR="007A7559" w:rsidRPr="007A7559">
        <w:t>.</w:t>
      </w:r>
    </w:p>
    <w:p w:rsidR="00651D5D" w:rsidRPr="00147651" w:rsidRDefault="00651D5D" w:rsidP="0032202E">
      <w:pPr>
        <w:pStyle w:val="Reasons"/>
        <w:rPr>
          <w:lang w:val="es-ES_tradnl"/>
        </w:rPr>
      </w:pPr>
    </w:p>
    <w:p w:rsidR="00651D5D" w:rsidRDefault="00651D5D">
      <w:pPr>
        <w:jc w:val="center"/>
      </w:pPr>
      <w:r>
        <w:t>______________</w:t>
      </w:r>
    </w:p>
    <w:p w:rsidR="00651D5D" w:rsidRPr="007A7559" w:rsidRDefault="00651D5D" w:rsidP="00651D5D"/>
    <w:sectPr w:rsidR="00651D5D" w:rsidRPr="007A7559" w:rsidSect="00084627">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BD6" w:rsidRDefault="004E3BD6">
      <w:r>
        <w:separator/>
      </w:r>
    </w:p>
  </w:endnote>
  <w:endnote w:type="continuationSeparator" w:id="0">
    <w:p w:rsidR="004E3BD6" w:rsidRDefault="004E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35" w:rsidRDefault="00623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D6" w:rsidRPr="00147651" w:rsidRDefault="00147651" w:rsidP="00147651">
    <w:pPr>
      <w:tabs>
        <w:tab w:val="clear" w:pos="794"/>
        <w:tab w:val="clear" w:pos="1191"/>
        <w:tab w:val="clear" w:pos="1588"/>
        <w:tab w:val="clear" w:pos="1985"/>
        <w:tab w:val="left" w:pos="5954"/>
        <w:tab w:val="right" w:pos="9639"/>
      </w:tabs>
      <w:spacing w:before="0"/>
      <w:rPr>
        <w:caps/>
        <w:noProof/>
        <w:sz w:val="16"/>
        <w:lang w:val="fr-CH"/>
      </w:rPr>
    </w:pPr>
    <w:r w:rsidRPr="00147651">
      <w:rPr>
        <w:caps/>
        <w:noProof/>
        <w:sz w:val="16"/>
        <w:lang w:val="fr-CH"/>
      </w:rPr>
      <w:t>ITU-T\BUREAU\CIRC\246</w:t>
    </w:r>
    <w:r>
      <w:rPr>
        <w:caps/>
        <w:noProof/>
        <w:sz w:val="16"/>
        <w:lang w:val="fr-CH"/>
      </w:rPr>
      <w:t>S</w:t>
    </w:r>
    <w:r w:rsidRPr="00147651">
      <w:rPr>
        <w:caps/>
        <w:noProof/>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D6" w:rsidRPr="00CD6F6D" w:rsidRDefault="004E3BD6" w:rsidP="00623035">
    <w:pPr>
      <w:pStyle w:val="FirstFooter"/>
      <w:ind w:left="-397" w:right="-397"/>
      <w:jc w:val="center"/>
      <w:rPr>
        <w:color w:val="3E8EDE"/>
        <w:szCs w:val="22"/>
        <w:lang w:val="es-ES"/>
      </w:rPr>
    </w:pPr>
    <w:r w:rsidRPr="00623035">
      <w:rPr>
        <w:szCs w:val="18"/>
        <w:lang w:val="es-ES"/>
      </w:rPr>
      <w:t xml:space="preserve">Unión Internacional de Telecomunicaciones • Place des </w:t>
    </w:r>
    <w:proofErr w:type="spellStart"/>
    <w:r w:rsidRPr="00623035">
      <w:rPr>
        <w:szCs w:val="18"/>
        <w:lang w:val="es-ES"/>
      </w:rPr>
      <w:t>Nations</w:t>
    </w:r>
    <w:proofErr w:type="spellEnd"/>
    <w:r w:rsidRPr="00623035">
      <w:rPr>
        <w:szCs w:val="18"/>
        <w:lang w:val="es-ES"/>
      </w:rPr>
      <w:t xml:space="preserve"> • CH</w:t>
    </w:r>
    <w:r w:rsidRPr="00623035">
      <w:rPr>
        <w:szCs w:val="18"/>
        <w:lang w:val="es-ES"/>
      </w:rPr>
      <w:noBreakHyphen/>
      <w:t>1211 Ginebra 20 • Suiza</w:t>
    </w:r>
    <w:r w:rsidRPr="006E4F7B">
      <w:rPr>
        <w:color w:val="3E8EDE"/>
        <w:szCs w:val="18"/>
        <w:lang w:val="es-ES"/>
      </w:rPr>
      <w:br/>
    </w:r>
    <w:r w:rsidRPr="00623035">
      <w:rPr>
        <w:szCs w:val="18"/>
        <w:lang w:val="es-ES"/>
      </w:rPr>
      <w:t xml:space="preserve">Tel: +41 22 730 5111 • Fax: +41 22 733 7256 • Correo-e: </w:t>
    </w:r>
    <w:hyperlink r:id="rId1" w:history="1">
      <w:r w:rsidR="00623035">
        <w:rPr>
          <w:rStyle w:val="Hyperlink"/>
          <w:szCs w:val="18"/>
        </w:rPr>
        <w:t>itumail@itu.int</w:t>
      </w:r>
    </w:hyperlink>
    <w:r w:rsidRPr="006E4F7B">
      <w:rPr>
        <w:color w:val="3E8EDE"/>
        <w:szCs w:val="18"/>
        <w:lang w:val="es-ES"/>
      </w:rPr>
      <w:t xml:space="preserve"> </w:t>
    </w:r>
    <w:r w:rsidRPr="00623035">
      <w:rPr>
        <w:szCs w:val="18"/>
        <w:lang w:val="es-ES"/>
      </w:rPr>
      <w:t>•</w:t>
    </w:r>
    <w:r w:rsidRPr="006E4F7B">
      <w:rPr>
        <w:color w:val="3E8EDE"/>
        <w:szCs w:val="18"/>
        <w:lang w:val="es-ES"/>
      </w:rPr>
      <w:t xml:space="preserve"> </w:t>
    </w:r>
    <w:hyperlink r:id="rId2" w:history="1">
      <w:r w:rsidR="00623035">
        <w:rPr>
          <w:rStyle w:val="Hyperlink"/>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BD6" w:rsidRDefault="004E3BD6">
      <w:r>
        <w:t>____________________</w:t>
      </w:r>
    </w:p>
  </w:footnote>
  <w:footnote w:type="continuationSeparator" w:id="0">
    <w:p w:rsidR="004E3BD6" w:rsidRDefault="004E3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35" w:rsidRDefault="00623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D6" w:rsidRPr="00303D62" w:rsidRDefault="004E3BD6" w:rsidP="005E386F">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54071A">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35" w:rsidRDefault="00623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D2"/>
    <w:rsid w:val="00002529"/>
    <w:rsid w:val="00023FAE"/>
    <w:rsid w:val="000247A4"/>
    <w:rsid w:val="00055103"/>
    <w:rsid w:val="00056F9C"/>
    <w:rsid w:val="00064354"/>
    <w:rsid w:val="0006731E"/>
    <w:rsid w:val="00074A23"/>
    <w:rsid w:val="00084627"/>
    <w:rsid w:val="000B74F4"/>
    <w:rsid w:val="000C1310"/>
    <w:rsid w:val="000C2F29"/>
    <w:rsid w:val="000C382F"/>
    <w:rsid w:val="001173CC"/>
    <w:rsid w:val="00147651"/>
    <w:rsid w:val="001A54CC"/>
    <w:rsid w:val="001B09B0"/>
    <w:rsid w:val="001F2092"/>
    <w:rsid w:val="00207559"/>
    <w:rsid w:val="002158E9"/>
    <w:rsid w:val="00221678"/>
    <w:rsid w:val="002260AD"/>
    <w:rsid w:val="00257FB4"/>
    <w:rsid w:val="00266E08"/>
    <w:rsid w:val="00290765"/>
    <w:rsid w:val="002A5C0E"/>
    <w:rsid w:val="002A5ECF"/>
    <w:rsid w:val="002A60AC"/>
    <w:rsid w:val="002A6D38"/>
    <w:rsid w:val="00303D62"/>
    <w:rsid w:val="00306D15"/>
    <w:rsid w:val="00335367"/>
    <w:rsid w:val="00367EF7"/>
    <w:rsid w:val="00370C2D"/>
    <w:rsid w:val="003B6BDD"/>
    <w:rsid w:val="003B6D60"/>
    <w:rsid w:val="003C38C8"/>
    <w:rsid w:val="003C3B6F"/>
    <w:rsid w:val="003D1E8D"/>
    <w:rsid w:val="003D673B"/>
    <w:rsid w:val="003E4CC1"/>
    <w:rsid w:val="003F2855"/>
    <w:rsid w:val="00401C20"/>
    <w:rsid w:val="00486B32"/>
    <w:rsid w:val="004970B2"/>
    <w:rsid w:val="004C4144"/>
    <w:rsid w:val="004E3BD6"/>
    <w:rsid w:val="004F2188"/>
    <w:rsid w:val="00507DE2"/>
    <w:rsid w:val="0054071A"/>
    <w:rsid w:val="00573EC6"/>
    <w:rsid w:val="005906AE"/>
    <w:rsid w:val="005E386F"/>
    <w:rsid w:val="00601902"/>
    <w:rsid w:val="00623035"/>
    <w:rsid w:val="006464CA"/>
    <w:rsid w:val="00651D5D"/>
    <w:rsid w:val="00652324"/>
    <w:rsid w:val="00657132"/>
    <w:rsid w:val="00666BBF"/>
    <w:rsid w:val="00690466"/>
    <w:rsid w:val="006905B0"/>
    <w:rsid w:val="006969B4"/>
    <w:rsid w:val="006B1758"/>
    <w:rsid w:val="006D3F6E"/>
    <w:rsid w:val="00701DA1"/>
    <w:rsid w:val="007041BE"/>
    <w:rsid w:val="00721A44"/>
    <w:rsid w:val="00766C24"/>
    <w:rsid w:val="00781E2A"/>
    <w:rsid w:val="007A7559"/>
    <w:rsid w:val="007C1230"/>
    <w:rsid w:val="007D1AEB"/>
    <w:rsid w:val="008212AE"/>
    <w:rsid w:val="00823C1B"/>
    <w:rsid w:val="008258C2"/>
    <w:rsid w:val="008505BD"/>
    <w:rsid w:val="00850C78"/>
    <w:rsid w:val="0085548A"/>
    <w:rsid w:val="008666F8"/>
    <w:rsid w:val="0087251F"/>
    <w:rsid w:val="008C17AD"/>
    <w:rsid w:val="008D02CD"/>
    <w:rsid w:val="009311AF"/>
    <w:rsid w:val="0094395D"/>
    <w:rsid w:val="0095172A"/>
    <w:rsid w:val="00952E42"/>
    <w:rsid w:val="00991430"/>
    <w:rsid w:val="00997BC7"/>
    <w:rsid w:val="009A15CE"/>
    <w:rsid w:val="009C3FB2"/>
    <w:rsid w:val="009F07FF"/>
    <w:rsid w:val="00A0497D"/>
    <w:rsid w:val="00A17BD5"/>
    <w:rsid w:val="00A54E47"/>
    <w:rsid w:val="00A7414E"/>
    <w:rsid w:val="00A94AC9"/>
    <w:rsid w:val="00A96E6A"/>
    <w:rsid w:val="00AA3B75"/>
    <w:rsid w:val="00AB237C"/>
    <w:rsid w:val="00AB243E"/>
    <w:rsid w:val="00AE7093"/>
    <w:rsid w:val="00AF3479"/>
    <w:rsid w:val="00B0144E"/>
    <w:rsid w:val="00B1568F"/>
    <w:rsid w:val="00B223BD"/>
    <w:rsid w:val="00B23546"/>
    <w:rsid w:val="00B32948"/>
    <w:rsid w:val="00B40E3E"/>
    <w:rsid w:val="00B422BC"/>
    <w:rsid w:val="00B43F77"/>
    <w:rsid w:val="00B56E29"/>
    <w:rsid w:val="00B65937"/>
    <w:rsid w:val="00B76824"/>
    <w:rsid w:val="00B81A71"/>
    <w:rsid w:val="00B95F0A"/>
    <w:rsid w:val="00B96180"/>
    <w:rsid w:val="00BB24D2"/>
    <w:rsid w:val="00BC071F"/>
    <w:rsid w:val="00BF0110"/>
    <w:rsid w:val="00BF5401"/>
    <w:rsid w:val="00C17AC0"/>
    <w:rsid w:val="00C20B52"/>
    <w:rsid w:val="00C34772"/>
    <w:rsid w:val="00C56A51"/>
    <w:rsid w:val="00C7232B"/>
    <w:rsid w:val="00C93AAC"/>
    <w:rsid w:val="00C959A3"/>
    <w:rsid w:val="00CB3A32"/>
    <w:rsid w:val="00CD591A"/>
    <w:rsid w:val="00CD6F6D"/>
    <w:rsid w:val="00CE2D4C"/>
    <w:rsid w:val="00D03B30"/>
    <w:rsid w:val="00D03B8C"/>
    <w:rsid w:val="00D81346"/>
    <w:rsid w:val="00D86672"/>
    <w:rsid w:val="00D86DA1"/>
    <w:rsid w:val="00DA23AA"/>
    <w:rsid w:val="00DB2314"/>
    <w:rsid w:val="00DD77C9"/>
    <w:rsid w:val="00E04996"/>
    <w:rsid w:val="00E11EC2"/>
    <w:rsid w:val="00E16A1E"/>
    <w:rsid w:val="00E17046"/>
    <w:rsid w:val="00E27F56"/>
    <w:rsid w:val="00E3093E"/>
    <w:rsid w:val="00E676C5"/>
    <w:rsid w:val="00E830ED"/>
    <w:rsid w:val="00E839B0"/>
    <w:rsid w:val="00E87036"/>
    <w:rsid w:val="00E9195D"/>
    <w:rsid w:val="00E92C09"/>
    <w:rsid w:val="00EB1DA6"/>
    <w:rsid w:val="00EB2E7C"/>
    <w:rsid w:val="00EF4305"/>
    <w:rsid w:val="00EF4343"/>
    <w:rsid w:val="00EF6C15"/>
    <w:rsid w:val="00F01367"/>
    <w:rsid w:val="00F20FF0"/>
    <w:rsid w:val="00F43D58"/>
    <w:rsid w:val="00F47A20"/>
    <w:rsid w:val="00F537F5"/>
    <w:rsid w:val="00F6461F"/>
    <w:rsid w:val="00F74897"/>
    <w:rsid w:val="00F814A5"/>
    <w:rsid w:val="00F8342A"/>
    <w:rsid w:val="00F91059"/>
    <w:rsid w:val="00F9734B"/>
    <w:rsid w:val="00FA5ABD"/>
    <w:rsid w:val="00FB1522"/>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87254CA-8728-45D0-8DE9-5C591A09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C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2A5ECF"/>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cs="Times New Roman Bold"/>
      <w:b/>
      <w:sz w:val="28"/>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A5ECF"/>
    <w:pPr>
      <w:spacing w:before="160"/>
      <w:ind w:left="0" w:firstLine="0"/>
      <w:outlineLvl w:val="9"/>
    </w:pPr>
    <w:rPr>
      <w:bCs/>
      <w:sz w:val="24"/>
    </w:r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85548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17-R-0069" TargetMode="External"/><Relationship Id="rId18" Type="http://schemas.openxmlformats.org/officeDocument/2006/relationships/hyperlink" Target="http://www.itu.int/md/T13-SG17-R-007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T/ipr/" TargetMode="External"/><Relationship Id="rId17" Type="http://schemas.openxmlformats.org/officeDocument/2006/relationships/hyperlink" Target="http://www.itu.int/md/T13-SG17-R-007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T13-SG17-R-007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md/T13-SG17-R-0076"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itu.int/md/T13-SG17-R-0072" TargetMode="Externa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yperlink" Target="http://www.itu.int/md/T13-SG17-R-0075"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8FD1-E993-4ACB-A1F0-2905997A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25</TotalTime>
  <Pages>5</Pages>
  <Words>1803</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12134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174S.DOCX  For: _x000d_Document date: _x000d_Saved by ITU51006837 at 16:40:00 on 09/11/15</dc:description>
  <cp:lastModifiedBy>Millet, Lia</cp:lastModifiedBy>
  <cp:revision>8</cp:revision>
  <cp:lastPrinted>2015-11-11T16:04:00Z</cp:lastPrinted>
  <dcterms:created xsi:type="dcterms:W3CDTF">2016-12-13T17:08:00Z</dcterms:created>
  <dcterms:modified xsi:type="dcterms:W3CDTF">2016-12-14T14:49:00Z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