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6E2BA9" w:rsidTr="00530525">
        <w:trPr>
          <w:cantSplit/>
        </w:trPr>
        <w:tc>
          <w:tcPr>
            <w:tcW w:w="1382" w:type="dxa"/>
            <w:vAlign w:val="center"/>
          </w:tcPr>
          <w:p w:rsidR="00CF1E9D" w:rsidRPr="00D52B7C" w:rsidRDefault="00CF1E9D" w:rsidP="00530525">
            <w:pPr>
              <w:rPr>
                <w:rFonts w:ascii="Verdana" w:hAnsi="Verdana" w:cs="Times New Roman Bold"/>
                <w:b/>
                <w:bCs/>
                <w:sz w:val="22"/>
                <w:szCs w:val="22"/>
                <w:lang w:val="fr-FR"/>
              </w:rPr>
            </w:pPr>
            <w:r w:rsidRPr="00D52B7C">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D52B7C" w:rsidRDefault="001D581B" w:rsidP="00526703">
            <w:pPr>
              <w:rPr>
                <w:rFonts w:ascii="Verdana" w:hAnsi="Verdana" w:cs="Times New Roman Bold"/>
                <w:b/>
                <w:bCs/>
                <w:sz w:val="22"/>
                <w:szCs w:val="22"/>
                <w:lang w:val="fr-FR"/>
              </w:rPr>
            </w:pPr>
            <w:r w:rsidRPr="00D52B7C">
              <w:rPr>
                <w:rFonts w:ascii="Verdana" w:hAnsi="Verdana" w:cs="Times New Roman Bold"/>
                <w:b/>
                <w:bCs/>
                <w:szCs w:val="24"/>
                <w:lang w:val="fr-FR"/>
              </w:rPr>
              <w:t xml:space="preserve">Assemblée mondiale de normalisation </w:t>
            </w:r>
            <w:r w:rsidR="00C26BA2" w:rsidRPr="00D52B7C">
              <w:rPr>
                <w:rFonts w:ascii="Verdana" w:hAnsi="Verdana" w:cs="Times New Roman Bold"/>
                <w:b/>
                <w:bCs/>
                <w:szCs w:val="24"/>
                <w:lang w:val="fr-FR"/>
              </w:rPr>
              <w:br/>
            </w:r>
            <w:r w:rsidRPr="00D52B7C">
              <w:rPr>
                <w:rFonts w:ascii="Verdana" w:hAnsi="Verdana" w:cs="Times New Roman Bold"/>
                <w:b/>
                <w:bCs/>
                <w:szCs w:val="24"/>
                <w:lang w:val="fr-FR"/>
              </w:rPr>
              <w:t xml:space="preserve">des télécommunications </w:t>
            </w:r>
            <w:r w:rsidR="00CF1E9D" w:rsidRPr="00D52B7C">
              <w:rPr>
                <w:rFonts w:ascii="Verdana" w:hAnsi="Verdana" w:cs="Times New Roman Bold"/>
                <w:b/>
                <w:bCs/>
                <w:szCs w:val="24"/>
                <w:lang w:val="fr-FR"/>
              </w:rPr>
              <w:t>(</w:t>
            </w:r>
            <w:r w:rsidRPr="00D52B7C">
              <w:rPr>
                <w:rFonts w:ascii="Verdana" w:hAnsi="Verdana" w:cs="Times New Roman Bold"/>
                <w:b/>
                <w:bCs/>
                <w:szCs w:val="24"/>
                <w:lang w:val="fr-FR"/>
              </w:rPr>
              <w:t>AMNT</w:t>
            </w:r>
            <w:r w:rsidR="00CF1E9D" w:rsidRPr="00D52B7C">
              <w:rPr>
                <w:rFonts w:ascii="Verdana" w:hAnsi="Verdana" w:cs="Times New Roman Bold"/>
                <w:b/>
                <w:bCs/>
                <w:szCs w:val="24"/>
                <w:lang w:val="fr-FR"/>
              </w:rPr>
              <w:t>-16</w:t>
            </w:r>
            <w:proofErr w:type="gramStart"/>
            <w:r w:rsidR="00CF1E9D" w:rsidRPr="00D52B7C">
              <w:rPr>
                <w:rFonts w:ascii="Verdana" w:hAnsi="Verdana" w:cs="Times New Roman Bold"/>
                <w:b/>
                <w:bCs/>
                <w:szCs w:val="24"/>
                <w:lang w:val="fr-FR"/>
              </w:rPr>
              <w:t>)</w:t>
            </w:r>
            <w:proofErr w:type="gramEnd"/>
            <w:r w:rsidR="00CF1E9D" w:rsidRPr="00D52B7C">
              <w:rPr>
                <w:rFonts w:ascii="Verdana" w:hAnsi="Verdana" w:cs="Times New Roman Bold"/>
                <w:b/>
                <w:bCs/>
                <w:sz w:val="22"/>
                <w:szCs w:val="22"/>
                <w:lang w:val="fr-FR"/>
              </w:rPr>
              <w:br/>
            </w:r>
            <w:r w:rsidR="00CF1E9D" w:rsidRPr="00D52B7C">
              <w:rPr>
                <w:rFonts w:ascii="Verdana" w:hAnsi="Verdana" w:cs="Times New Roman Bold"/>
                <w:b/>
                <w:bCs/>
                <w:sz w:val="18"/>
                <w:szCs w:val="18"/>
                <w:lang w:val="fr-FR"/>
              </w:rPr>
              <w:t xml:space="preserve">Hammamet, 25 </w:t>
            </w:r>
            <w:r w:rsidRPr="00D52B7C">
              <w:rPr>
                <w:rFonts w:ascii="Verdana" w:hAnsi="Verdana" w:cs="Times New Roman Bold"/>
                <w:b/>
                <w:bCs/>
                <w:sz w:val="18"/>
                <w:szCs w:val="18"/>
                <w:lang w:val="fr-FR"/>
              </w:rPr>
              <w:t>o</w:t>
            </w:r>
            <w:r w:rsidR="00CF1E9D" w:rsidRPr="00D52B7C">
              <w:rPr>
                <w:rFonts w:ascii="Verdana" w:hAnsi="Verdana" w:cs="Times New Roman Bold"/>
                <w:b/>
                <w:bCs/>
                <w:sz w:val="18"/>
                <w:szCs w:val="18"/>
                <w:lang w:val="fr-FR"/>
              </w:rPr>
              <w:t>ct</w:t>
            </w:r>
            <w:r w:rsidR="00C26BA2" w:rsidRPr="00D52B7C">
              <w:rPr>
                <w:rFonts w:ascii="Verdana" w:hAnsi="Verdana" w:cs="Times New Roman Bold"/>
                <w:b/>
                <w:bCs/>
                <w:sz w:val="18"/>
                <w:szCs w:val="18"/>
                <w:lang w:val="fr-FR"/>
              </w:rPr>
              <w:t xml:space="preserve">obre </w:t>
            </w:r>
            <w:r w:rsidR="00CF1E9D" w:rsidRPr="00D52B7C">
              <w:rPr>
                <w:rFonts w:ascii="Verdana" w:hAnsi="Verdana" w:cs="Times New Roman Bold"/>
                <w:b/>
                <w:bCs/>
                <w:sz w:val="18"/>
                <w:szCs w:val="18"/>
                <w:lang w:val="fr-FR"/>
              </w:rPr>
              <w:t>-</w:t>
            </w:r>
            <w:r w:rsidR="00C26BA2" w:rsidRPr="00D52B7C">
              <w:rPr>
                <w:rFonts w:ascii="Verdana" w:hAnsi="Verdana" w:cs="Times New Roman Bold"/>
                <w:b/>
                <w:bCs/>
                <w:sz w:val="18"/>
                <w:szCs w:val="18"/>
                <w:lang w:val="fr-FR"/>
              </w:rPr>
              <w:t xml:space="preserve"> </w:t>
            </w:r>
            <w:r w:rsidR="00CF1E9D" w:rsidRPr="00D52B7C">
              <w:rPr>
                <w:rFonts w:ascii="Verdana" w:hAnsi="Verdana" w:cs="Times New Roman Bold"/>
                <w:b/>
                <w:bCs/>
                <w:sz w:val="18"/>
                <w:szCs w:val="18"/>
                <w:lang w:val="fr-FR"/>
              </w:rPr>
              <w:t xml:space="preserve">3 </w:t>
            </w:r>
            <w:r w:rsidRPr="00D52B7C">
              <w:rPr>
                <w:rFonts w:ascii="Verdana" w:hAnsi="Verdana" w:cs="Times New Roman Bold"/>
                <w:b/>
                <w:bCs/>
                <w:sz w:val="18"/>
                <w:szCs w:val="18"/>
                <w:lang w:val="fr-FR"/>
              </w:rPr>
              <w:t>n</w:t>
            </w:r>
            <w:r w:rsidR="00CF1E9D" w:rsidRPr="00D52B7C">
              <w:rPr>
                <w:rFonts w:ascii="Verdana" w:hAnsi="Verdana" w:cs="Times New Roman Bold"/>
                <w:b/>
                <w:bCs/>
                <w:sz w:val="18"/>
                <w:szCs w:val="18"/>
                <w:lang w:val="fr-FR"/>
              </w:rPr>
              <w:t>ov</w:t>
            </w:r>
            <w:r w:rsidR="00C26BA2" w:rsidRPr="00D52B7C">
              <w:rPr>
                <w:rFonts w:ascii="Verdana" w:hAnsi="Verdana" w:cs="Times New Roman Bold"/>
                <w:b/>
                <w:bCs/>
                <w:sz w:val="18"/>
                <w:szCs w:val="18"/>
                <w:lang w:val="fr-FR"/>
              </w:rPr>
              <w:t>embre</w:t>
            </w:r>
            <w:r w:rsidR="00CF1E9D" w:rsidRPr="00D52B7C">
              <w:rPr>
                <w:rFonts w:ascii="Verdana" w:hAnsi="Verdana" w:cs="Times New Roman Bold"/>
                <w:b/>
                <w:bCs/>
                <w:sz w:val="18"/>
                <w:szCs w:val="18"/>
                <w:lang w:val="fr-FR"/>
              </w:rPr>
              <w:t xml:space="preserve"> 2016</w:t>
            </w:r>
          </w:p>
        </w:tc>
        <w:tc>
          <w:tcPr>
            <w:tcW w:w="2440" w:type="dxa"/>
            <w:vAlign w:val="center"/>
          </w:tcPr>
          <w:p w:rsidR="00CF1E9D" w:rsidRPr="00D52B7C" w:rsidRDefault="00CF1E9D" w:rsidP="00530525">
            <w:pPr>
              <w:spacing w:before="0"/>
              <w:jc w:val="right"/>
              <w:rPr>
                <w:lang w:val="fr-FR"/>
              </w:rPr>
            </w:pPr>
            <w:r w:rsidRPr="00D52B7C">
              <w:rPr>
                <w:noProof/>
                <w:lang w:eastAsia="zh-CN"/>
              </w:rPr>
              <w:drawing>
                <wp:inline distT="0" distB="0" distL="0" distR="0" wp14:anchorId="17506DF6" wp14:editId="039745B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6E2BA9" w:rsidTr="00530525">
        <w:trPr>
          <w:cantSplit/>
        </w:trPr>
        <w:tc>
          <w:tcPr>
            <w:tcW w:w="6804" w:type="dxa"/>
            <w:gridSpan w:val="2"/>
            <w:tcBorders>
              <w:bottom w:val="single" w:sz="12" w:space="0" w:color="auto"/>
            </w:tcBorders>
          </w:tcPr>
          <w:p w:rsidR="00595780" w:rsidRPr="00D52B7C" w:rsidRDefault="00595780" w:rsidP="00530525">
            <w:pPr>
              <w:spacing w:before="0"/>
              <w:rPr>
                <w:lang w:val="fr-FR"/>
              </w:rPr>
            </w:pPr>
          </w:p>
        </w:tc>
        <w:tc>
          <w:tcPr>
            <w:tcW w:w="3007" w:type="dxa"/>
            <w:gridSpan w:val="2"/>
            <w:tcBorders>
              <w:bottom w:val="single" w:sz="12" w:space="0" w:color="auto"/>
            </w:tcBorders>
          </w:tcPr>
          <w:p w:rsidR="00595780" w:rsidRPr="00D52B7C" w:rsidRDefault="00595780" w:rsidP="00530525">
            <w:pPr>
              <w:spacing w:before="0"/>
              <w:rPr>
                <w:lang w:val="fr-FR"/>
              </w:rPr>
            </w:pPr>
          </w:p>
        </w:tc>
      </w:tr>
      <w:tr w:rsidR="001D581B" w:rsidRPr="006E2BA9" w:rsidTr="00530525">
        <w:trPr>
          <w:cantSplit/>
        </w:trPr>
        <w:tc>
          <w:tcPr>
            <w:tcW w:w="6804" w:type="dxa"/>
            <w:gridSpan w:val="2"/>
            <w:tcBorders>
              <w:top w:val="single" w:sz="12" w:space="0" w:color="auto"/>
            </w:tcBorders>
          </w:tcPr>
          <w:p w:rsidR="00595780" w:rsidRPr="00D52B7C" w:rsidRDefault="00595780" w:rsidP="00530525">
            <w:pPr>
              <w:spacing w:before="0"/>
              <w:rPr>
                <w:lang w:val="fr-FR"/>
              </w:rPr>
            </w:pPr>
          </w:p>
        </w:tc>
        <w:tc>
          <w:tcPr>
            <w:tcW w:w="3007" w:type="dxa"/>
            <w:gridSpan w:val="2"/>
          </w:tcPr>
          <w:p w:rsidR="00595780" w:rsidRPr="00D52B7C" w:rsidRDefault="00595780" w:rsidP="00530525">
            <w:pPr>
              <w:spacing w:before="0"/>
              <w:rPr>
                <w:rFonts w:ascii="Verdana" w:hAnsi="Verdana"/>
                <w:b/>
                <w:bCs/>
                <w:sz w:val="20"/>
                <w:lang w:val="fr-FR"/>
              </w:rPr>
            </w:pPr>
          </w:p>
        </w:tc>
      </w:tr>
      <w:tr w:rsidR="00D240E6" w:rsidRPr="006E2BA9" w:rsidTr="00530525">
        <w:trPr>
          <w:cantSplit/>
        </w:trPr>
        <w:tc>
          <w:tcPr>
            <w:tcW w:w="6804" w:type="dxa"/>
            <w:gridSpan w:val="2"/>
          </w:tcPr>
          <w:p w:rsidR="00D240E6" w:rsidRPr="00D52B7C" w:rsidRDefault="00A06550" w:rsidP="00A06550">
            <w:pPr>
              <w:spacing w:before="0"/>
              <w:rPr>
                <w:lang w:val="fr-FR"/>
              </w:rPr>
            </w:pPr>
            <w:r w:rsidRPr="00D52B7C">
              <w:rPr>
                <w:rFonts w:ascii="Verdana" w:hAnsi="Verdana"/>
                <w:b/>
                <w:sz w:val="20"/>
                <w:lang w:val="fr-FR"/>
              </w:rPr>
              <w:t>SÉANCE PLÉNIÈRE</w:t>
            </w:r>
          </w:p>
        </w:tc>
        <w:tc>
          <w:tcPr>
            <w:tcW w:w="3007" w:type="dxa"/>
            <w:gridSpan w:val="2"/>
          </w:tcPr>
          <w:p w:rsidR="00D240E6" w:rsidRPr="00D52B7C" w:rsidRDefault="00D240E6" w:rsidP="00D240E6">
            <w:pPr>
              <w:pStyle w:val="Docnumber"/>
              <w:ind w:left="-57"/>
              <w:rPr>
                <w:lang w:val="fr-FR"/>
              </w:rPr>
            </w:pPr>
            <w:r w:rsidRPr="00D52B7C">
              <w:rPr>
                <w:lang w:val="fr-FR"/>
              </w:rPr>
              <w:t>Document 23-F</w:t>
            </w:r>
          </w:p>
        </w:tc>
      </w:tr>
      <w:tr w:rsidR="00D240E6" w:rsidRPr="006E2BA9" w:rsidTr="00530525">
        <w:trPr>
          <w:cantSplit/>
        </w:trPr>
        <w:tc>
          <w:tcPr>
            <w:tcW w:w="6804" w:type="dxa"/>
            <w:gridSpan w:val="2"/>
          </w:tcPr>
          <w:p w:rsidR="00D240E6" w:rsidRPr="00D52B7C" w:rsidRDefault="00D240E6" w:rsidP="00D240E6">
            <w:pPr>
              <w:spacing w:before="0"/>
              <w:rPr>
                <w:lang w:val="fr-FR"/>
              </w:rPr>
            </w:pPr>
          </w:p>
        </w:tc>
        <w:tc>
          <w:tcPr>
            <w:tcW w:w="3007" w:type="dxa"/>
            <w:gridSpan w:val="2"/>
          </w:tcPr>
          <w:p w:rsidR="00D240E6" w:rsidRPr="00D52B7C" w:rsidRDefault="00D240E6" w:rsidP="00D240E6">
            <w:pPr>
              <w:pStyle w:val="Docnumber"/>
              <w:ind w:left="-57"/>
              <w:rPr>
                <w:lang w:val="fr-FR"/>
              </w:rPr>
            </w:pPr>
            <w:r w:rsidRPr="00D52B7C">
              <w:rPr>
                <w:lang w:val="fr-FR"/>
              </w:rPr>
              <w:t>Août 2016</w:t>
            </w:r>
          </w:p>
        </w:tc>
      </w:tr>
      <w:tr w:rsidR="00D240E6" w:rsidRPr="006E2BA9" w:rsidTr="00530525">
        <w:trPr>
          <w:cantSplit/>
        </w:trPr>
        <w:tc>
          <w:tcPr>
            <w:tcW w:w="6804" w:type="dxa"/>
            <w:gridSpan w:val="2"/>
          </w:tcPr>
          <w:p w:rsidR="00D240E6" w:rsidRPr="00D52B7C" w:rsidRDefault="00D240E6" w:rsidP="00D240E6">
            <w:pPr>
              <w:spacing w:before="0"/>
              <w:rPr>
                <w:lang w:val="fr-FR"/>
              </w:rPr>
            </w:pPr>
          </w:p>
        </w:tc>
        <w:tc>
          <w:tcPr>
            <w:tcW w:w="3007" w:type="dxa"/>
            <w:gridSpan w:val="2"/>
          </w:tcPr>
          <w:p w:rsidR="00D240E6" w:rsidRPr="00D52B7C" w:rsidRDefault="00D240E6" w:rsidP="00D240E6">
            <w:pPr>
              <w:pStyle w:val="Docnumber"/>
              <w:ind w:left="-57"/>
              <w:rPr>
                <w:lang w:val="fr-FR"/>
              </w:rPr>
            </w:pPr>
            <w:r w:rsidRPr="00D52B7C">
              <w:rPr>
                <w:lang w:val="fr-FR"/>
              </w:rPr>
              <w:t>Original: anglais</w:t>
            </w:r>
          </w:p>
        </w:tc>
      </w:tr>
      <w:tr w:rsidR="000032AD" w:rsidRPr="006E2BA9" w:rsidTr="00530525">
        <w:trPr>
          <w:cantSplit/>
        </w:trPr>
        <w:tc>
          <w:tcPr>
            <w:tcW w:w="9811" w:type="dxa"/>
            <w:gridSpan w:val="4"/>
          </w:tcPr>
          <w:p w:rsidR="000032AD" w:rsidRPr="00D52B7C" w:rsidRDefault="000032AD" w:rsidP="00530525">
            <w:pPr>
              <w:spacing w:before="0"/>
              <w:rPr>
                <w:rFonts w:ascii="Verdana" w:hAnsi="Verdana"/>
                <w:b/>
                <w:bCs/>
                <w:sz w:val="20"/>
                <w:lang w:val="fr-FR"/>
              </w:rPr>
            </w:pPr>
          </w:p>
        </w:tc>
      </w:tr>
      <w:tr w:rsidR="00595780" w:rsidRPr="00D409B4" w:rsidTr="00530525">
        <w:trPr>
          <w:cantSplit/>
        </w:trPr>
        <w:tc>
          <w:tcPr>
            <w:tcW w:w="9811" w:type="dxa"/>
            <w:gridSpan w:val="4"/>
          </w:tcPr>
          <w:p w:rsidR="00595780" w:rsidRPr="00D52B7C" w:rsidRDefault="00EA3156" w:rsidP="00EA3156">
            <w:pPr>
              <w:pStyle w:val="Source"/>
              <w:rPr>
                <w:lang w:val="fr-FR"/>
              </w:rPr>
            </w:pPr>
            <w:r w:rsidRPr="00D52B7C">
              <w:rPr>
                <w:rFonts w:eastAsia="Times New Roman"/>
                <w:lang w:val="fr-FR"/>
              </w:rPr>
              <w:t>Comité d'examen de l'</w:t>
            </w:r>
            <w:r w:rsidR="00A06550" w:rsidRPr="00D52B7C">
              <w:rPr>
                <w:rFonts w:eastAsia="Times New Roman"/>
                <w:lang w:val="fr-FR"/>
              </w:rPr>
              <w:t>U</w:t>
            </w:r>
            <w:r w:rsidRPr="00D52B7C">
              <w:rPr>
                <w:rFonts w:eastAsia="Times New Roman"/>
                <w:lang w:val="fr-FR"/>
              </w:rPr>
              <w:t>IT</w:t>
            </w:r>
            <w:r w:rsidR="00A06550" w:rsidRPr="00D52B7C">
              <w:rPr>
                <w:rFonts w:eastAsia="Times New Roman"/>
                <w:lang w:val="fr-FR"/>
              </w:rPr>
              <w:t xml:space="preserve">-T </w:t>
            </w:r>
          </w:p>
        </w:tc>
      </w:tr>
      <w:tr w:rsidR="00595780" w:rsidRPr="00D409B4" w:rsidTr="00530525">
        <w:trPr>
          <w:cantSplit/>
        </w:trPr>
        <w:tc>
          <w:tcPr>
            <w:tcW w:w="9811" w:type="dxa"/>
            <w:gridSpan w:val="4"/>
          </w:tcPr>
          <w:p w:rsidR="00595780" w:rsidRPr="00D52B7C" w:rsidRDefault="00EA3156" w:rsidP="00353AED">
            <w:pPr>
              <w:pStyle w:val="Title1"/>
              <w:rPr>
                <w:lang w:val="fr-FR"/>
              </w:rPr>
            </w:pPr>
            <w:r w:rsidRPr="00D52B7C">
              <w:rPr>
                <w:lang w:val="fr-FR"/>
              </w:rPr>
              <w:t>rapport du comité d'examen à l'assemblÉe mondiale de normalisation des tÉlÉcommunications (AMNT</w:t>
            </w:r>
            <w:r w:rsidRPr="00D52B7C">
              <w:rPr>
                <w:lang w:val="fr-FR"/>
              </w:rPr>
              <w:noBreakHyphen/>
              <w:t>16)</w:t>
            </w:r>
            <w:r w:rsidR="00FC0ACA" w:rsidRPr="00D52B7C">
              <w:rPr>
                <w:lang w:val="fr-FR"/>
              </w:rPr>
              <w:t xml:space="preserve"> </w:t>
            </w:r>
          </w:p>
        </w:tc>
      </w:tr>
      <w:tr w:rsidR="00595780" w:rsidRPr="00D409B4" w:rsidTr="00530525">
        <w:trPr>
          <w:cantSplit/>
        </w:trPr>
        <w:tc>
          <w:tcPr>
            <w:tcW w:w="9811" w:type="dxa"/>
            <w:gridSpan w:val="4"/>
          </w:tcPr>
          <w:p w:rsidR="00595780" w:rsidRPr="00D52B7C" w:rsidRDefault="00595780" w:rsidP="00530525">
            <w:pPr>
              <w:pStyle w:val="Title2"/>
              <w:rPr>
                <w:lang w:val="fr-FR"/>
              </w:rPr>
            </w:pPr>
          </w:p>
        </w:tc>
      </w:tr>
      <w:tr w:rsidR="00C26BA2" w:rsidRPr="00D409B4" w:rsidTr="00530525">
        <w:trPr>
          <w:cantSplit/>
        </w:trPr>
        <w:tc>
          <w:tcPr>
            <w:tcW w:w="9811" w:type="dxa"/>
            <w:gridSpan w:val="4"/>
          </w:tcPr>
          <w:p w:rsidR="00C26BA2" w:rsidRPr="00D52B7C" w:rsidRDefault="00C26BA2" w:rsidP="00530525">
            <w:pPr>
              <w:pStyle w:val="Agendaitem"/>
              <w:rPr>
                <w:lang w:val="fr-FR"/>
              </w:rPr>
            </w:pPr>
          </w:p>
        </w:tc>
      </w:tr>
    </w:tbl>
    <w:p w:rsidR="00E11197" w:rsidRPr="00D52B7C"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D409B4" w:rsidTr="00A06550">
        <w:trPr>
          <w:cantSplit/>
        </w:trPr>
        <w:tc>
          <w:tcPr>
            <w:tcW w:w="1951" w:type="dxa"/>
          </w:tcPr>
          <w:p w:rsidR="00E11197" w:rsidRPr="00D52B7C" w:rsidRDefault="00E11197" w:rsidP="00A06550">
            <w:pPr>
              <w:rPr>
                <w:lang w:val="fr-FR"/>
              </w:rPr>
            </w:pPr>
            <w:r w:rsidRPr="00D52B7C">
              <w:rPr>
                <w:b/>
                <w:bCs/>
                <w:lang w:val="fr-FR"/>
              </w:rPr>
              <w:t>Résumé:</w:t>
            </w:r>
          </w:p>
        </w:tc>
        <w:sdt>
          <w:sdtPr>
            <w:rPr>
              <w:lang w:val="fr-FR"/>
            </w:rPr>
            <w:alias w:val="Abstract"/>
            <w:tag w:val="Abstract"/>
            <w:id w:val="-1323882526"/>
            <w:placeholder>
              <w:docPart w:val="05B76F1736DE4EA1A085FE6008AE586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D52B7C" w:rsidRDefault="00353AED" w:rsidP="00A123E9">
                <w:pPr>
                  <w:rPr>
                    <w:color w:val="000000" w:themeColor="text1"/>
                    <w:lang w:val="fr-FR"/>
                  </w:rPr>
                </w:pPr>
                <w:r w:rsidRPr="00D52B7C">
                  <w:rPr>
                    <w:lang w:val="fr-FR"/>
                  </w:rPr>
                  <w:t>On trouvera dans le présent document le rapport du Comité d</w:t>
                </w:r>
                <w:r w:rsidR="00FC0ACA" w:rsidRPr="00D52B7C">
                  <w:rPr>
                    <w:lang w:val="fr-FR"/>
                  </w:rPr>
                  <w:t>'</w:t>
                </w:r>
                <w:r w:rsidRPr="00D52B7C">
                  <w:rPr>
                    <w:lang w:val="fr-FR"/>
                  </w:rPr>
                  <w:t>examen de l</w:t>
                </w:r>
                <w:r w:rsidR="00FC0ACA" w:rsidRPr="00D52B7C">
                  <w:rPr>
                    <w:lang w:val="fr-FR"/>
                  </w:rPr>
                  <w:t>'</w:t>
                </w:r>
                <w:r w:rsidRPr="00D52B7C">
                  <w:rPr>
                    <w:lang w:val="fr-FR"/>
                  </w:rPr>
                  <w:t>UIT</w:t>
                </w:r>
                <w:r w:rsidR="00A123E9" w:rsidRPr="00D52B7C">
                  <w:rPr>
                    <w:lang w:val="fr-FR"/>
                  </w:rPr>
                  <w:noBreakHyphen/>
                </w:r>
                <w:r w:rsidRPr="00D52B7C">
                  <w:rPr>
                    <w:lang w:val="fr-FR"/>
                  </w:rPr>
                  <w:t>T</w:t>
                </w:r>
                <w:r w:rsidR="00FC0ACA" w:rsidRPr="00D52B7C">
                  <w:rPr>
                    <w:lang w:val="fr-FR"/>
                  </w:rPr>
                  <w:t xml:space="preserve"> </w:t>
                </w:r>
                <w:r w:rsidR="004311F0" w:rsidRPr="00D52B7C">
                  <w:rPr>
                    <w:lang w:val="fr-FR"/>
                  </w:rPr>
                  <w:t>(</w:t>
                </w:r>
                <w:proofErr w:type="spellStart"/>
                <w:r w:rsidR="004311F0" w:rsidRPr="00D52B7C">
                  <w:rPr>
                    <w:lang w:val="fr-FR"/>
                  </w:rPr>
                  <w:t>RevCom</w:t>
                </w:r>
                <w:proofErr w:type="spellEnd"/>
                <w:r w:rsidR="004311F0" w:rsidRPr="00D52B7C">
                  <w:rPr>
                    <w:lang w:val="fr-FR"/>
                  </w:rPr>
                  <w:t xml:space="preserve">) </w:t>
                </w:r>
                <w:r w:rsidRPr="00D52B7C">
                  <w:rPr>
                    <w:lang w:val="fr-FR"/>
                  </w:rPr>
                  <w:t>pour la période d</w:t>
                </w:r>
                <w:r w:rsidR="00FC0ACA" w:rsidRPr="00D52B7C">
                  <w:rPr>
                    <w:lang w:val="fr-FR"/>
                  </w:rPr>
                  <w:t>'</w:t>
                </w:r>
                <w:r w:rsidRPr="00D52B7C">
                  <w:rPr>
                    <w:lang w:val="fr-FR"/>
                  </w:rPr>
                  <w:t>études</w:t>
                </w:r>
                <w:r w:rsidR="00FC0ACA" w:rsidRPr="00D52B7C">
                  <w:rPr>
                    <w:lang w:val="fr-FR"/>
                  </w:rPr>
                  <w:t xml:space="preserve"> </w:t>
                </w:r>
                <w:r w:rsidR="004311F0" w:rsidRPr="00D52B7C">
                  <w:rPr>
                    <w:lang w:val="fr-FR"/>
                  </w:rPr>
                  <w:t>2013-2016</w:t>
                </w:r>
                <w:r w:rsidR="00FC0ACA" w:rsidRPr="00D52B7C">
                  <w:rPr>
                    <w:lang w:val="fr-FR"/>
                  </w:rPr>
                  <w:t xml:space="preserve"> </w:t>
                </w:r>
              </w:p>
            </w:tc>
          </w:sdtContent>
        </w:sdt>
      </w:tr>
    </w:tbl>
    <w:p w:rsidR="00F776DF" w:rsidRPr="00D52B7C" w:rsidRDefault="00F776DF">
      <w:pPr>
        <w:tabs>
          <w:tab w:val="clear" w:pos="1134"/>
          <w:tab w:val="clear" w:pos="1871"/>
          <w:tab w:val="clear" w:pos="2268"/>
        </w:tabs>
        <w:overflowPunct/>
        <w:autoSpaceDE/>
        <w:autoSpaceDN/>
        <w:adjustRightInd/>
        <w:spacing w:before="0"/>
        <w:textAlignment w:val="auto"/>
        <w:rPr>
          <w:lang w:val="fr-FR"/>
        </w:rPr>
      </w:pPr>
    </w:p>
    <w:p w:rsidR="00F776DF" w:rsidRPr="00D52B7C" w:rsidRDefault="00F776DF">
      <w:pPr>
        <w:tabs>
          <w:tab w:val="clear" w:pos="1134"/>
          <w:tab w:val="clear" w:pos="1871"/>
          <w:tab w:val="clear" w:pos="2268"/>
        </w:tabs>
        <w:overflowPunct/>
        <w:autoSpaceDE/>
        <w:autoSpaceDN/>
        <w:adjustRightInd/>
        <w:spacing w:before="0"/>
        <w:textAlignment w:val="auto"/>
        <w:rPr>
          <w:lang w:val="fr-FR"/>
        </w:rPr>
      </w:pPr>
      <w:r w:rsidRPr="00D52B7C">
        <w:rPr>
          <w:lang w:val="fr-FR"/>
        </w:rPr>
        <w:br w:type="page"/>
      </w:r>
    </w:p>
    <w:p w:rsidR="00A06550" w:rsidRPr="00D52B7C" w:rsidRDefault="00A06550" w:rsidP="00EA3156">
      <w:pPr>
        <w:pStyle w:val="Heading1"/>
        <w:rPr>
          <w:lang w:val="fr-FR" w:eastAsia="ja-JP"/>
        </w:rPr>
      </w:pPr>
      <w:bookmarkStart w:id="0" w:name="_Toc456366803"/>
      <w:r w:rsidRPr="00D52B7C">
        <w:rPr>
          <w:lang w:val="fr-FR" w:eastAsia="ja-JP"/>
        </w:rPr>
        <w:lastRenderedPageBreak/>
        <w:t>1</w:t>
      </w:r>
      <w:r w:rsidRPr="00D52B7C">
        <w:rPr>
          <w:lang w:val="fr-FR" w:eastAsia="ja-JP"/>
        </w:rPr>
        <w:tab/>
        <w:t>Introduction</w:t>
      </w:r>
      <w:bookmarkEnd w:id="0"/>
    </w:p>
    <w:p w:rsidR="00A06550" w:rsidRPr="00D52B7C" w:rsidRDefault="00EA3156" w:rsidP="002B043B">
      <w:pPr>
        <w:tabs>
          <w:tab w:val="clear" w:pos="1134"/>
          <w:tab w:val="clear" w:pos="1871"/>
          <w:tab w:val="clear" w:pos="2268"/>
        </w:tabs>
        <w:overflowPunct/>
        <w:autoSpaceDE/>
        <w:autoSpaceDN/>
        <w:adjustRightInd/>
        <w:textAlignment w:val="auto"/>
        <w:rPr>
          <w:szCs w:val="24"/>
          <w:lang w:val="fr-FR" w:eastAsia="ja-JP"/>
        </w:rPr>
      </w:pPr>
      <w:r w:rsidRPr="00D52B7C">
        <w:rPr>
          <w:lang w:val="fr-FR"/>
        </w:rPr>
        <w:t>Le Comité d'examen de l'UIT-T (</w:t>
      </w:r>
      <w:proofErr w:type="spellStart"/>
      <w:r w:rsidRPr="00D52B7C">
        <w:rPr>
          <w:lang w:val="fr-FR"/>
        </w:rPr>
        <w:t>RevCom</w:t>
      </w:r>
      <w:proofErr w:type="spellEnd"/>
      <w:r w:rsidRPr="00D52B7C">
        <w:rPr>
          <w:lang w:val="fr-FR"/>
        </w:rPr>
        <w:t>) a été créé en vertu de la Résolution 82 (Dubaï, 2012) de l'Assemblée mondiale de normalisation des télécommunications</w:t>
      </w:r>
      <w:r w:rsidR="002B043B" w:rsidRPr="00D52B7C">
        <w:rPr>
          <w:lang w:val="fr-FR"/>
        </w:rPr>
        <w:t xml:space="preserve"> (AMNT)</w:t>
      </w:r>
      <w:r w:rsidRPr="00D52B7C">
        <w:rPr>
          <w:szCs w:val="24"/>
          <w:lang w:val="fr-FR" w:eastAsia="ja-JP"/>
        </w:rPr>
        <w:t>.</w:t>
      </w:r>
      <w:r w:rsidR="00A06550" w:rsidRPr="00D52B7C">
        <w:rPr>
          <w:szCs w:val="24"/>
          <w:lang w:val="fr-FR" w:eastAsia="ja-JP"/>
        </w:rPr>
        <w:t xml:space="preserve"> </w:t>
      </w:r>
      <w:r w:rsidR="002B043B" w:rsidRPr="00D52B7C">
        <w:rPr>
          <w:szCs w:val="24"/>
          <w:lang w:val="fr-FR" w:eastAsia="ja-JP"/>
        </w:rPr>
        <w:t>Son mandat figure dans l</w:t>
      </w:r>
      <w:r w:rsidR="00FC0ACA" w:rsidRPr="00D52B7C">
        <w:rPr>
          <w:szCs w:val="24"/>
          <w:lang w:val="fr-FR" w:eastAsia="ja-JP"/>
        </w:rPr>
        <w:t>'</w:t>
      </w:r>
      <w:hyperlink w:anchor="AnnexC" w:history="1">
        <w:r w:rsidR="00A06550" w:rsidRPr="00D52B7C">
          <w:rPr>
            <w:color w:val="0000FF"/>
            <w:szCs w:val="24"/>
            <w:u w:val="single"/>
            <w:lang w:val="fr-FR" w:eastAsia="ja-JP"/>
          </w:rPr>
          <w:t>Annex</w:t>
        </w:r>
        <w:r w:rsidRPr="00D52B7C">
          <w:rPr>
            <w:color w:val="0000FF"/>
            <w:szCs w:val="24"/>
            <w:u w:val="single"/>
            <w:lang w:val="fr-FR" w:eastAsia="ja-JP"/>
          </w:rPr>
          <w:t>e</w:t>
        </w:r>
        <w:r w:rsidR="00A06550" w:rsidRPr="00D52B7C">
          <w:rPr>
            <w:color w:val="0000FF"/>
            <w:szCs w:val="24"/>
            <w:u w:val="single"/>
            <w:lang w:val="fr-FR" w:eastAsia="ja-JP"/>
          </w:rPr>
          <w:t xml:space="preserve"> C</w:t>
        </w:r>
      </w:hyperlink>
      <w:r w:rsidR="00A06550" w:rsidRPr="00D52B7C">
        <w:rPr>
          <w:szCs w:val="24"/>
          <w:lang w:val="fr-FR" w:eastAsia="ja-JP"/>
        </w:rPr>
        <w:t>.</w:t>
      </w:r>
    </w:p>
    <w:p w:rsidR="00EA3156" w:rsidRPr="00D52B7C" w:rsidRDefault="00EA3156" w:rsidP="00EA3156">
      <w:pPr>
        <w:rPr>
          <w:lang w:val="fr-FR"/>
        </w:rPr>
      </w:pPr>
      <w:r w:rsidRPr="00D52B7C">
        <w:rPr>
          <w:lang w:val="fr-FR"/>
        </w:rPr>
        <w:t>Le principal objectif du Comité d'examen est d'examiner la structure et les méthodes de travail du Secteur de la normalisation des télécommunications de l'UIT (UIT-T)</w:t>
      </w:r>
      <w:r w:rsidR="002B043B" w:rsidRPr="00D52B7C">
        <w:rPr>
          <w:lang w:val="fr-FR"/>
        </w:rPr>
        <w:t>,</w:t>
      </w:r>
      <w:r w:rsidRPr="00D52B7C">
        <w:rPr>
          <w:lang w:val="fr-FR"/>
        </w:rPr>
        <w:t xml:space="preserve"> afin </w:t>
      </w:r>
      <w:r w:rsidR="002B043B" w:rsidRPr="00D52B7C">
        <w:rPr>
          <w:lang w:val="fr-FR"/>
        </w:rPr>
        <w:t xml:space="preserve">de faire en sorte </w:t>
      </w:r>
      <w:r w:rsidRPr="00D52B7C">
        <w:rPr>
          <w:lang w:val="fr-FR"/>
        </w:rPr>
        <w:t>que ce Secteur continue de répondre aux besoins de normalisation dans un environnement commercial en constante évolution.</w:t>
      </w:r>
    </w:p>
    <w:p w:rsidR="00A06550" w:rsidRPr="00D52B7C" w:rsidRDefault="00EA3156" w:rsidP="002B043B">
      <w:pPr>
        <w:tabs>
          <w:tab w:val="clear" w:pos="1134"/>
          <w:tab w:val="clear" w:pos="1871"/>
          <w:tab w:val="clear" w:pos="2268"/>
        </w:tabs>
        <w:overflowPunct/>
        <w:autoSpaceDE/>
        <w:autoSpaceDN/>
        <w:adjustRightInd/>
        <w:textAlignment w:val="auto"/>
        <w:rPr>
          <w:szCs w:val="24"/>
          <w:lang w:val="fr-FR" w:eastAsia="ja-JP"/>
        </w:rPr>
      </w:pPr>
      <w:r w:rsidRPr="00D52B7C">
        <w:rPr>
          <w:lang w:val="fr-FR"/>
        </w:rPr>
        <w:t>Le Comité d'examen</w:t>
      </w:r>
      <w:r w:rsidR="002B043B" w:rsidRPr="00D52B7C">
        <w:rPr>
          <w:lang w:val="fr-FR"/>
        </w:rPr>
        <w:t xml:space="preserve"> a été chargé de </w:t>
      </w:r>
      <w:r w:rsidRPr="00D52B7C">
        <w:rPr>
          <w:lang w:val="fr-FR"/>
        </w:rPr>
        <w:t>soumettre son rapport à l'AMNT-16, sans modifications, par l'intermédiaire du GCNT.</w:t>
      </w:r>
    </w:p>
    <w:p w:rsidR="00A06550" w:rsidRPr="00D52B7C" w:rsidRDefault="002B043B" w:rsidP="002B043B">
      <w:pPr>
        <w:tabs>
          <w:tab w:val="clear" w:pos="1134"/>
          <w:tab w:val="clear" w:pos="1871"/>
          <w:tab w:val="clear" w:pos="2268"/>
        </w:tabs>
        <w:overflowPunct/>
        <w:autoSpaceDE/>
        <w:autoSpaceDN/>
        <w:adjustRightInd/>
        <w:textAlignment w:val="auto"/>
        <w:rPr>
          <w:szCs w:val="24"/>
          <w:lang w:val="fr-FR" w:eastAsia="ja-JP"/>
        </w:rPr>
      </w:pPr>
      <w:r w:rsidRPr="00D52B7C">
        <w:rPr>
          <w:szCs w:val="24"/>
          <w:lang w:val="fr-FR" w:eastAsia="ja-JP"/>
        </w:rPr>
        <w:t>Pendant la période d</w:t>
      </w:r>
      <w:r w:rsidR="00FC0ACA" w:rsidRPr="00D52B7C">
        <w:rPr>
          <w:szCs w:val="24"/>
          <w:lang w:val="fr-FR" w:eastAsia="ja-JP"/>
        </w:rPr>
        <w:t>'</w:t>
      </w:r>
      <w:r w:rsidRPr="00D52B7C">
        <w:rPr>
          <w:szCs w:val="24"/>
          <w:lang w:val="fr-FR" w:eastAsia="ja-JP"/>
        </w:rPr>
        <w:t>études</w:t>
      </w:r>
      <w:r w:rsidR="00FC0ACA" w:rsidRPr="00D52B7C">
        <w:rPr>
          <w:szCs w:val="24"/>
          <w:lang w:val="fr-FR" w:eastAsia="ja-JP"/>
        </w:rPr>
        <w:t xml:space="preserve"> </w:t>
      </w:r>
      <w:r w:rsidR="00A06550" w:rsidRPr="00D52B7C">
        <w:rPr>
          <w:szCs w:val="24"/>
          <w:lang w:val="fr-FR" w:eastAsia="ja-JP"/>
        </w:rPr>
        <w:t>2013-2016</w:t>
      </w:r>
      <w:r w:rsidR="00FC0ACA" w:rsidRPr="00D52B7C">
        <w:rPr>
          <w:szCs w:val="24"/>
          <w:lang w:val="fr-FR" w:eastAsia="ja-JP"/>
        </w:rPr>
        <w:t>,</w:t>
      </w:r>
      <w:r w:rsidR="00EA3156" w:rsidRPr="00D52B7C">
        <w:rPr>
          <w:szCs w:val="24"/>
          <w:lang w:val="fr-FR" w:eastAsia="ja-JP"/>
        </w:rPr>
        <w:t xml:space="preserve"> </w:t>
      </w:r>
      <w:r w:rsidRPr="00D52B7C">
        <w:rPr>
          <w:szCs w:val="24"/>
          <w:lang w:val="fr-FR" w:eastAsia="ja-JP"/>
        </w:rPr>
        <w:t xml:space="preserve">le </w:t>
      </w:r>
      <w:r w:rsidRPr="00D52B7C">
        <w:rPr>
          <w:lang w:val="fr-FR"/>
        </w:rPr>
        <w:t>Comité d'examen a tenu sept réunions</w:t>
      </w:r>
      <w:r w:rsidR="00FC0ACA" w:rsidRPr="00D52B7C">
        <w:rPr>
          <w:lang w:val="fr-FR"/>
        </w:rPr>
        <w:t xml:space="preserve"> </w:t>
      </w:r>
      <w:r w:rsidR="00EA3156" w:rsidRPr="00D52B7C">
        <w:rPr>
          <w:szCs w:val="24"/>
          <w:lang w:val="fr-FR" w:eastAsia="ja-JP"/>
        </w:rPr>
        <w:t>(voir</w:t>
      </w:r>
      <w:r w:rsidR="00A06550" w:rsidRPr="00D52B7C">
        <w:rPr>
          <w:szCs w:val="24"/>
          <w:lang w:val="fr-FR" w:eastAsia="ja-JP"/>
        </w:rPr>
        <w:t xml:space="preserve"> </w:t>
      </w:r>
      <w:r w:rsidR="00EA3156" w:rsidRPr="00D52B7C">
        <w:rPr>
          <w:szCs w:val="24"/>
          <w:lang w:val="fr-FR" w:eastAsia="ja-JP"/>
        </w:rPr>
        <w:t xml:space="preserve">le </w:t>
      </w:r>
      <w:r w:rsidR="00A06550" w:rsidRPr="00D52B7C">
        <w:rPr>
          <w:szCs w:val="24"/>
          <w:lang w:val="fr-FR" w:eastAsia="ja-JP"/>
        </w:rPr>
        <w:t>Table</w:t>
      </w:r>
      <w:r w:rsidR="00EA3156" w:rsidRPr="00D52B7C">
        <w:rPr>
          <w:szCs w:val="24"/>
          <w:lang w:val="fr-FR" w:eastAsia="ja-JP"/>
        </w:rPr>
        <w:t>au</w:t>
      </w:r>
      <w:r w:rsidR="00A06550" w:rsidRPr="00D52B7C">
        <w:rPr>
          <w:szCs w:val="24"/>
          <w:lang w:val="fr-FR" w:eastAsia="ja-JP"/>
        </w:rPr>
        <w:t xml:space="preserve"> 1 </w:t>
      </w:r>
      <w:r w:rsidR="00EA3156" w:rsidRPr="00D52B7C">
        <w:rPr>
          <w:szCs w:val="24"/>
          <w:lang w:val="fr-FR" w:eastAsia="ja-JP"/>
        </w:rPr>
        <w:t>de l'</w:t>
      </w:r>
      <w:hyperlink w:anchor="AnnexA" w:history="1">
        <w:r w:rsidR="00A06550" w:rsidRPr="00D52B7C">
          <w:rPr>
            <w:color w:val="0000FF"/>
            <w:szCs w:val="24"/>
            <w:u w:val="single"/>
            <w:lang w:val="fr-FR" w:eastAsia="ja-JP"/>
          </w:rPr>
          <w:t>Annex</w:t>
        </w:r>
        <w:r w:rsidR="00EA3156" w:rsidRPr="00D52B7C">
          <w:rPr>
            <w:color w:val="0000FF"/>
            <w:szCs w:val="24"/>
            <w:u w:val="single"/>
            <w:lang w:val="fr-FR" w:eastAsia="ja-JP"/>
          </w:rPr>
          <w:t>e </w:t>
        </w:r>
        <w:r w:rsidR="00A06550" w:rsidRPr="00D52B7C">
          <w:rPr>
            <w:color w:val="0000FF"/>
            <w:szCs w:val="24"/>
            <w:u w:val="single"/>
            <w:lang w:val="fr-FR" w:eastAsia="ja-JP"/>
          </w:rPr>
          <w:t>A</w:t>
        </w:r>
      </w:hyperlink>
      <w:r w:rsidR="00A06550" w:rsidRPr="00D52B7C">
        <w:rPr>
          <w:szCs w:val="24"/>
          <w:lang w:val="fr-FR" w:eastAsia="ja-JP"/>
        </w:rPr>
        <w:t>)</w:t>
      </w:r>
      <w:r w:rsidRPr="00D52B7C">
        <w:rPr>
          <w:szCs w:val="24"/>
          <w:lang w:val="fr-FR" w:eastAsia="ja-JP"/>
        </w:rPr>
        <w:t xml:space="preserve"> et examiné </w:t>
      </w:r>
      <w:r w:rsidR="00EA3156" w:rsidRPr="00D52B7C">
        <w:rPr>
          <w:szCs w:val="24"/>
          <w:lang w:val="fr-FR" w:eastAsia="ja-JP"/>
        </w:rPr>
        <w:t xml:space="preserve">40 </w:t>
      </w:r>
      <w:r w:rsidRPr="00D52B7C">
        <w:rPr>
          <w:szCs w:val="24"/>
          <w:lang w:val="fr-FR" w:eastAsia="ja-JP"/>
        </w:rPr>
        <w:t>c</w:t>
      </w:r>
      <w:r w:rsidR="00EA3156" w:rsidRPr="00D52B7C">
        <w:rPr>
          <w:szCs w:val="24"/>
          <w:lang w:val="fr-FR" w:eastAsia="ja-JP"/>
        </w:rPr>
        <w:t>ontributions (voir l'</w:t>
      </w:r>
      <w:hyperlink w:anchor="AnnexB" w:history="1">
        <w:r w:rsidR="00A06550" w:rsidRPr="00D52B7C">
          <w:rPr>
            <w:color w:val="0000FF"/>
            <w:szCs w:val="24"/>
            <w:u w:val="single"/>
            <w:lang w:val="fr-FR" w:eastAsia="ja-JP"/>
          </w:rPr>
          <w:t>Annex</w:t>
        </w:r>
        <w:r w:rsidR="00EA3156" w:rsidRPr="00D52B7C">
          <w:rPr>
            <w:color w:val="0000FF"/>
            <w:szCs w:val="24"/>
            <w:u w:val="single"/>
            <w:lang w:val="fr-FR" w:eastAsia="ja-JP"/>
          </w:rPr>
          <w:t>e</w:t>
        </w:r>
        <w:r w:rsidR="00A06550" w:rsidRPr="00D52B7C">
          <w:rPr>
            <w:color w:val="0000FF"/>
            <w:szCs w:val="24"/>
            <w:u w:val="single"/>
            <w:lang w:val="fr-FR" w:eastAsia="ja-JP"/>
          </w:rPr>
          <w:t xml:space="preserve"> B</w:t>
        </w:r>
      </w:hyperlink>
      <w:r w:rsidR="00A06550" w:rsidRPr="00D52B7C">
        <w:rPr>
          <w:szCs w:val="24"/>
          <w:lang w:val="fr-FR" w:eastAsia="ja-JP"/>
        </w:rPr>
        <w:t xml:space="preserve">). </w:t>
      </w:r>
      <w:r w:rsidR="00584E8A" w:rsidRPr="00D52B7C">
        <w:rPr>
          <w:lang w:val="fr-FR"/>
        </w:rPr>
        <w:t xml:space="preserve">Conformément à son mandat, le </w:t>
      </w:r>
      <w:r w:rsidRPr="00D52B7C">
        <w:rPr>
          <w:lang w:val="fr-FR"/>
        </w:rPr>
        <w:t>Comité d'examen</w:t>
      </w:r>
      <w:r w:rsidR="00584E8A" w:rsidRPr="00D52B7C">
        <w:rPr>
          <w:lang w:val="fr-FR"/>
        </w:rPr>
        <w:t xml:space="preserve"> a fait régulièrement rapport au GCNT sur l'avancement de ses travaux et a tenu compte des commentaires formulés par le GCNT au sujet des rapports d'activité</w:t>
      </w:r>
      <w:r w:rsidR="00FC0ACA" w:rsidRPr="00D52B7C">
        <w:rPr>
          <w:szCs w:val="24"/>
          <w:lang w:val="fr-FR" w:eastAsia="ja-JP"/>
        </w:rPr>
        <w:t>.</w:t>
      </w:r>
    </w:p>
    <w:p w:rsidR="00A06550" w:rsidRPr="00D52B7C" w:rsidRDefault="006F1AEA" w:rsidP="002B043B">
      <w:pPr>
        <w:tabs>
          <w:tab w:val="clear" w:pos="1134"/>
          <w:tab w:val="clear" w:pos="1871"/>
          <w:tab w:val="clear" w:pos="2268"/>
        </w:tabs>
        <w:overflowPunct/>
        <w:autoSpaceDE/>
        <w:autoSpaceDN/>
        <w:adjustRightInd/>
        <w:textAlignment w:val="auto"/>
        <w:rPr>
          <w:szCs w:val="24"/>
          <w:lang w:val="fr-FR" w:eastAsia="ja-JP"/>
        </w:rPr>
      </w:pPr>
      <w:r w:rsidRPr="00D52B7C">
        <w:rPr>
          <w:lang w:val="fr-FR"/>
        </w:rPr>
        <w:t>L'équipe de direction du Comité d'examen</w:t>
      </w:r>
      <w:r w:rsidR="002B043B" w:rsidRPr="00D52B7C">
        <w:rPr>
          <w:lang w:val="fr-FR"/>
        </w:rPr>
        <w:t xml:space="preserve"> était </w:t>
      </w:r>
      <w:r w:rsidRPr="00D52B7C">
        <w:rPr>
          <w:lang w:val="fr-FR"/>
        </w:rPr>
        <w:t>la suivante</w:t>
      </w:r>
      <w:r w:rsidR="00A06550" w:rsidRPr="00D52B7C">
        <w:rPr>
          <w:szCs w:val="24"/>
          <w:lang w:val="fr-FR" w:eastAsia="ja-JP"/>
        </w:rPr>
        <w:t>:</w:t>
      </w:r>
    </w:p>
    <w:p w:rsidR="00A06550" w:rsidRPr="00D52B7C" w:rsidRDefault="00A06550" w:rsidP="006F1AEA">
      <w:pPr>
        <w:pStyle w:val="enumlev1"/>
        <w:rPr>
          <w:lang w:val="fr-FR" w:eastAsia="ja-JP"/>
        </w:rPr>
      </w:pPr>
      <w:r w:rsidRPr="00D52B7C">
        <w:rPr>
          <w:lang w:val="fr-FR" w:eastAsia="ja-JP"/>
        </w:rPr>
        <w:t>−</w:t>
      </w:r>
      <w:r w:rsidRPr="00D52B7C">
        <w:rPr>
          <w:lang w:val="fr-FR" w:eastAsia="ja-JP"/>
        </w:rPr>
        <w:tab/>
      </w:r>
      <w:r w:rsidR="006F1AEA" w:rsidRPr="00D52B7C">
        <w:rPr>
          <w:lang w:val="fr-FR" w:eastAsia="ja-JP"/>
        </w:rPr>
        <w:t>Président</w:t>
      </w:r>
      <w:r w:rsidRPr="00D52B7C">
        <w:rPr>
          <w:lang w:val="fr-FR" w:eastAsia="ja-JP"/>
        </w:rPr>
        <w:t>:</w:t>
      </w:r>
    </w:p>
    <w:p w:rsidR="00A06550" w:rsidRPr="00D52B7C" w:rsidRDefault="00A06550" w:rsidP="00A06550">
      <w:pPr>
        <w:pStyle w:val="enumlev2"/>
        <w:rPr>
          <w:lang w:val="fr-FR" w:eastAsia="ja-JP"/>
        </w:rPr>
      </w:pPr>
      <w:r w:rsidRPr="00D52B7C">
        <w:rPr>
          <w:lang w:val="fr-FR" w:eastAsia="ja-JP"/>
        </w:rPr>
        <w:t>•</w:t>
      </w:r>
      <w:r w:rsidRPr="00D52B7C">
        <w:rPr>
          <w:lang w:val="fr-FR" w:eastAsia="ja-JP"/>
        </w:rPr>
        <w:tab/>
      </w:r>
      <w:proofErr w:type="spellStart"/>
      <w:r w:rsidRPr="00D52B7C">
        <w:rPr>
          <w:lang w:val="fr-FR" w:eastAsia="ja-JP"/>
        </w:rPr>
        <w:t>Yoichi</w:t>
      </w:r>
      <w:proofErr w:type="spellEnd"/>
      <w:r w:rsidRPr="00D52B7C">
        <w:rPr>
          <w:lang w:val="fr-FR" w:eastAsia="ja-JP"/>
        </w:rPr>
        <w:t xml:space="preserve"> MAEDA, </w:t>
      </w:r>
      <w:proofErr w:type="spellStart"/>
      <w:r w:rsidRPr="00D52B7C">
        <w:rPr>
          <w:lang w:val="fr-FR" w:eastAsia="ja-JP"/>
        </w:rPr>
        <w:t>Telecommunic</w:t>
      </w:r>
      <w:r w:rsidR="006F1AEA" w:rsidRPr="00D52B7C">
        <w:rPr>
          <w:lang w:val="fr-FR" w:eastAsia="ja-JP"/>
        </w:rPr>
        <w:t>ation</w:t>
      </w:r>
      <w:proofErr w:type="spellEnd"/>
      <w:r w:rsidR="006F1AEA" w:rsidRPr="00D52B7C">
        <w:rPr>
          <w:lang w:val="fr-FR" w:eastAsia="ja-JP"/>
        </w:rPr>
        <w:t xml:space="preserve"> </w:t>
      </w:r>
      <w:proofErr w:type="spellStart"/>
      <w:r w:rsidR="006F1AEA" w:rsidRPr="00D52B7C">
        <w:rPr>
          <w:lang w:val="fr-FR" w:eastAsia="ja-JP"/>
        </w:rPr>
        <w:t>Technology</w:t>
      </w:r>
      <w:proofErr w:type="spellEnd"/>
      <w:r w:rsidR="006F1AEA" w:rsidRPr="00D52B7C">
        <w:rPr>
          <w:lang w:val="fr-FR" w:eastAsia="ja-JP"/>
        </w:rPr>
        <w:t xml:space="preserve"> Committee (Japo</w:t>
      </w:r>
      <w:r w:rsidRPr="00D52B7C">
        <w:rPr>
          <w:lang w:val="fr-FR" w:eastAsia="ja-JP"/>
        </w:rPr>
        <w:t>n)</w:t>
      </w:r>
    </w:p>
    <w:p w:rsidR="00A06550" w:rsidRPr="00D52B7C" w:rsidRDefault="00A06550" w:rsidP="006F1AEA">
      <w:pPr>
        <w:pStyle w:val="enumlev1"/>
        <w:rPr>
          <w:lang w:val="fr-FR" w:eastAsia="ja-JP"/>
        </w:rPr>
      </w:pPr>
      <w:r w:rsidRPr="00D52B7C">
        <w:rPr>
          <w:lang w:val="fr-FR" w:eastAsia="ja-JP"/>
        </w:rPr>
        <w:t>−</w:t>
      </w:r>
      <w:r w:rsidRPr="00D52B7C">
        <w:rPr>
          <w:lang w:val="fr-FR" w:eastAsia="ja-JP"/>
        </w:rPr>
        <w:tab/>
        <w:t>Vice-</w:t>
      </w:r>
      <w:r w:rsidR="006F1AEA" w:rsidRPr="00D52B7C">
        <w:rPr>
          <w:lang w:val="fr-FR" w:eastAsia="ja-JP"/>
        </w:rPr>
        <w:t>Présidents</w:t>
      </w:r>
      <w:r w:rsidRPr="00D52B7C">
        <w:rPr>
          <w:lang w:val="fr-FR" w:eastAsia="ja-JP"/>
        </w:rPr>
        <w:t>:</w:t>
      </w:r>
    </w:p>
    <w:p w:rsidR="00A06550" w:rsidRPr="00D52B7C" w:rsidRDefault="00A06550" w:rsidP="002B043B">
      <w:pPr>
        <w:pStyle w:val="enumlev2"/>
        <w:rPr>
          <w:lang w:val="fr-FR" w:eastAsia="ja-JP"/>
        </w:rPr>
      </w:pPr>
      <w:r w:rsidRPr="00D52B7C">
        <w:rPr>
          <w:lang w:val="fr-FR" w:eastAsia="ja-JP"/>
        </w:rPr>
        <w:t>•</w:t>
      </w:r>
      <w:r w:rsidRPr="00D52B7C">
        <w:rPr>
          <w:lang w:val="fr-FR" w:eastAsia="ja-JP"/>
        </w:rPr>
        <w:tab/>
      </w:r>
      <w:proofErr w:type="spellStart"/>
      <w:r w:rsidRPr="00D52B7C">
        <w:rPr>
          <w:lang w:val="fr-FR" w:eastAsia="ja-JP"/>
        </w:rPr>
        <w:t>Musab</w:t>
      </w:r>
      <w:proofErr w:type="spellEnd"/>
      <w:r w:rsidRPr="00D52B7C">
        <w:rPr>
          <w:lang w:val="fr-FR" w:eastAsia="ja-JP"/>
        </w:rPr>
        <w:t xml:space="preserve"> ABDULLAH, </w:t>
      </w:r>
      <w:r w:rsidR="002B043B" w:rsidRPr="00D52B7C">
        <w:rPr>
          <w:lang w:val="fr-FR" w:eastAsia="ja-JP"/>
        </w:rPr>
        <w:t>Autorité de régulation des télécommunications de Bahreïn</w:t>
      </w:r>
      <w:r w:rsidR="00FC0ACA" w:rsidRPr="00D52B7C">
        <w:rPr>
          <w:lang w:val="fr-FR" w:eastAsia="ja-JP"/>
        </w:rPr>
        <w:t xml:space="preserve"> </w:t>
      </w:r>
    </w:p>
    <w:p w:rsidR="00A06550" w:rsidRPr="00D52B7C" w:rsidRDefault="00A06550" w:rsidP="00A95B24">
      <w:pPr>
        <w:pStyle w:val="enumlev2"/>
        <w:rPr>
          <w:lang w:val="fr-FR" w:eastAsia="ja-JP"/>
        </w:rPr>
      </w:pPr>
      <w:r w:rsidRPr="00D52B7C">
        <w:rPr>
          <w:lang w:val="fr-FR" w:eastAsia="ja-JP"/>
        </w:rPr>
        <w:t>•</w:t>
      </w:r>
      <w:r w:rsidRPr="00D52B7C">
        <w:rPr>
          <w:lang w:val="fr-FR" w:eastAsia="ja-JP"/>
        </w:rPr>
        <w:tab/>
        <w:t>Reiner LIEBLER,</w:t>
      </w:r>
      <w:r w:rsidR="00A95B24" w:rsidRPr="00D52B7C">
        <w:rPr>
          <w:lang w:val="fr-FR" w:eastAsia="ja-JP"/>
        </w:rPr>
        <w:t xml:space="preserve"> Agence fédérale des réseaux </w:t>
      </w:r>
      <w:r w:rsidRPr="00D52B7C">
        <w:rPr>
          <w:lang w:val="fr-FR" w:eastAsia="ja-JP"/>
        </w:rPr>
        <w:t>(</w:t>
      </w:r>
      <w:r w:rsidR="006F1AEA" w:rsidRPr="00D52B7C">
        <w:rPr>
          <w:lang w:val="fr-FR" w:eastAsia="ja-JP"/>
        </w:rPr>
        <w:t>Allemagne</w:t>
      </w:r>
      <w:r w:rsidRPr="00D52B7C">
        <w:rPr>
          <w:lang w:val="fr-FR" w:eastAsia="ja-JP"/>
        </w:rPr>
        <w:t>)</w:t>
      </w:r>
    </w:p>
    <w:p w:rsidR="00A06550" w:rsidRPr="00D52B7C" w:rsidRDefault="00A06550" w:rsidP="00A06550">
      <w:pPr>
        <w:pStyle w:val="enumlev2"/>
        <w:rPr>
          <w:lang w:val="es-ES_tradnl" w:eastAsia="ja-JP"/>
        </w:rPr>
      </w:pPr>
      <w:r w:rsidRPr="00D52B7C">
        <w:rPr>
          <w:lang w:val="es-ES_tradnl" w:eastAsia="ja-JP"/>
        </w:rPr>
        <w:t>•</w:t>
      </w:r>
      <w:r w:rsidRPr="00D52B7C">
        <w:rPr>
          <w:lang w:val="es-ES_tradnl" w:eastAsia="ja-JP"/>
        </w:rPr>
        <w:tab/>
      </w:r>
      <w:proofErr w:type="spellStart"/>
      <w:r w:rsidRPr="00D52B7C">
        <w:rPr>
          <w:lang w:val="es-ES_tradnl" w:eastAsia="ja-JP"/>
        </w:rPr>
        <w:t>Jim</w:t>
      </w:r>
      <w:proofErr w:type="spellEnd"/>
      <w:r w:rsidRPr="00D52B7C">
        <w:rPr>
          <w:lang w:val="es-ES_tradnl" w:eastAsia="ja-JP"/>
        </w:rPr>
        <w:t xml:space="preserve"> MACFIE, Microsoft </w:t>
      </w:r>
      <w:proofErr w:type="spellStart"/>
      <w:r w:rsidRPr="00D52B7C">
        <w:rPr>
          <w:lang w:val="es-ES_tradnl" w:eastAsia="ja-JP"/>
        </w:rPr>
        <w:t>Canada</w:t>
      </w:r>
      <w:proofErr w:type="spellEnd"/>
      <w:r w:rsidRPr="00D52B7C">
        <w:rPr>
          <w:lang w:val="es-ES_tradnl" w:eastAsia="ja-JP"/>
        </w:rPr>
        <w:t xml:space="preserve"> (</w:t>
      </w:r>
      <w:proofErr w:type="spellStart"/>
      <w:r w:rsidRPr="00D52B7C">
        <w:rPr>
          <w:lang w:val="es-ES_tradnl" w:eastAsia="ja-JP"/>
        </w:rPr>
        <w:t>Canada</w:t>
      </w:r>
      <w:proofErr w:type="spellEnd"/>
      <w:r w:rsidRPr="00D52B7C">
        <w:rPr>
          <w:lang w:val="es-ES_tradnl" w:eastAsia="ja-JP"/>
        </w:rPr>
        <w:t>)</w:t>
      </w:r>
    </w:p>
    <w:p w:rsidR="00A06550" w:rsidRPr="00D52B7C" w:rsidRDefault="00A06550" w:rsidP="002B043B">
      <w:pPr>
        <w:pStyle w:val="enumlev2"/>
        <w:rPr>
          <w:lang w:val="fr-FR" w:eastAsia="ja-JP"/>
        </w:rPr>
      </w:pPr>
      <w:r w:rsidRPr="00D52B7C">
        <w:rPr>
          <w:lang w:val="fr-FR" w:eastAsia="ja-JP"/>
        </w:rPr>
        <w:t>•</w:t>
      </w:r>
      <w:r w:rsidRPr="00D52B7C">
        <w:rPr>
          <w:lang w:val="fr-FR" w:eastAsia="ja-JP"/>
        </w:rPr>
        <w:tab/>
        <w:t>Fabie</w:t>
      </w:r>
      <w:r w:rsidR="006F1AEA" w:rsidRPr="00D52B7C">
        <w:rPr>
          <w:lang w:val="fr-FR" w:eastAsia="ja-JP"/>
        </w:rPr>
        <w:t>n MBENG EKOGHA, Ministère de l'économie n</w:t>
      </w:r>
      <w:r w:rsidRPr="00D52B7C">
        <w:rPr>
          <w:lang w:val="fr-FR" w:eastAsia="ja-JP"/>
        </w:rPr>
        <w:t xml:space="preserve">umérique, de la </w:t>
      </w:r>
      <w:r w:rsidR="002B043B" w:rsidRPr="00D52B7C">
        <w:rPr>
          <w:lang w:val="fr-FR" w:eastAsia="ja-JP"/>
        </w:rPr>
        <w:t>c</w:t>
      </w:r>
      <w:r w:rsidRPr="00D52B7C">
        <w:rPr>
          <w:lang w:val="fr-FR" w:eastAsia="ja-JP"/>
        </w:rPr>
        <w:t xml:space="preserve">ommunication et de la </w:t>
      </w:r>
      <w:r w:rsidR="002B043B" w:rsidRPr="00D52B7C">
        <w:rPr>
          <w:lang w:val="fr-FR" w:eastAsia="ja-JP"/>
        </w:rPr>
        <w:t>p</w:t>
      </w:r>
      <w:r w:rsidRPr="00D52B7C">
        <w:rPr>
          <w:lang w:val="fr-FR" w:eastAsia="ja-JP"/>
        </w:rPr>
        <w:t>oste (Gabon) (2013-2015)</w:t>
      </w:r>
    </w:p>
    <w:p w:rsidR="00A06550" w:rsidRPr="00D52B7C" w:rsidRDefault="00A06550" w:rsidP="00A06550">
      <w:pPr>
        <w:pStyle w:val="enumlev2"/>
        <w:rPr>
          <w:lang w:val="fr-FR" w:eastAsia="ja-JP"/>
        </w:rPr>
      </w:pPr>
      <w:r w:rsidRPr="00D52B7C">
        <w:rPr>
          <w:lang w:val="fr-FR" w:eastAsia="ja-JP"/>
        </w:rPr>
        <w:t>•</w:t>
      </w:r>
      <w:r w:rsidRPr="00D52B7C">
        <w:rPr>
          <w:lang w:val="fr-FR" w:eastAsia="ja-JP"/>
        </w:rPr>
        <w:tab/>
        <w:t xml:space="preserve">Guy-Michel KOUAKOU, Autorité de </w:t>
      </w:r>
      <w:r w:rsidR="006F1AEA" w:rsidRPr="00D52B7C">
        <w:rPr>
          <w:lang w:val="fr-FR" w:eastAsia="ja-JP"/>
        </w:rPr>
        <w:t>régulation des télécommunications</w:t>
      </w:r>
      <w:r w:rsidRPr="00D52B7C">
        <w:rPr>
          <w:lang w:val="fr-FR" w:eastAsia="ja-JP"/>
        </w:rPr>
        <w:t>/TIC, ARTCI (Côte d'Ivoire) (2015-2016)</w:t>
      </w:r>
    </w:p>
    <w:p w:rsidR="00A06550" w:rsidRPr="00D52B7C" w:rsidRDefault="00A06550" w:rsidP="002B043B">
      <w:pPr>
        <w:pStyle w:val="enumlev2"/>
        <w:rPr>
          <w:lang w:val="fr-FR" w:eastAsia="ja-JP"/>
        </w:rPr>
      </w:pPr>
      <w:r w:rsidRPr="00D52B7C">
        <w:rPr>
          <w:lang w:val="fr-FR" w:eastAsia="ja-JP"/>
        </w:rPr>
        <w:t>•</w:t>
      </w:r>
      <w:r w:rsidRPr="00D52B7C">
        <w:rPr>
          <w:lang w:val="fr-FR" w:eastAsia="ja-JP"/>
        </w:rPr>
        <w:tab/>
        <w:t xml:space="preserve">Albert NALBANDIAN, </w:t>
      </w:r>
      <w:r w:rsidR="002B043B" w:rsidRPr="00D52B7C">
        <w:rPr>
          <w:lang w:val="fr-FR" w:eastAsia="ja-JP"/>
        </w:rPr>
        <w:t>Ministère des transports et des communications (Arménie)</w:t>
      </w:r>
      <w:r w:rsidR="00FC0ACA" w:rsidRPr="00D52B7C">
        <w:rPr>
          <w:lang w:val="fr-FR" w:eastAsia="ja-JP"/>
        </w:rPr>
        <w:t xml:space="preserve"> </w:t>
      </w:r>
    </w:p>
    <w:p w:rsidR="00A06550" w:rsidRPr="00D52B7C" w:rsidRDefault="00A06550" w:rsidP="002B043B">
      <w:pPr>
        <w:pStyle w:val="enumlev2"/>
        <w:rPr>
          <w:lang w:val="fr-FR" w:eastAsia="ja-JP"/>
        </w:rPr>
      </w:pPr>
      <w:r w:rsidRPr="00D52B7C">
        <w:rPr>
          <w:lang w:val="fr-FR" w:eastAsia="ja-JP"/>
        </w:rPr>
        <w:t>•</w:t>
      </w:r>
      <w:r w:rsidRPr="00D52B7C">
        <w:rPr>
          <w:lang w:val="fr-FR" w:eastAsia="ja-JP"/>
        </w:rPr>
        <w:tab/>
      </w:r>
      <w:proofErr w:type="spellStart"/>
      <w:r w:rsidRPr="00D52B7C">
        <w:rPr>
          <w:lang w:val="fr-FR" w:eastAsia="ja-JP"/>
        </w:rPr>
        <w:t>Kishik</w:t>
      </w:r>
      <w:proofErr w:type="spellEnd"/>
      <w:r w:rsidRPr="00D52B7C">
        <w:rPr>
          <w:lang w:val="fr-FR" w:eastAsia="ja-JP"/>
        </w:rPr>
        <w:t xml:space="preserve"> PARK, </w:t>
      </w:r>
      <w:r w:rsidR="002B043B" w:rsidRPr="00D52B7C">
        <w:rPr>
          <w:color w:val="000000"/>
          <w:lang w:val="fr-FR"/>
        </w:rPr>
        <w:t>Institut de recherche en électronique et télécommunication,</w:t>
      </w:r>
      <w:r w:rsidR="002B043B" w:rsidRPr="00D52B7C">
        <w:rPr>
          <w:lang w:val="fr-FR" w:eastAsia="ja-JP"/>
        </w:rPr>
        <w:t xml:space="preserve"> </w:t>
      </w:r>
      <w:r w:rsidRPr="00D52B7C">
        <w:rPr>
          <w:lang w:val="fr-FR" w:eastAsia="ja-JP"/>
        </w:rPr>
        <w:t>(</w:t>
      </w:r>
      <w:proofErr w:type="spellStart"/>
      <w:r w:rsidRPr="00D52B7C">
        <w:rPr>
          <w:lang w:val="fr-FR" w:eastAsia="ja-JP"/>
        </w:rPr>
        <w:t>R</w:t>
      </w:r>
      <w:r w:rsidR="006F1AEA" w:rsidRPr="00D52B7C">
        <w:rPr>
          <w:lang w:val="fr-FR" w:eastAsia="ja-JP"/>
        </w:rPr>
        <w:t>é</w:t>
      </w:r>
      <w:r w:rsidR="00952BB4">
        <w:rPr>
          <w:lang w:val="fr-FR" w:eastAsia="ja-JP"/>
        </w:rPr>
        <w:t>p</w:t>
      </w:r>
      <w:proofErr w:type="spellEnd"/>
      <w:r w:rsidR="00952BB4">
        <w:rPr>
          <w:lang w:val="fr-FR" w:eastAsia="ja-JP"/>
        </w:rPr>
        <w:t>. </w:t>
      </w:r>
      <w:r w:rsidR="006F1AEA" w:rsidRPr="00D52B7C">
        <w:rPr>
          <w:lang w:val="fr-FR" w:eastAsia="ja-JP"/>
        </w:rPr>
        <w:t>de Corée</w:t>
      </w:r>
      <w:r w:rsidRPr="00D52B7C">
        <w:rPr>
          <w:lang w:val="fr-FR" w:eastAsia="ja-JP"/>
        </w:rPr>
        <w:t>)</w:t>
      </w:r>
    </w:p>
    <w:p w:rsidR="00A06550" w:rsidRPr="00D52B7C" w:rsidRDefault="00A06550" w:rsidP="00A06550">
      <w:pPr>
        <w:pStyle w:val="enumlev1"/>
        <w:rPr>
          <w:lang w:val="fr-FR" w:eastAsia="ja-JP"/>
        </w:rPr>
      </w:pPr>
      <w:r w:rsidRPr="00D52B7C">
        <w:rPr>
          <w:lang w:val="fr-FR" w:eastAsia="ja-JP"/>
        </w:rPr>
        <w:t>−</w:t>
      </w:r>
      <w:r w:rsidRPr="00D52B7C">
        <w:rPr>
          <w:lang w:val="fr-FR" w:eastAsia="ja-JP"/>
        </w:rPr>
        <w:tab/>
        <w:t>TSB:</w:t>
      </w:r>
    </w:p>
    <w:p w:rsidR="00A06550" w:rsidRPr="00D52B7C" w:rsidRDefault="00A06550" w:rsidP="00A95B24">
      <w:pPr>
        <w:pStyle w:val="enumlev2"/>
        <w:rPr>
          <w:lang w:val="fr-FR" w:eastAsia="ja-JP"/>
        </w:rPr>
      </w:pPr>
      <w:r w:rsidRPr="00D52B7C">
        <w:rPr>
          <w:lang w:val="fr-FR" w:eastAsia="ja-JP"/>
        </w:rPr>
        <w:t>•</w:t>
      </w:r>
      <w:r w:rsidRPr="00D52B7C">
        <w:rPr>
          <w:lang w:val="fr-FR" w:eastAsia="ja-JP"/>
        </w:rPr>
        <w:tab/>
        <w:t xml:space="preserve">Bilel Jamoussi, </w:t>
      </w:r>
      <w:r w:rsidR="00A95B24" w:rsidRPr="00D52B7C">
        <w:rPr>
          <w:lang w:val="fr-FR" w:eastAsia="ja-JP"/>
        </w:rPr>
        <w:t>Conseiller</w:t>
      </w:r>
    </w:p>
    <w:p w:rsidR="00A06550" w:rsidRPr="00D52B7C" w:rsidRDefault="00A06550" w:rsidP="00A06550">
      <w:pPr>
        <w:pStyle w:val="enumlev2"/>
        <w:rPr>
          <w:lang w:val="fr-FR" w:eastAsia="ja-JP"/>
        </w:rPr>
      </w:pPr>
      <w:r w:rsidRPr="00D52B7C">
        <w:rPr>
          <w:lang w:val="fr-FR" w:eastAsia="ja-JP"/>
        </w:rPr>
        <w:t>•</w:t>
      </w:r>
      <w:r w:rsidRPr="00D52B7C">
        <w:rPr>
          <w:lang w:val="fr-FR" w:eastAsia="ja-JP"/>
        </w:rPr>
        <w:tab/>
        <w:t>Lara Al-Mnini, Assistant</w:t>
      </w:r>
    </w:p>
    <w:p w:rsidR="00A06550" w:rsidRPr="00D52B7C" w:rsidRDefault="00A06550" w:rsidP="006F1AEA">
      <w:pPr>
        <w:pStyle w:val="Heading1"/>
        <w:rPr>
          <w:rFonts w:eastAsia="MS Mincho"/>
          <w:lang w:val="fr-FR" w:eastAsia="ja-JP"/>
        </w:rPr>
      </w:pPr>
      <w:bookmarkStart w:id="1" w:name="_Toc456366804"/>
      <w:r w:rsidRPr="00D52B7C">
        <w:rPr>
          <w:rFonts w:eastAsia="MS Mincho"/>
          <w:lang w:val="fr-FR" w:eastAsia="ja-JP"/>
        </w:rPr>
        <w:t>2</w:t>
      </w:r>
      <w:r w:rsidRPr="00D52B7C">
        <w:rPr>
          <w:rFonts w:eastAsia="MS Mincho"/>
          <w:lang w:val="fr-FR" w:eastAsia="ja-JP"/>
        </w:rPr>
        <w:tab/>
      </w:r>
      <w:bookmarkEnd w:id="1"/>
      <w:r w:rsidR="006F1AEA" w:rsidRPr="00D52B7C">
        <w:rPr>
          <w:lang w:val="fr-FR"/>
        </w:rPr>
        <w:t>Résumé des travaux du Comité d'examen</w:t>
      </w:r>
    </w:p>
    <w:p w:rsidR="00A06550" w:rsidRPr="00D52B7C" w:rsidRDefault="00A06550" w:rsidP="006F1AEA">
      <w:pPr>
        <w:pStyle w:val="Heading2"/>
        <w:rPr>
          <w:rFonts w:eastAsia="MS Mincho"/>
          <w:lang w:val="fr-FR" w:eastAsia="ja-JP"/>
        </w:rPr>
      </w:pPr>
      <w:bookmarkStart w:id="2" w:name="_Toc456366805"/>
      <w:r w:rsidRPr="00D52B7C">
        <w:rPr>
          <w:rFonts w:eastAsia="MS Mincho"/>
          <w:lang w:val="fr-FR" w:eastAsia="ja-JP"/>
        </w:rPr>
        <w:t>2.1</w:t>
      </w:r>
      <w:r w:rsidRPr="00D52B7C">
        <w:rPr>
          <w:rFonts w:eastAsia="MS Mincho"/>
          <w:lang w:val="fr-FR" w:eastAsia="ja-JP"/>
        </w:rPr>
        <w:tab/>
      </w:r>
      <w:bookmarkEnd w:id="2"/>
      <w:r w:rsidR="006F1AEA" w:rsidRPr="00D52B7C">
        <w:rPr>
          <w:lang w:val="fr-FR"/>
        </w:rPr>
        <w:t>Enquête sur la restructuration de l'UIT-T et la collaboration</w:t>
      </w:r>
    </w:p>
    <w:p w:rsidR="006F1AEA" w:rsidRPr="00D52B7C" w:rsidRDefault="00FC0ACA" w:rsidP="00FC0ACA">
      <w:pPr>
        <w:rPr>
          <w:lang w:val="fr-FR"/>
        </w:rPr>
      </w:pPr>
      <w:r w:rsidRPr="00D52B7C">
        <w:rPr>
          <w:lang w:val="fr-FR"/>
        </w:rPr>
        <w:t>L</w:t>
      </w:r>
      <w:r w:rsidR="006F1AEA" w:rsidRPr="00D52B7C">
        <w:rPr>
          <w:lang w:val="fr-FR"/>
        </w:rPr>
        <w:t xml:space="preserve">e Comité d'examen a élaboré un questionnaire sur la restructuration de l'UIT-T et la collaboration, qui a été envoyé aux membres de l'UIT-T entre le 3 </w:t>
      </w:r>
      <w:r w:rsidRPr="00D52B7C">
        <w:rPr>
          <w:lang w:val="fr-FR"/>
        </w:rPr>
        <w:t xml:space="preserve">mars </w:t>
      </w:r>
      <w:r w:rsidR="006F1AEA" w:rsidRPr="00D52B7C">
        <w:rPr>
          <w:lang w:val="fr-FR"/>
        </w:rPr>
        <w:t>et le 5 ma</w:t>
      </w:r>
      <w:r w:rsidRPr="00D52B7C">
        <w:rPr>
          <w:lang w:val="fr-FR"/>
        </w:rPr>
        <w:t>i</w:t>
      </w:r>
      <w:r w:rsidR="006F1AEA" w:rsidRPr="00D52B7C">
        <w:rPr>
          <w:lang w:val="fr-FR"/>
        </w:rPr>
        <w:t xml:space="preserve"> 2014.</w:t>
      </w:r>
    </w:p>
    <w:p w:rsidR="00BF3176" w:rsidRPr="00D52B7C" w:rsidRDefault="00BF3176" w:rsidP="00BF3176">
      <w:pPr>
        <w:spacing w:after="120"/>
        <w:rPr>
          <w:lang w:val="fr-FR"/>
        </w:rPr>
      </w:pPr>
      <w:r w:rsidRPr="00D52B7C">
        <w:rPr>
          <w:lang w:val="fr-FR"/>
        </w:rPr>
        <w:t xml:space="preserve">Au total, 57 réponses complètes à ce questionnaire ont été reçues ainsi qu'un certain nombre de réponses incomplètes. Toutes ces réponses ont été étudiées et analysées. Le Comité d'examen a décidé de subdiviser les réponses en deux parties, comme suit: </w:t>
      </w:r>
    </w:p>
    <w:p w:rsidR="00BF3176" w:rsidRPr="00D52B7C" w:rsidRDefault="00BF3176" w:rsidP="00BF3176">
      <w:pPr>
        <w:pStyle w:val="enumlev1"/>
        <w:rPr>
          <w:lang w:val="fr-FR"/>
        </w:rPr>
      </w:pPr>
      <w:r w:rsidRPr="00D52B7C">
        <w:rPr>
          <w:lang w:val="fr-FR"/>
        </w:rPr>
        <w:t>a)</w:t>
      </w:r>
      <w:r w:rsidRPr="00D52B7C">
        <w:rPr>
          <w:lang w:val="fr-FR"/>
        </w:rPr>
        <w:tab/>
        <w:t xml:space="preserve">la première partie, qui concerne la restructuration de l'UIT, a alimenté les travaux du Groupe du Rapporteur du Comité d'examen sur la restructuration de l'UIT-T; </w:t>
      </w:r>
    </w:p>
    <w:p w:rsidR="00A06550" w:rsidRPr="00D52B7C" w:rsidRDefault="00BF3176" w:rsidP="00FC0ACA">
      <w:pPr>
        <w:pStyle w:val="enumlev1"/>
        <w:rPr>
          <w:lang w:val="fr-FR" w:eastAsia="ja-JP"/>
        </w:rPr>
      </w:pPr>
      <w:r w:rsidRPr="00D52B7C">
        <w:rPr>
          <w:lang w:val="fr-FR"/>
        </w:rPr>
        <w:lastRenderedPageBreak/>
        <w:t>b)</w:t>
      </w:r>
      <w:r w:rsidRPr="00D52B7C">
        <w:rPr>
          <w:lang w:val="fr-FR"/>
        </w:rPr>
        <w:tab/>
        <w:t>la seconde partie, qui concerne la collaboration et la coordination, a été communiquée, sous forme d'une note de liaison, au Groupe du Rapporteur du GCNT sur le renforcement de la collaboration, pour examen</w:t>
      </w:r>
      <w:r w:rsidR="00FC0ACA" w:rsidRPr="00D52B7C">
        <w:rPr>
          <w:lang w:val="fr-FR"/>
        </w:rPr>
        <w:t xml:space="preserve"> complémentaire</w:t>
      </w:r>
      <w:r w:rsidRPr="00D52B7C">
        <w:rPr>
          <w:lang w:val="fr-FR"/>
        </w:rPr>
        <w:t>.</w:t>
      </w:r>
    </w:p>
    <w:p w:rsidR="00BF3176" w:rsidRPr="00D52B7C" w:rsidRDefault="00BF3176" w:rsidP="00FC0ACA">
      <w:pPr>
        <w:spacing w:after="120"/>
        <w:rPr>
          <w:lang w:val="fr-FR"/>
        </w:rPr>
      </w:pPr>
      <w:r w:rsidRPr="00D52B7C">
        <w:rPr>
          <w:lang w:val="fr-FR"/>
        </w:rPr>
        <w:t>Les résultats du questionnaire sur la restructuration ont été contrastés. L'idée de créer une catégorie de membres, qui ne paieraient des droits de membre que pour les réunions auxquelles ils assistent afin de faciliter la participation aux travaux de l'UIT-T, a été proposée</w:t>
      </w:r>
      <w:r w:rsidR="00A95B24" w:rsidRPr="00D52B7C">
        <w:rPr>
          <w:lang w:val="fr-FR"/>
        </w:rPr>
        <w:t xml:space="preserve">, </w:t>
      </w:r>
      <w:r w:rsidRPr="00D52B7C">
        <w:rPr>
          <w:lang w:val="fr-FR"/>
        </w:rPr>
        <w:t>tout comme la mise en place</w:t>
      </w:r>
      <w:r w:rsidR="00A95B24" w:rsidRPr="00D52B7C">
        <w:rPr>
          <w:lang w:val="fr-FR"/>
        </w:rPr>
        <w:t xml:space="preserve"> </w:t>
      </w:r>
      <w:r w:rsidRPr="00D52B7C">
        <w:rPr>
          <w:lang w:val="fr-FR"/>
        </w:rPr>
        <w:t>d'un mécanisme de tri en amont concernant les idées de nouveaux projets</w:t>
      </w:r>
      <w:r w:rsidR="00FC0ACA" w:rsidRPr="00D52B7C">
        <w:rPr>
          <w:lang w:val="fr-FR"/>
        </w:rPr>
        <w:t>,</w:t>
      </w:r>
      <w:r w:rsidRPr="00D52B7C">
        <w:rPr>
          <w:lang w:val="fr-FR"/>
        </w:rPr>
        <w:t xml:space="preserve"> afin de repérer les chevauchements et d'identifier les éventuelles possibilités de collaboration avec d'autres organismes de normalisation. Un mécanisme générique d'élaboration basé sur la collaboration ainsi qu'un mécanisme de spécification ouvert au grand public ont également été proposés pour l'UIT-T. Les principes de base de l'actuelle structure de l'UIT-T ont été très largement </w:t>
      </w:r>
      <w:r w:rsidR="00FC0ACA" w:rsidRPr="00D52B7C">
        <w:rPr>
          <w:lang w:val="fr-FR"/>
        </w:rPr>
        <w:t>appuy</w:t>
      </w:r>
      <w:r w:rsidRPr="00D52B7C">
        <w:rPr>
          <w:lang w:val="fr-FR"/>
        </w:rPr>
        <w:t xml:space="preserve">és. La structure des groupes spécialisés a été citée comme exemple de structure efficace. Toutefois, de façon assez paradoxale, la structure de base les commissions d'études de l'UIT-T et des groupes spécialités, en particulier, n'a pas été considérée comme optimale dans certains cas. </w:t>
      </w:r>
    </w:p>
    <w:p w:rsidR="00A06550" w:rsidRPr="00D52B7C" w:rsidRDefault="00BF3176" w:rsidP="00BF3176">
      <w:pPr>
        <w:tabs>
          <w:tab w:val="clear" w:pos="1134"/>
          <w:tab w:val="clear" w:pos="1871"/>
          <w:tab w:val="clear" w:pos="2268"/>
        </w:tabs>
        <w:overflowPunct/>
        <w:autoSpaceDE/>
        <w:autoSpaceDN/>
        <w:adjustRightInd/>
        <w:spacing w:after="120"/>
        <w:textAlignment w:val="auto"/>
        <w:rPr>
          <w:szCs w:val="24"/>
          <w:lang w:val="fr-FR" w:eastAsia="ja-JP"/>
        </w:rPr>
      </w:pPr>
      <w:r w:rsidRPr="00D52B7C">
        <w:rPr>
          <w:lang w:val="fr-FR"/>
        </w:rPr>
        <w:t>En ce qui concerne le questionnaire adressé aux organismes de normalisation extérieurs, le groupe a décidé de ne pas poursuivre l'examen de ce point particulier. D'une manière générale, le Comité d'examen a confirmé l'utilité de l'exercice</w:t>
      </w:r>
      <w:r w:rsidR="00FC0ACA" w:rsidRPr="00D52B7C">
        <w:rPr>
          <w:lang w:val="fr-FR"/>
        </w:rPr>
        <w:t>,</w:t>
      </w:r>
      <w:r w:rsidRPr="00D52B7C">
        <w:rPr>
          <w:lang w:val="fr-FR"/>
        </w:rPr>
        <w:t xml:space="preserve"> tout en faisant observer que, en raison de l'interprétation subjective et du caractère incomplet des réponses, l'établissement de questionnaires devrait être une priorité de second ordre pour les travaux du groupe. L'idée de regrouper un certain nombre de groupes et commissions de l'UIT-T et de Questions a recueilli un certain appui.</w:t>
      </w:r>
    </w:p>
    <w:p w:rsidR="00A06550" w:rsidRPr="00D52B7C" w:rsidRDefault="00BF3176" w:rsidP="00BF3176">
      <w:pPr>
        <w:tabs>
          <w:tab w:val="clear" w:pos="1134"/>
          <w:tab w:val="clear" w:pos="1871"/>
          <w:tab w:val="clear" w:pos="2268"/>
        </w:tabs>
        <w:overflowPunct/>
        <w:autoSpaceDE/>
        <w:autoSpaceDN/>
        <w:adjustRightInd/>
        <w:spacing w:after="120"/>
        <w:textAlignment w:val="auto"/>
        <w:rPr>
          <w:szCs w:val="24"/>
          <w:lang w:val="fr-FR" w:eastAsia="ja-JP"/>
        </w:rPr>
      </w:pPr>
      <w:r w:rsidRPr="00D52B7C">
        <w:rPr>
          <w:lang w:val="fr-FR"/>
        </w:rPr>
        <w:t xml:space="preserve">Les références relatives au questionnaire sont données dans </w:t>
      </w:r>
      <w:r w:rsidR="006E2BA9" w:rsidRPr="006E2BA9">
        <w:rPr>
          <w:lang w:val="fr-FR"/>
        </w:rPr>
        <w:t>le</w:t>
      </w:r>
      <w:r w:rsidR="006E2BA9" w:rsidRPr="006E2BA9">
        <w:rPr>
          <w:szCs w:val="24"/>
          <w:lang w:val="fr-FR" w:eastAsia="ja-JP"/>
        </w:rPr>
        <w:t xml:space="preserve"> Tableau</w:t>
      </w:r>
      <w:r w:rsidR="00A06550" w:rsidRPr="00D52B7C">
        <w:rPr>
          <w:szCs w:val="24"/>
          <w:lang w:val="fr-FR" w:eastAsia="ja-JP"/>
        </w:rPr>
        <w:t xml:space="preserve"> 2 </w:t>
      </w:r>
      <w:r w:rsidRPr="00D52B7C">
        <w:rPr>
          <w:szCs w:val="24"/>
          <w:lang w:val="fr-FR" w:eastAsia="ja-JP"/>
        </w:rPr>
        <w:t>de l'</w:t>
      </w:r>
      <w:hyperlink w:anchor="AnnexA" w:history="1">
        <w:hyperlink w:anchor="AnnexA" w:history="1">
          <w:r w:rsidR="00A06550" w:rsidRPr="00D52B7C">
            <w:rPr>
              <w:color w:val="0000FF"/>
              <w:szCs w:val="24"/>
              <w:u w:val="single"/>
              <w:lang w:val="fr-FR" w:eastAsia="ja-JP"/>
            </w:rPr>
            <w:t>Annex</w:t>
          </w:r>
          <w:r w:rsidRPr="00D52B7C">
            <w:rPr>
              <w:color w:val="0000FF"/>
              <w:szCs w:val="24"/>
              <w:u w:val="single"/>
              <w:lang w:val="fr-FR" w:eastAsia="ja-JP"/>
            </w:rPr>
            <w:t>e</w:t>
          </w:r>
          <w:r w:rsidR="00A06550" w:rsidRPr="00D52B7C">
            <w:rPr>
              <w:color w:val="0000FF"/>
              <w:szCs w:val="24"/>
              <w:u w:val="single"/>
              <w:lang w:val="fr-FR" w:eastAsia="ja-JP"/>
            </w:rPr>
            <w:t xml:space="preserve"> A</w:t>
          </w:r>
        </w:hyperlink>
      </w:hyperlink>
      <w:r w:rsidR="00A06550" w:rsidRPr="00D52B7C">
        <w:rPr>
          <w:szCs w:val="24"/>
          <w:lang w:val="fr-FR" w:eastAsia="ja-JP"/>
        </w:rPr>
        <w:t>.</w:t>
      </w:r>
    </w:p>
    <w:p w:rsidR="00A06550" w:rsidRPr="00D52B7C" w:rsidRDefault="00A06550" w:rsidP="00BF3176">
      <w:pPr>
        <w:pStyle w:val="Heading2"/>
        <w:rPr>
          <w:rFonts w:eastAsia="MS Mincho"/>
          <w:lang w:val="fr-FR" w:eastAsia="ja-JP"/>
        </w:rPr>
      </w:pPr>
      <w:bookmarkStart w:id="3" w:name="_Toc456366806"/>
      <w:r w:rsidRPr="00D52B7C">
        <w:rPr>
          <w:rFonts w:eastAsia="MS Mincho"/>
          <w:lang w:val="fr-FR" w:eastAsia="ja-JP"/>
        </w:rPr>
        <w:t>2.2</w:t>
      </w:r>
      <w:r w:rsidRPr="00D52B7C">
        <w:rPr>
          <w:rFonts w:eastAsia="MS Mincho"/>
          <w:lang w:val="fr-FR" w:eastAsia="ja-JP"/>
        </w:rPr>
        <w:tab/>
      </w:r>
      <w:bookmarkEnd w:id="3"/>
      <w:r w:rsidR="00BF3176" w:rsidRPr="00D52B7C">
        <w:rPr>
          <w:lang w:val="fr-FR"/>
        </w:rPr>
        <w:t>Suivi des activités de normalisation</w:t>
      </w:r>
    </w:p>
    <w:p w:rsidR="00A06550" w:rsidRPr="00D52B7C" w:rsidRDefault="00A95B24" w:rsidP="00BF3176">
      <w:pPr>
        <w:tabs>
          <w:tab w:val="clear" w:pos="1134"/>
          <w:tab w:val="clear" w:pos="1871"/>
          <w:tab w:val="clear" w:pos="2268"/>
        </w:tabs>
        <w:overflowPunct/>
        <w:autoSpaceDE/>
        <w:autoSpaceDN/>
        <w:adjustRightInd/>
        <w:textAlignment w:val="auto"/>
        <w:rPr>
          <w:szCs w:val="24"/>
          <w:lang w:val="fr-FR" w:eastAsia="ja-JP"/>
        </w:rPr>
      </w:pPr>
      <w:r w:rsidRPr="00D52B7C">
        <w:rPr>
          <w:lang w:val="fr-FR"/>
        </w:rPr>
        <w:t>L</w:t>
      </w:r>
      <w:r w:rsidR="00FC0ACA" w:rsidRPr="00D52B7C">
        <w:rPr>
          <w:lang w:val="fr-FR"/>
        </w:rPr>
        <w:t>'</w:t>
      </w:r>
      <w:r w:rsidRPr="00D52B7C">
        <w:rPr>
          <w:lang w:val="fr-FR"/>
        </w:rPr>
        <w:t xml:space="preserve">un </w:t>
      </w:r>
      <w:r w:rsidR="00BF3176" w:rsidRPr="00D52B7C">
        <w:rPr>
          <w:lang w:val="fr-FR"/>
        </w:rPr>
        <w:t>des principaux objectifs du Comité d'examen est d'examiner la structure et les méthodes de travail de l'UIT-T</w:t>
      </w:r>
      <w:r w:rsidR="00BF3176" w:rsidRPr="00D52B7C">
        <w:rPr>
          <w:szCs w:val="24"/>
          <w:lang w:val="fr-FR" w:eastAsia="ja-JP"/>
        </w:rPr>
        <w:t xml:space="preserve"> </w:t>
      </w:r>
      <w:r w:rsidR="00A06550" w:rsidRPr="00D52B7C">
        <w:rPr>
          <w:szCs w:val="24"/>
          <w:lang w:val="fr-FR" w:eastAsia="ja-JP"/>
        </w:rPr>
        <w:t>(</w:t>
      </w:r>
      <w:r w:rsidR="00BF3176" w:rsidRPr="00D52B7C">
        <w:rPr>
          <w:szCs w:val="24"/>
          <w:lang w:val="fr-FR" w:eastAsia="ja-JP"/>
        </w:rPr>
        <w:t xml:space="preserve">voir le </w:t>
      </w:r>
      <w:r w:rsidR="00A06550" w:rsidRPr="00D52B7C">
        <w:rPr>
          <w:szCs w:val="24"/>
          <w:lang w:val="fr-FR" w:eastAsia="ja-JP"/>
        </w:rPr>
        <w:t>Table</w:t>
      </w:r>
      <w:r w:rsidR="00BF3176" w:rsidRPr="00D52B7C">
        <w:rPr>
          <w:szCs w:val="24"/>
          <w:lang w:val="fr-FR" w:eastAsia="ja-JP"/>
        </w:rPr>
        <w:t>au</w:t>
      </w:r>
      <w:r w:rsidR="00A06550" w:rsidRPr="00D52B7C">
        <w:rPr>
          <w:szCs w:val="24"/>
          <w:lang w:val="fr-FR" w:eastAsia="ja-JP"/>
        </w:rPr>
        <w:t xml:space="preserve"> 3 </w:t>
      </w:r>
      <w:r w:rsidR="00BF3176" w:rsidRPr="00D52B7C">
        <w:rPr>
          <w:szCs w:val="24"/>
          <w:lang w:val="fr-FR" w:eastAsia="ja-JP"/>
        </w:rPr>
        <w:t>de</w:t>
      </w:r>
      <w:r w:rsidR="00A06550" w:rsidRPr="00D52B7C">
        <w:rPr>
          <w:szCs w:val="24"/>
          <w:lang w:val="fr-FR" w:eastAsia="ja-JP"/>
        </w:rPr>
        <w:t xml:space="preserve"> </w:t>
      </w:r>
      <w:r w:rsidR="00BF3176" w:rsidRPr="00D52B7C">
        <w:rPr>
          <w:szCs w:val="24"/>
          <w:lang w:val="fr-FR" w:eastAsia="ja-JP"/>
        </w:rPr>
        <w:t>l'</w:t>
      </w:r>
      <w:hyperlink w:anchor="AnnexA" w:history="1">
        <w:r w:rsidR="00A06550" w:rsidRPr="00D52B7C">
          <w:rPr>
            <w:color w:val="0000FF"/>
            <w:szCs w:val="24"/>
            <w:u w:val="single"/>
            <w:lang w:val="fr-FR" w:eastAsia="ja-JP"/>
          </w:rPr>
          <w:t>Annex</w:t>
        </w:r>
        <w:r w:rsidR="00BF3176" w:rsidRPr="00D52B7C">
          <w:rPr>
            <w:color w:val="0000FF"/>
            <w:szCs w:val="24"/>
            <w:u w:val="single"/>
            <w:lang w:val="fr-FR" w:eastAsia="ja-JP"/>
          </w:rPr>
          <w:t>e</w:t>
        </w:r>
        <w:r w:rsidR="00A06550" w:rsidRPr="00D52B7C">
          <w:rPr>
            <w:color w:val="0000FF"/>
            <w:szCs w:val="24"/>
            <w:u w:val="single"/>
            <w:lang w:val="fr-FR" w:eastAsia="ja-JP"/>
          </w:rPr>
          <w:t xml:space="preserve"> A</w:t>
        </w:r>
      </w:hyperlink>
      <w:r w:rsidR="00A06550" w:rsidRPr="00D52B7C">
        <w:rPr>
          <w:szCs w:val="24"/>
          <w:lang w:val="fr-FR" w:eastAsia="ja-JP"/>
        </w:rPr>
        <w:t>).</w:t>
      </w:r>
    </w:p>
    <w:p w:rsidR="00A06550" w:rsidRPr="00D52B7C" w:rsidRDefault="00BF3176" w:rsidP="00833284">
      <w:pPr>
        <w:tabs>
          <w:tab w:val="clear" w:pos="1134"/>
          <w:tab w:val="clear" w:pos="1871"/>
          <w:tab w:val="clear" w:pos="2268"/>
        </w:tabs>
        <w:rPr>
          <w:szCs w:val="24"/>
          <w:lang w:val="fr-FR" w:eastAsia="ja-JP"/>
        </w:rPr>
      </w:pPr>
      <w:r w:rsidRPr="00D52B7C">
        <w:rPr>
          <w:szCs w:val="24"/>
          <w:lang w:val="fr-FR" w:eastAsia="ja-JP"/>
        </w:rPr>
        <w:t xml:space="preserve">A la demande du Comité </w:t>
      </w:r>
      <w:r w:rsidR="00A95B24" w:rsidRPr="00D52B7C">
        <w:rPr>
          <w:szCs w:val="24"/>
          <w:lang w:val="fr-FR" w:eastAsia="ja-JP"/>
        </w:rPr>
        <w:t>d</w:t>
      </w:r>
      <w:r w:rsidR="00FC0ACA" w:rsidRPr="00D52B7C">
        <w:rPr>
          <w:szCs w:val="24"/>
          <w:lang w:val="fr-FR" w:eastAsia="ja-JP"/>
        </w:rPr>
        <w:t>'</w:t>
      </w:r>
      <w:r w:rsidR="00A95B24" w:rsidRPr="00D52B7C">
        <w:rPr>
          <w:szCs w:val="24"/>
          <w:lang w:val="fr-FR" w:eastAsia="ja-JP"/>
        </w:rPr>
        <w:t>examen</w:t>
      </w:r>
      <w:r w:rsidRPr="00D52B7C">
        <w:rPr>
          <w:szCs w:val="24"/>
          <w:lang w:val="fr-FR" w:eastAsia="ja-JP"/>
        </w:rPr>
        <w:t>, l</w:t>
      </w:r>
      <w:r w:rsidRPr="00D52B7C">
        <w:rPr>
          <w:lang w:val="fr-FR"/>
        </w:rPr>
        <w:t>e TSB a mis au point un outil permettant de</w:t>
      </w:r>
      <w:r w:rsidR="00A95B24" w:rsidRPr="00D52B7C">
        <w:rPr>
          <w:lang w:val="fr-FR"/>
        </w:rPr>
        <w:t xml:space="preserve"> créer </w:t>
      </w:r>
      <w:r w:rsidRPr="00D52B7C">
        <w:rPr>
          <w:lang w:val="fr-FR"/>
        </w:rPr>
        <w:t>automatiquement des rapports sur les</w:t>
      </w:r>
      <w:r w:rsidR="00FC0ACA" w:rsidRPr="00D52B7C">
        <w:rPr>
          <w:lang w:val="fr-FR"/>
        </w:rPr>
        <w:t xml:space="preserve"> </w:t>
      </w:r>
      <w:r w:rsidRPr="00D52B7C">
        <w:rPr>
          <w:lang w:val="fr-FR"/>
        </w:rPr>
        <w:t xml:space="preserve">activités </w:t>
      </w:r>
      <w:r w:rsidR="00833284" w:rsidRPr="00D52B7C">
        <w:rPr>
          <w:lang w:val="fr-FR"/>
        </w:rPr>
        <w:t xml:space="preserve">suivantes </w:t>
      </w:r>
      <w:r w:rsidRPr="00D52B7C">
        <w:rPr>
          <w:lang w:val="fr-FR"/>
        </w:rPr>
        <w:t>des commissions d'études</w:t>
      </w:r>
      <w:r w:rsidR="00A06550" w:rsidRPr="00D52B7C">
        <w:rPr>
          <w:szCs w:val="24"/>
          <w:lang w:val="fr-FR" w:eastAsia="ja-JP"/>
        </w:rPr>
        <w:t>:</w:t>
      </w:r>
    </w:p>
    <w:p w:rsidR="00A06550" w:rsidRPr="00D52B7C" w:rsidRDefault="00A06550" w:rsidP="00BF3176">
      <w:pPr>
        <w:pStyle w:val="enumlev1"/>
        <w:rPr>
          <w:lang w:val="fr-FR" w:eastAsia="ja-JP"/>
        </w:rPr>
      </w:pPr>
      <w:r w:rsidRPr="00D52B7C">
        <w:rPr>
          <w:lang w:val="fr-FR" w:eastAsia="ja-JP"/>
        </w:rPr>
        <w:t>−</w:t>
      </w:r>
      <w:r w:rsidRPr="00D52B7C">
        <w:rPr>
          <w:lang w:val="fr-FR" w:eastAsia="ja-JP"/>
        </w:rPr>
        <w:tab/>
      </w:r>
      <w:r w:rsidR="00BF3176" w:rsidRPr="00D52B7C">
        <w:rPr>
          <w:lang w:val="fr-FR"/>
        </w:rPr>
        <w:t>Statistiques sur les activités de chacune des commissions d'études de l'UIT-T, structurées comme suit</w:t>
      </w:r>
      <w:r w:rsidRPr="00D52B7C">
        <w:rPr>
          <w:lang w:val="fr-FR" w:eastAsia="ja-JP"/>
        </w:rPr>
        <w:t>:</w:t>
      </w:r>
    </w:p>
    <w:p w:rsidR="00BF3176" w:rsidRPr="00D52B7C" w:rsidRDefault="00BF3176" w:rsidP="00BF3176">
      <w:pPr>
        <w:pStyle w:val="enumlev2"/>
        <w:rPr>
          <w:lang w:val="fr-FR"/>
        </w:rPr>
      </w:pPr>
      <w:r w:rsidRPr="00D52B7C">
        <w:rPr>
          <w:lang w:val="fr-FR"/>
        </w:rPr>
        <w:t>•</w:t>
      </w:r>
      <w:r w:rsidRPr="00D52B7C">
        <w:rPr>
          <w:lang w:val="fr-FR"/>
        </w:rPr>
        <w:tab/>
        <w:t>Partie 1: Résultats de la CE: nombre de textes produits par réunion</w:t>
      </w:r>
    </w:p>
    <w:p w:rsidR="00BF3176" w:rsidRPr="00D52B7C" w:rsidRDefault="00BF3176" w:rsidP="00B707D9">
      <w:pPr>
        <w:pStyle w:val="enumlev2"/>
        <w:rPr>
          <w:lang w:val="fr-FR"/>
        </w:rPr>
      </w:pPr>
      <w:r w:rsidRPr="00D52B7C">
        <w:rPr>
          <w:lang w:val="fr-FR"/>
        </w:rPr>
        <w:t>•</w:t>
      </w:r>
      <w:r w:rsidRPr="00D52B7C">
        <w:rPr>
          <w:lang w:val="fr-FR"/>
        </w:rPr>
        <w:tab/>
        <w:t>Partie 2: Contribution aux travaux de la CE: nombre de contributions et de DT par réunion et zone géographique des auteur</w:t>
      </w:r>
      <w:r w:rsidR="00B707D9" w:rsidRPr="00D52B7C">
        <w:rPr>
          <w:lang w:val="fr-FR"/>
        </w:rPr>
        <w:t>s de ces contributions</w:t>
      </w:r>
    </w:p>
    <w:p w:rsidR="00BF3176" w:rsidRPr="00D52B7C" w:rsidRDefault="00BF3176" w:rsidP="00833284">
      <w:pPr>
        <w:pStyle w:val="enumlev2"/>
        <w:rPr>
          <w:lang w:val="fr-FR"/>
        </w:rPr>
      </w:pPr>
      <w:r w:rsidRPr="00D52B7C">
        <w:rPr>
          <w:lang w:val="fr-FR"/>
        </w:rPr>
        <w:t>•</w:t>
      </w:r>
      <w:r w:rsidRPr="00D52B7C">
        <w:rPr>
          <w:lang w:val="fr-FR"/>
        </w:rPr>
        <w:tab/>
        <w:t xml:space="preserve">Partie 3: Contributions et DT pour les réunions des groupes régionaux </w:t>
      </w:r>
      <w:r w:rsidRPr="00D52B7C">
        <w:rPr>
          <w:lang w:val="fr-FR" w:eastAsia="ja-JP"/>
        </w:rPr>
        <w:t>(</w:t>
      </w:r>
      <w:r w:rsidR="00833284" w:rsidRPr="00D52B7C">
        <w:rPr>
          <w:lang w:val="fr-FR" w:eastAsia="ja-JP"/>
        </w:rPr>
        <w:t>s</w:t>
      </w:r>
      <w:r w:rsidR="00FC0ACA" w:rsidRPr="00D52B7C">
        <w:rPr>
          <w:lang w:val="fr-FR" w:eastAsia="ja-JP"/>
        </w:rPr>
        <w:t>'</w:t>
      </w:r>
      <w:r w:rsidR="00833284" w:rsidRPr="00D52B7C">
        <w:rPr>
          <w:lang w:val="fr-FR" w:eastAsia="ja-JP"/>
        </w:rPr>
        <w:t xml:space="preserve">il y a </w:t>
      </w:r>
      <w:proofErr w:type="gramStart"/>
      <w:r w:rsidR="00833284" w:rsidRPr="00D52B7C">
        <w:rPr>
          <w:lang w:val="fr-FR" w:eastAsia="ja-JP"/>
        </w:rPr>
        <w:t>lieu</w:t>
      </w:r>
      <w:r w:rsidR="00FC0ACA" w:rsidRPr="00D52B7C">
        <w:rPr>
          <w:lang w:val="fr-FR" w:eastAsia="ja-JP"/>
        </w:rPr>
        <w:t xml:space="preserve"> </w:t>
      </w:r>
      <w:r w:rsidRPr="00D52B7C">
        <w:rPr>
          <w:lang w:val="fr-FR" w:eastAsia="ja-JP"/>
        </w:rPr>
        <w:t>)</w:t>
      </w:r>
      <w:proofErr w:type="gramEnd"/>
    </w:p>
    <w:p w:rsidR="00BF3176" w:rsidRPr="00D52B7C" w:rsidRDefault="00BF3176" w:rsidP="00833284">
      <w:pPr>
        <w:pStyle w:val="enumlev2"/>
        <w:rPr>
          <w:lang w:val="fr-FR"/>
        </w:rPr>
      </w:pPr>
      <w:r w:rsidRPr="00D52B7C">
        <w:rPr>
          <w:lang w:val="fr-FR"/>
        </w:rPr>
        <w:t>•</w:t>
      </w:r>
      <w:r w:rsidRPr="00D52B7C">
        <w:rPr>
          <w:lang w:val="fr-FR"/>
        </w:rPr>
        <w:tab/>
        <w:t>Partie 4: Nombre de notes de liaison envoyées ou reçues</w:t>
      </w:r>
      <w:r w:rsidR="00833284" w:rsidRPr="00D52B7C">
        <w:rPr>
          <w:lang w:val="fr-FR"/>
        </w:rPr>
        <w:t xml:space="preserve"> groupées en fonction de </w:t>
      </w:r>
      <w:r w:rsidRPr="00D52B7C">
        <w:rPr>
          <w:lang w:val="fr-FR"/>
        </w:rPr>
        <w:t>leur origine ou leur destinataire</w:t>
      </w:r>
    </w:p>
    <w:p w:rsidR="00BF3176" w:rsidRPr="00D52B7C" w:rsidRDefault="00BF3176" w:rsidP="00BF3176">
      <w:pPr>
        <w:pStyle w:val="enumlev2"/>
        <w:rPr>
          <w:lang w:val="fr-FR"/>
        </w:rPr>
      </w:pPr>
      <w:r w:rsidRPr="00D52B7C">
        <w:rPr>
          <w:lang w:val="fr-FR"/>
        </w:rPr>
        <w:t>•</w:t>
      </w:r>
      <w:r w:rsidRPr="00D52B7C">
        <w:rPr>
          <w:lang w:val="fr-FR"/>
        </w:rPr>
        <w:tab/>
        <w:t>Partie 5: Evolution du nombre de thèmes de travail actuellement à l'étude</w:t>
      </w:r>
      <w:r w:rsidR="00B707D9" w:rsidRPr="00D52B7C">
        <w:rPr>
          <w:lang w:val="fr-FR"/>
        </w:rPr>
        <w:t>.</w:t>
      </w:r>
    </w:p>
    <w:p w:rsidR="00B707D9" w:rsidRPr="00D52B7C" w:rsidRDefault="00A06550" w:rsidP="00833284">
      <w:pPr>
        <w:pStyle w:val="enumlev1"/>
        <w:rPr>
          <w:lang w:val="fr-FR"/>
        </w:rPr>
      </w:pPr>
      <w:r w:rsidRPr="00D52B7C">
        <w:rPr>
          <w:lang w:val="fr-FR" w:eastAsia="ja-JP"/>
        </w:rPr>
        <w:t>−</w:t>
      </w:r>
      <w:r w:rsidRPr="00D52B7C">
        <w:rPr>
          <w:lang w:val="fr-FR" w:eastAsia="ja-JP"/>
        </w:rPr>
        <w:tab/>
      </w:r>
      <w:r w:rsidR="00B707D9" w:rsidRPr="00D52B7C">
        <w:rPr>
          <w:lang w:val="fr-FR"/>
        </w:rPr>
        <w:t>Nombre de réunions d</w:t>
      </w:r>
      <w:r w:rsidR="00833284" w:rsidRPr="00D52B7C">
        <w:rPr>
          <w:lang w:val="fr-FR"/>
        </w:rPr>
        <w:t>e</w:t>
      </w:r>
      <w:r w:rsidR="00B707D9" w:rsidRPr="00D52B7C">
        <w:rPr>
          <w:lang w:val="fr-FR"/>
        </w:rPr>
        <w:t xml:space="preserve"> Groupe</w:t>
      </w:r>
      <w:r w:rsidR="00833284" w:rsidRPr="00D52B7C">
        <w:rPr>
          <w:lang w:val="fr-FR"/>
        </w:rPr>
        <w:t>s</w:t>
      </w:r>
      <w:r w:rsidR="00B707D9" w:rsidRPr="00D52B7C">
        <w:rPr>
          <w:lang w:val="fr-FR"/>
        </w:rPr>
        <w:t xml:space="preserve"> du Rapporteur pour chaque Question et nombre de réunions pour chaque lieu de réunion.</w:t>
      </w:r>
    </w:p>
    <w:p w:rsidR="00B707D9" w:rsidRPr="00D52B7C" w:rsidRDefault="00B707D9" w:rsidP="00833284">
      <w:pPr>
        <w:pStyle w:val="enumlev1"/>
        <w:rPr>
          <w:lang w:val="fr-FR"/>
        </w:rPr>
      </w:pPr>
      <w:r w:rsidRPr="00D52B7C">
        <w:rPr>
          <w:lang w:val="fr-FR"/>
        </w:rPr>
        <w:t>–</w:t>
      </w:r>
      <w:r w:rsidRPr="00D52B7C">
        <w:rPr>
          <w:lang w:val="fr-FR"/>
        </w:rPr>
        <w:tab/>
        <w:t xml:space="preserve">Thèmes de travail </w:t>
      </w:r>
      <w:proofErr w:type="spellStart"/>
      <w:r w:rsidRPr="00D52B7C">
        <w:rPr>
          <w:lang w:val="fr-FR"/>
        </w:rPr>
        <w:t>des</w:t>
      </w:r>
      <w:proofErr w:type="spellEnd"/>
      <w:r w:rsidRPr="00D52B7C">
        <w:rPr>
          <w:lang w:val="fr-FR"/>
        </w:rPr>
        <w:t xml:space="preserve"> CE qui ne contiennent pas de texte de référence</w:t>
      </w:r>
      <w:r w:rsidR="00833284" w:rsidRPr="00D52B7C">
        <w:rPr>
          <w:lang w:val="fr-FR"/>
        </w:rPr>
        <w:t>,</w:t>
      </w:r>
      <w:r w:rsidRPr="00D52B7C">
        <w:rPr>
          <w:lang w:val="fr-FR"/>
        </w:rPr>
        <w:t xml:space="preserve"> ou dont les références ont été mises à jour avant la date de coupure </w:t>
      </w:r>
      <w:r w:rsidR="006E2BA9" w:rsidRPr="006E2BA9">
        <w:rPr>
          <w:lang w:val="fr-FR"/>
        </w:rPr>
        <w:t>(18</w:t>
      </w:r>
      <w:r w:rsidRPr="00D52B7C">
        <w:rPr>
          <w:lang w:val="fr-FR"/>
        </w:rPr>
        <w:t xml:space="preserve"> mois) ou pour lesquels la date de la dernière mise à jour ne figure pas dans la base de données. </w:t>
      </w:r>
    </w:p>
    <w:p w:rsidR="00B707D9" w:rsidRPr="00D52B7C" w:rsidRDefault="00B707D9" w:rsidP="00B707D9">
      <w:pPr>
        <w:pStyle w:val="enumlev1"/>
        <w:rPr>
          <w:lang w:val="fr-FR"/>
        </w:rPr>
      </w:pPr>
      <w:r w:rsidRPr="00D52B7C">
        <w:rPr>
          <w:lang w:val="fr-FR"/>
        </w:rPr>
        <w:t>–</w:t>
      </w:r>
      <w:r w:rsidRPr="00D52B7C">
        <w:rPr>
          <w:lang w:val="fr-FR"/>
        </w:rPr>
        <w:tab/>
        <w:t>Statistiques sur le téléchargement des Recommandations UIT-T dans chaque CE.</w:t>
      </w:r>
    </w:p>
    <w:p w:rsidR="00C33D36" w:rsidRPr="00D52B7C" w:rsidRDefault="00C33D36" w:rsidP="00C33D36">
      <w:pPr>
        <w:rPr>
          <w:lang w:val="fr-FR"/>
        </w:rPr>
      </w:pPr>
      <w:r w:rsidRPr="00D52B7C">
        <w:rPr>
          <w:lang w:val="fr-FR"/>
        </w:rPr>
        <w:lastRenderedPageBreak/>
        <w:t>Le Comité d'examen recommande que ces statistiques soient produites par le TSB avant chaque réunion du GCNT et fassent l'objet d'une contribution soumise au GCNT. Ces statistiques faciliteront l'examen des travaux des commissions d'études de l'UIT-T</w:t>
      </w:r>
      <w:r w:rsidR="00FC0ACA" w:rsidRPr="00D52B7C">
        <w:rPr>
          <w:lang w:val="fr-FR"/>
        </w:rPr>
        <w:t>.</w:t>
      </w:r>
    </w:p>
    <w:p w:rsidR="00A06550" w:rsidRPr="00D52B7C" w:rsidRDefault="00A06550" w:rsidP="00C33D36">
      <w:pPr>
        <w:pStyle w:val="Heading2"/>
        <w:rPr>
          <w:rFonts w:eastAsia="MS Mincho"/>
          <w:lang w:val="fr-FR" w:eastAsia="ja-JP"/>
        </w:rPr>
      </w:pPr>
      <w:bookmarkStart w:id="4" w:name="_Toc453861763"/>
      <w:bookmarkStart w:id="5" w:name="_Toc456366807"/>
      <w:bookmarkEnd w:id="4"/>
      <w:r w:rsidRPr="00D52B7C">
        <w:rPr>
          <w:rFonts w:eastAsia="MS Mincho"/>
          <w:lang w:val="fr-FR" w:eastAsia="ja-JP"/>
        </w:rPr>
        <w:t>2.3</w:t>
      </w:r>
      <w:r w:rsidRPr="00D52B7C">
        <w:rPr>
          <w:rFonts w:eastAsia="MS Mincho"/>
          <w:lang w:val="fr-FR" w:eastAsia="ja-JP"/>
        </w:rPr>
        <w:tab/>
      </w:r>
      <w:bookmarkEnd w:id="5"/>
      <w:r w:rsidR="00C33D36" w:rsidRPr="00D52B7C">
        <w:rPr>
          <w:lang w:val="fr-FR"/>
        </w:rPr>
        <w:t>Examen des mécanismes de coopération et de collaboration à l'UIT-T</w:t>
      </w:r>
    </w:p>
    <w:p w:rsidR="00A06550" w:rsidRPr="00D52B7C" w:rsidRDefault="00C33D36" w:rsidP="00FC0ACA">
      <w:pPr>
        <w:tabs>
          <w:tab w:val="clear" w:pos="1134"/>
          <w:tab w:val="clear" w:pos="1871"/>
          <w:tab w:val="clear" w:pos="2268"/>
        </w:tabs>
        <w:overflowPunct/>
        <w:autoSpaceDE/>
        <w:autoSpaceDN/>
        <w:adjustRightInd/>
        <w:textAlignment w:val="auto"/>
        <w:rPr>
          <w:szCs w:val="24"/>
          <w:lang w:val="fr-FR" w:eastAsia="ja-JP"/>
        </w:rPr>
      </w:pPr>
      <w:r w:rsidRPr="00D52B7C">
        <w:rPr>
          <w:lang w:val="fr-FR"/>
        </w:rPr>
        <w:t>Afin d'améliorer en permanence les mécanismes de coopération et de collaboration</w:t>
      </w:r>
      <w:r w:rsidR="00833284" w:rsidRPr="00D52B7C">
        <w:rPr>
          <w:lang w:val="fr-FR"/>
        </w:rPr>
        <w:t>,</w:t>
      </w:r>
      <w:r w:rsidRPr="00D52B7C">
        <w:rPr>
          <w:lang w:val="fr-FR"/>
        </w:rPr>
        <w:t xml:space="preserve"> tout en conservant</w:t>
      </w:r>
      <w:r w:rsidR="00833284" w:rsidRPr="00D52B7C">
        <w:rPr>
          <w:lang w:val="fr-FR"/>
        </w:rPr>
        <w:t xml:space="preserve"> le dynamisme </w:t>
      </w:r>
      <w:r w:rsidRPr="00D52B7C">
        <w:rPr>
          <w:lang w:val="fr-FR"/>
        </w:rPr>
        <w:t>des compétences de base des commissions d'études de l'UIT-T, le Comité d'examen a procédé à un examen de l'efficacité et l'efficience de la structure actuelle et des différents groupes</w:t>
      </w:r>
      <w:r w:rsidR="00FC0ACA" w:rsidRPr="00D52B7C">
        <w:rPr>
          <w:lang w:val="fr-FR"/>
        </w:rPr>
        <w:t xml:space="preserve"> de l'UIT-T</w:t>
      </w:r>
      <w:r w:rsidRPr="00D52B7C">
        <w:rPr>
          <w:lang w:val="fr-FR"/>
        </w:rPr>
        <w:t xml:space="preserve"> (commissions d'études, groupes spécialisés, activités conjointes de coordination, initiatives sur des normes mondiales, etc.).</w:t>
      </w:r>
    </w:p>
    <w:p w:rsidR="00A06550" w:rsidRPr="00D52B7C" w:rsidRDefault="00C33D36" w:rsidP="00833284">
      <w:pPr>
        <w:tabs>
          <w:tab w:val="clear" w:pos="1134"/>
          <w:tab w:val="clear" w:pos="1871"/>
          <w:tab w:val="clear" w:pos="2268"/>
        </w:tabs>
        <w:overflowPunct/>
        <w:autoSpaceDE/>
        <w:autoSpaceDN/>
        <w:adjustRightInd/>
        <w:textAlignment w:val="auto"/>
        <w:rPr>
          <w:szCs w:val="24"/>
          <w:lang w:val="fr-FR" w:eastAsia="ja-JP"/>
        </w:rPr>
      </w:pPr>
      <w:r w:rsidRPr="00D52B7C">
        <w:rPr>
          <w:lang w:val="fr-FR"/>
        </w:rPr>
        <w:t>Le</w:t>
      </w:r>
      <w:r w:rsidR="00FC0ACA" w:rsidRPr="00D52B7C">
        <w:rPr>
          <w:lang w:val="fr-FR"/>
        </w:rPr>
        <w:t xml:space="preserve"> </w:t>
      </w:r>
      <w:r w:rsidRPr="00D52B7C">
        <w:rPr>
          <w:lang w:val="fr-FR"/>
        </w:rPr>
        <w:t>Comité d'examen</w:t>
      </w:r>
      <w:r w:rsidR="00833284" w:rsidRPr="00D52B7C">
        <w:rPr>
          <w:lang w:val="fr-FR"/>
        </w:rPr>
        <w:t xml:space="preserve"> a procédé à une </w:t>
      </w:r>
      <w:r w:rsidRPr="00D52B7C">
        <w:rPr>
          <w:lang w:val="fr-FR"/>
        </w:rPr>
        <w:t>analyse détaillée des groupes spécialisés (FG)</w:t>
      </w:r>
      <w:r w:rsidR="00833284" w:rsidRPr="00D52B7C">
        <w:rPr>
          <w:lang w:val="fr-FR"/>
        </w:rPr>
        <w:t>,</w:t>
      </w:r>
      <w:r w:rsidRPr="00D52B7C">
        <w:rPr>
          <w:lang w:val="fr-FR"/>
        </w:rPr>
        <w:t xml:space="preserve"> des initiatives sur des normes mondiales (GSI), des activités conjointes de coordination (JCA), des Groupes du Rapporteur intersectoriels (IRG), de la collaboration </w:t>
      </w:r>
      <w:r w:rsidR="0018614A" w:rsidRPr="00D52B7C">
        <w:rPr>
          <w:lang w:val="fr-FR"/>
        </w:rPr>
        <w:t>sur les normes de communication pour les systèmes de transport intelligents</w:t>
      </w:r>
      <w:r w:rsidR="0018614A" w:rsidRPr="00D52B7C">
        <w:rPr>
          <w:i/>
          <w:iCs/>
          <w:szCs w:val="24"/>
          <w:lang w:val="fr-FR" w:eastAsia="ja-JP"/>
        </w:rPr>
        <w:t xml:space="preserve"> </w:t>
      </w:r>
      <w:r w:rsidRPr="00D52B7C">
        <w:rPr>
          <w:szCs w:val="24"/>
          <w:lang w:val="fr-FR" w:eastAsia="ja-JP"/>
        </w:rPr>
        <w:t xml:space="preserve">(CITS) </w:t>
      </w:r>
      <w:r w:rsidRPr="00D52B7C">
        <w:rPr>
          <w:lang w:val="fr-FR"/>
        </w:rPr>
        <w:t>et de divers autres groupes</w:t>
      </w:r>
      <w:r w:rsidR="00833284" w:rsidRPr="00D52B7C">
        <w:rPr>
          <w:lang w:val="fr-FR"/>
        </w:rPr>
        <w:t xml:space="preserve"> de l'UIT-T</w:t>
      </w:r>
      <w:r w:rsidR="00FC0ACA" w:rsidRPr="00D52B7C">
        <w:rPr>
          <w:lang w:val="fr-FR"/>
        </w:rPr>
        <w:t>,</w:t>
      </w:r>
      <w:r w:rsidRPr="00D52B7C">
        <w:rPr>
          <w:lang w:val="fr-FR"/>
        </w:rPr>
        <w:t xml:space="preserve"> y compris ceux qui ont cessé leurs activités depuis la réunion de 2014 du GCNT, ainsi que des données historiques concernant les groupes spécialisés</w:t>
      </w:r>
      <w:r w:rsidR="00A06550" w:rsidRPr="00D52B7C">
        <w:rPr>
          <w:szCs w:val="24"/>
          <w:lang w:val="fr-FR" w:eastAsia="ja-JP"/>
        </w:rPr>
        <w:t xml:space="preserve"> (</w:t>
      </w:r>
      <w:r w:rsidRPr="00D52B7C">
        <w:rPr>
          <w:szCs w:val="24"/>
          <w:lang w:val="fr-FR" w:eastAsia="ja-JP"/>
        </w:rPr>
        <w:t xml:space="preserve">voir le </w:t>
      </w:r>
      <w:r w:rsidR="00A06550" w:rsidRPr="00D52B7C">
        <w:rPr>
          <w:szCs w:val="24"/>
          <w:lang w:val="fr-FR" w:eastAsia="ja-JP"/>
        </w:rPr>
        <w:t>Table</w:t>
      </w:r>
      <w:r w:rsidRPr="00D52B7C">
        <w:rPr>
          <w:szCs w:val="24"/>
          <w:lang w:val="fr-FR" w:eastAsia="ja-JP"/>
        </w:rPr>
        <w:t>au </w:t>
      </w:r>
      <w:r w:rsidR="00A06550" w:rsidRPr="00D52B7C">
        <w:rPr>
          <w:szCs w:val="24"/>
          <w:lang w:val="fr-FR" w:eastAsia="ja-JP"/>
        </w:rPr>
        <w:t xml:space="preserve">4 </w:t>
      </w:r>
      <w:r w:rsidRPr="00D52B7C">
        <w:rPr>
          <w:szCs w:val="24"/>
          <w:lang w:val="fr-FR" w:eastAsia="ja-JP"/>
        </w:rPr>
        <w:t>de l'</w:t>
      </w:r>
      <w:hyperlink w:anchor="AnnexA" w:history="1">
        <w:r w:rsidR="00A06550" w:rsidRPr="00D52B7C">
          <w:rPr>
            <w:color w:val="0000FF"/>
            <w:szCs w:val="24"/>
            <w:u w:val="single"/>
            <w:lang w:val="fr-FR" w:eastAsia="ja-JP"/>
          </w:rPr>
          <w:t>Annex</w:t>
        </w:r>
        <w:r w:rsidRPr="00D52B7C">
          <w:rPr>
            <w:color w:val="0000FF"/>
            <w:szCs w:val="24"/>
            <w:u w:val="single"/>
            <w:lang w:val="fr-FR" w:eastAsia="ja-JP"/>
          </w:rPr>
          <w:t>e</w:t>
        </w:r>
        <w:r w:rsidR="00A06550" w:rsidRPr="00D52B7C">
          <w:rPr>
            <w:color w:val="0000FF"/>
            <w:szCs w:val="24"/>
            <w:u w:val="single"/>
            <w:lang w:val="fr-FR" w:eastAsia="ja-JP"/>
          </w:rPr>
          <w:t xml:space="preserve"> A</w:t>
        </w:r>
      </w:hyperlink>
      <w:r w:rsidR="00A06550" w:rsidRPr="00D52B7C">
        <w:rPr>
          <w:szCs w:val="24"/>
          <w:lang w:val="fr-FR" w:eastAsia="ja-JP"/>
        </w:rPr>
        <w:t>).</w:t>
      </w:r>
    </w:p>
    <w:p w:rsidR="0018614A" w:rsidRPr="00D52B7C" w:rsidRDefault="0018614A" w:rsidP="0018614A">
      <w:pPr>
        <w:rPr>
          <w:lang w:val="fr-FR"/>
        </w:rPr>
      </w:pPr>
      <w:r w:rsidRPr="00D52B7C">
        <w:rPr>
          <w:lang w:val="fr-FR"/>
        </w:rPr>
        <w:t>Le Comité d'examen est arrivé à la conclusion que:</w:t>
      </w:r>
    </w:p>
    <w:p w:rsidR="0018614A" w:rsidRPr="00D52B7C" w:rsidRDefault="0018614A" w:rsidP="00A1452F">
      <w:pPr>
        <w:pStyle w:val="enumlev1"/>
        <w:rPr>
          <w:lang w:val="fr-FR"/>
        </w:rPr>
      </w:pPr>
      <w:r w:rsidRPr="00D52B7C">
        <w:rPr>
          <w:lang w:val="fr-FR"/>
        </w:rPr>
        <w:t>–</w:t>
      </w:r>
      <w:r w:rsidRPr="00D52B7C">
        <w:rPr>
          <w:lang w:val="fr-FR"/>
        </w:rPr>
        <w:tab/>
      </w:r>
      <w:r w:rsidR="004435F7" w:rsidRPr="00D52B7C">
        <w:rPr>
          <w:lang w:val="fr-FR"/>
        </w:rPr>
        <w:t>L</w:t>
      </w:r>
      <w:r w:rsidRPr="00D52B7C">
        <w:rPr>
          <w:lang w:val="fr-FR"/>
        </w:rPr>
        <w:t>es groupes spécialisés constituent un outil essentiel</w:t>
      </w:r>
      <w:r w:rsidR="00833284" w:rsidRPr="00D52B7C">
        <w:rPr>
          <w:lang w:val="fr-FR"/>
        </w:rPr>
        <w:t xml:space="preserve">, au sein de </w:t>
      </w:r>
      <w:r w:rsidRPr="00D52B7C">
        <w:rPr>
          <w:lang w:val="fr-FR"/>
        </w:rPr>
        <w:t>l'UIT-T</w:t>
      </w:r>
      <w:r w:rsidR="00FC0ACA" w:rsidRPr="00D52B7C">
        <w:rPr>
          <w:lang w:val="fr-FR"/>
        </w:rPr>
        <w:t>,</w:t>
      </w:r>
      <w:r w:rsidR="00833284" w:rsidRPr="00D52B7C">
        <w:rPr>
          <w:lang w:val="fr-FR"/>
        </w:rPr>
        <w:t xml:space="preserve"> </w:t>
      </w:r>
      <w:r w:rsidRPr="00D52B7C">
        <w:rPr>
          <w:lang w:val="fr-FR"/>
        </w:rPr>
        <w:t xml:space="preserve">pour </w:t>
      </w:r>
      <w:r w:rsidR="00A1452F" w:rsidRPr="00D52B7C">
        <w:rPr>
          <w:lang w:val="fr-FR"/>
        </w:rPr>
        <w:t>stimuler</w:t>
      </w:r>
      <w:r w:rsidRPr="00D52B7C">
        <w:rPr>
          <w:lang w:val="fr-FR"/>
        </w:rPr>
        <w:t xml:space="preserve"> </w:t>
      </w:r>
      <w:r w:rsidR="00A1452F" w:rsidRPr="00D52B7C">
        <w:rPr>
          <w:lang w:val="fr-FR"/>
        </w:rPr>
        <w:t xml:space="preserve">la réalisation </w:t>
      </w:r>
      <w:r w:rsidRPr="00D52B7C">
        <w:rPr>
          <w:lang w:val="fr-FR"/>
        </w:rPr>
        <w:t>de nouveaux travaux dans les diverses commissions d'études</w:t>
      </w:r>
      <w:r w:rsidR="004435F7" w:rsidRPr="00D52B7C">
        <w:rPr>
          <w:lang w:val="fr-FR"/>
        </w:rPr>
        <w:t>.</w:t>
      </w:r>
    </w:p>
    <w:p w:rsidR="00A06550" w:rsidRPr="00D52B7C" w:rsidRDefault="0018614A" w:rsidP="00FC0ACA">
      <w:pPr>
        <w:pStyle w:val="enumlev1"/>
        <w:rPr>
          <w:lang w:val="fr-FR"/>
        </w:rPr>
      </w:pPr>
      <w:r w:rsidRPr="00D52B7C">
        <w:rPr>
          <w:lang w:val="fr-FR"/>
        </w:rPr>
        <w:t>–</w:t>
      </w:r>
      <w:r w:rsidRPr="00D52B7C">
        <w:rPr>
          <w:lang w:val="fr-FR"/>
        </w:rPr>
        <w:tab/>
      </w:r>
      <w:r w:rsidR="004435F7" w:rsidRPr="00D52B7C">
        <w:rPr>
          <w:lang w:val="fr-FR"/>
        </w:rPr>
        <w:t>C</w:t>
      </w:r>
      <w:r w:rsidRPr="00D52B7C">
        <w:rPr>
          <w:lang w:val="fr-FR"/>
        </w:rPr>
        <w:t xml:space="preserve">ertains des mécanismes actuels de coopération/collaboration et certains groupes doivent être </w:t>
      </w:r>
      <w:r w:rsidR="00A1452F" w:rsidRPr="00D52B7C">
        <w:rPr>
          <w:lang w:val="fr-FR"/>
        </w:rPr>
        <w:t>réexaminés</w:t>
      </w:r>
      <w:r w:rsidRPr="00D52B7C">
        <w:rPr>
          <w:lang w:val="fr-FR"/>
        </w:rPr>
        <w:t>. Le GCNT doit poursuivre ses activités de suivi et de gestion opérationnelle</w:t>
      </w:r>
      <w:r w:rsidR="00A1452F" w:rsidRPr="00D52B7C">
        <w:rPr>
          <w:lang w:val="fr-FR"/>
        </w:rPr>
        <w:t xml:space="preserve">, </w:t>
      </w:r>
      <w:r w:rsidR="00FC0ACA" w:rsidRPr="00D52B7C">
        <w:rPr>
          <w:lang w:val="fr-FR"/>
        </w:rPr>
        <w:t>en raison de l'importance de ces activités</w:t>
      </w:r>
      <w:r w:rsidR="00A06550" w:rsidRPr="00D52B7C">
        <w:rPr>
          <w:lang w:val="fr-FR"/>
        </w:rPr>
        <w:t>.</w:t>
      </w:r>
    </w:p>
    <w:p w:rsidR="00A06550" w:rsidRPr="00D52B7C" w:rsidRDefault="00A06550" w:rsidP="00A1452F">
      <w:pPr>
        <w:pStyle w:val="enumlev1"/>
        <w:rPr>
          <w:lang w:val="fr-FR" w:eastAsia="ja-JP"/>
        </w:rPr>
      </w:pPr>
      <w:r w:rsidRPr="00D52B7C">
        <w:rPr>
          <w:lang w:val="fr-FR"/>
        </w:rPr>
        <w:t>−</w:t>
      </w:r>
      <w:r w:rsidRPr="00D52B7C">
        <w:rPr>
          <w:lang w:val="fr-FR"/>
        </w:rPr>
        <w:tab/>
      </w:r>
      <w:r w:rsidR="004435F7" w:rsidRPr="00D52B7C">
        <w:rPr>
          <w:lang w:val="fr-FR"/>
        </w:rPr>
        <w:t>L</w:t>
      </w:r>
      <w:r w:rsidR="00FE5683" w:rsidRPr="00D52B7C">
        <w:rPr>
          <w:lang w:val="fr-FR"/>
        </w:rPr>
        <w:t>e projet expérimental CITS devrait être</w:t>
      </w:r>
      <w:r w:rsidR="00A1452F" w:rsidRPr="00D52B7C">
        <w:rPr>
          <w:lang w:val="fr-FR"/>
        </w:rPr>
        <w:t xml:space="preserve"> réexaminé, afin de déterminer</w:t>
      </w:r>
      <w:r w:rsidR="00FC0ACA" w:rsidRPr="00D52B7C">
        <w:rPr>
          <w:lang w:val="fr-FR"/>
        </w:rPr>
        <w:t xml:space="preserve"> </w:t>
      </w:r>
      <w:r w:rsidR="00FE5683" w:rsidRPr="00D52B7C">
        <w:rPr>
          <w:lang w:val="fr-FR"/>
        </w:rPr>
        <w:t xml:space="preserve">s'il pourrait servir de point de départ </w:t>
      </w:r>
      <w:r w:rsidR="00A1452F" w:rsidRPr="00D52B7C">
        <w:rPr>
          <w:lang w:val="fr-FR"/>
        </w:rPr>
        <w:t>à l</w:t>
      </w:r>
      <w:r w:rsidR="00FC0ACA" w:rsidRPr="00D52B7C">
        <w:rPr>
          <w:lang w:val="fr-FR"/>
        </w:rPr>
        <w:t>'</w:t>
      </w:r>
      <w:r w:rsidR="00FE5683" w:rsidRPr="00D52B7C">
        <w:rPr>
          <w:lang w:val="fr-FR"/>
        </w:rPr>
        <w:t>examen futur d'un nouveau mécanisme</w:t>
      </w:r>
      <w:r w:rsidR="00FC0ACA" w:rsidRPr="00D52B7C">
        <w:rPr>
          <w:lang w:val="fr-FR"/>
        </w:rPr>
        <w:t xml:space="preserve"> </w:t>
      </w:r>
      <w:r w:rsidR="00FE5683" w:rsidRPr="00D52B7C">
        <w:rPr>
          <w:lang w:val="fr-FR"/>
        </w:rPr>
        <w:t>de coopération et de collaboration</w:t>
      </w:r>
      <w:r w:rsidR="00A1452F" w:rsidRPr="00D52B7C">
        <w:rPr>
          <w:color w:val="000000"/>
          <w:lang w:val="fr-FR"/>
        </w:rPr>
        <w:t xml:space="preserve"> à l'échelle mondiale</w:t>
      </w:r>
      <w:r w:rsidR="00FE5683" w:rsidRPr="00D52B7C">
        <w:rPr>
          <w:lang w:val="fr-FR"/>
        </w:rPr>
        <w:t>.</w:t>
      </w:r>
    </w:p>
    <w:p w:rsidR="00A06550" w:rsidRPr="00D52B7C" w:rsidRDefault="00A06550" w:rsidP="00A1452F">
      <w:pPr>
        <w:pStyle w:val="Heading2"/>
        <w:rPr>
          <w:rFonts w:eastAsia="MS Mincho"/>
          <w:lang w:val="fr-FR" w:eastAsia="ja-JP"/>
        </w:rPr>
      </w:pPr>
      <w:bookmarkStart w:id="6" w:name="_Toc456366808"/>
      <w:r w:rsidRPr="00D52B7C">
        <w:rPr>
          <w:rFonts w:eastAsia="MS Mincho"/>
          <w:lang w:val="fr-FR" w:eastAsia="ja-JP"/>
        </w:rPr>
        <w:t>2.4</w:t>
      </w:r>
      <w:r w:rsidRPr="00D52B7C">
        <w:rPr>
          <w:rFonts w:eastAsia="MS Mincho"/>
          <w:lang w:val="fr-FR" w:eastAsia="ja-JP"/>
        </w:rPr>
        <w:tab/>
      </w:r>
      <w:bookmarkEnd w:id="6"/>
      <w:r w:rsidR="00EF47AD" w:rsidRPr="00D52B7C">
        <w:rPr>
          <w:lang w:val="fr-FR"/>
        </w:rPr>
        <w:t xml:space="preserve">Evaluation des </w:t>
      </w:r>
      <w:r w:rsidR="00A1452F" w:rsidRPr="00D52B7C">
        <w:rPr>
          <w:lang w:val="fr-FR"/>
        </w:rPr>
        <w:t>r</w:t>
      </w:r>
      <w:r w:rsidR="00EF47AD" w:rsidRPr="00D52B7C">
        <w:rPr>
          <w:lang w:val="fr-FR"/>
        </w:rPr>
        <w:t xml:space="preserve">apports </w:t>
      </w:r>
      <w:r w:rsidR="00A1452F" w:rsidRPr="00D52B7C">
        <w:rPr>
          <w:lang w:val="fr-FR"/>
        </w:rPr>
        <w:t>sur la</w:t>
      </w:r>
      <w:r w:rsidR="00EF47AD" w:rsidRPr="00D52B7C">
        <w:rPr>
          <w:lang w:val="fr-FR"/>
        </w:rPr>
        <w:t xml:space="preserve"> </w:t>
      </w:r>
      <w:r w:rsidR="00A1452F" w:rsidRPr="00D52B7C">
        <w:rPr>
          <w:lang w:val="fr-FR"/>
        </w:rPr>
        <w:t>v</w:t>
      </w:r>
      <w:r w:rsidR="00EF47AD" w:rsidRPr="00D52B7C">
        <w:rPr>
          <w:lang w:val="fr-FR"/>
        </w:rPr>
        <w:t>eille technologique</w:t>
      </w:r>
    </w:p>
    <w:p w:rsidR="00A06550" w:rsidRPr="00D52B7C" w:rsidRDefault="00EF47AD" w:rsidP="00952BB4">
      <w:pPr>
        <w:tabs>
          <w:tab w:val="clear" w:pos="1134"/>
          <w:tab w:val="clear" w:pos="1871"/>
          <w:tab w:val="clear" w:pos="2268"/>
        </w:tabs>
        <w:overflowPunct/>
        <w:autoSpaceDE/>
        <w:autoSpaceDN/>
        <w:adjustRightInd/>
        <w:textAlignment w:val="auto"/>
        <w:rPr>
          <w:szCs w:val="24"/>
          <w:lang w:val="fr-FR" w:eastAsia="ja-JP"/>
        </w:rPr>
      </w:pPr>
      <w:r w:rsidRPr="00D52B7C">
        <w:rPr>
          <w:lang w:val="fr-FR"/>
        </w:rPr>
        <w:t xml:space="preserve">Le Comité d'examen a reconnu l'intérêt des rapports </w:t>
      </w:r>
      <w:r w:rsidR="00A1452F" w:rsidRPr="00D52B7C">
        <w:rPr>
          <w:lang w:val="fr-FR"/>
        </w:rPr>
        <w:t xml:space="preserve">sur la </w:t>
      </w:r>
      <w:r w:rsidRPr="00D52B7C">
        <w:rPr>
          <w:lang w:val="fr-FR"/>
        </w:rPr>
        <w:t>veille technologique pour examiner l'évolution technologique dans l'optique de l'élaboration de normes</w:t>
      </w:r>
      <w:r w:rsidR="00A06550" w:rsidRPr="00D52B7C">
        <w:rPr>
          <w:szCs w:val="24"/>
          <w:lang w:val="fr-FR" w:eastAsia="ja-JP"/>
        </w:rPr>
        <w:t xml:space="preserve">. </w:t>
      </w:r>
      <w:r w:rsidR="00A1452F" w:rsidRPr="00D52B7C">
        <w:rPr>
          <w:szCs w:val="24"/>
          <w:lang w:val="fr-FR" w:eastAsia="ja-JP"/>
        </w:rPr>
        <w:t>Le Comité d</w:t>
      </w:r>
      <w:r w:rsidR="00FC0ACA" w:rsidRPr="00D52B7C">
        <w:rPr>
          <w:szCs w:val="24"/>
          <w:lang w:val="fr-FR" w:eastAsia="ja-JP"/>
        </w:rPr>
        <w:t>'</w:t>
      </w:r>
      <w:r w:rsidR="00A1452F" w:rsidRPr="00D52B7C">
        <w:rPr>
          <w:szCs w:val="24"/>
          <w:lang w:val="fr-FR" w:eastAsia="ja-JP"/>
        </w:rPr>
        <w:t>examen a recommandé</w:t>
      </w:r>
      <w:r w:rsidR="00FC0ACA" w:rsidRPr="00D52B7C">
        <w:rPr>
          <w:szCs w:val="24"/>
          <w:lang w:val="fr-FR" w:eastAsia="ja-JP"/>
        </w:rPr>
        <w:t xml:space="preserve"> </w:t>
      </w:r>
      <w:r w:rsidRPr="00D52B7C">
        <w:rPr>
          <w:szCs w:val="24"/>
          <w:lang w:val="fr-FR" w:eastAsia="ja-JP"/>
        </w:rPr>
        <w:t xml:space="preserve">la création d'un </w:t>
      </w:r>
      <w:r w:rsidRPr="00D52B7C">
        <w:rPr>
          <w:lang w:val="fr-FR"/>
        </w:rPr>
        <w:t xml:space="preserve">Comité de direction </w:t>
      </w:r>
      <w:r w:rsidR="00FC0ACA" w:rsidRPr="00D52B7C">
        <w:rPr>
          <w:lang w:val="fr-FR"/>
        </w:rPr>
        <w:t>des activités de</w:t>
      </w:r>
      <w:r w:rsidR="00A1452F" w:rsidRPr="00D52B7C">
        <w:rPr>
          <w:lang w:val="fr-FR"/>
        </w:rPr>
        <w:t xml:space="preserve"> </w:t>
      </w:r>
      <w:r w:rsidRPr="00D52B7C">
        <w:rPr>
          <w:lang w:val="fr-FR"/>
        </w:rPr>
        <w:t>veille technologique</w:t>
      </w:r>
      <w:r w:rsidR="00A1452F" w:rsidRPr="00D52B7C">
        <w:rPr>
          <w:lang w:val="fr-FR"/>
        </w:rPr>
        <w:t xml:space="preserve">, composé des </w:t>
      </w:r>
      <w:r w:rsidR="00FC0ACA" w:rsidRPr="00D52B7C">
        <w:rPr>
          <w:lang w:val="fr-FR"/>
        </w:rPr>
        <w:t>P</w:t>
      </w:r>
      <w:r w:rsidR="00A1452F" w:rsidRPr="00D52B7C">
        <w:rPr>
          <w:lang w:val="fr-FR"/>
        </w:rPr>
        <w:t>résidents des commissions d</w:t>
      </w:r>
      <w:r w:rsidR="00FC0ACA" w:rsidRPr="00D52B7C">
        <w:rPr>
          <w:lang w:val="fr-FR"/>
        </w:rPr>
        <w:t>'</w:t>
      </w:r>
      <w:r w:rsidR="00A1452F" w:rsidRPr="00D52B7C">
        <w:rPr>
          <w:lang w:val="fr-FR"/>
        </w:rPr>
        <w:t>études, de l</w:t>
      </w:r>
      <w:r w:rsidR="00FC0ACA" w:rsidRPr="00D52B7C">
        <w:rPr>
          <w:lang w:val="fr-FR"/>
        </w:rPr>
        <w:t>'</w:t>
      </w:r>
      <w:r w:rsidR="00A1452F" w:rsidRPr="00D52B7C">
        <w:rPr>
          <w:lang w:val="fr-FR"/>
        </w:rPr>
        <w:t>équipe de direction</w:t>
      </w:r>
      <w:r w:rsidR="00FC0ACA" w:rsidRPr="00D52B7C">
        <w:rPr>
          <w:lang w:val="fr-FR"/>
        </w:rPr>
        <w:t xml:space="preserve"> </w:t>
      </w:r>
      <w:r w:rsidR="00A1452F" w:rsidRPr="00D52B7C">
        <w:rPr>
          <w:lang w:val="fr-FR"/>
        </w:rPr>
        <w:t>du Comité d</w:t>
      </w:r>
      <w:r w:rsidR="00FC0ACA" w:rsidRPr="00D52B7C">
        <w:rPr>
          <w:lang w:val="fr-FR"/>
        </w:rPr>
        <w:t>'</w:t>
      </w:r>
      <w:r w:rsidR="00A1452F" w:rsidRPr="00D52B7C">
        <w:rPr>
          <w:lang w:val="fr-FR"/>
        </w:rPr>
        <w:t>examen, et de coordonnateurs</w:t>
      </w:r>
      <w:r w:rsidRPr="00D52B7C">
        <w:rPr>
          <w:szCs w:val="24"/>
          <w:lang w:val="fr-FR" w:eastAsia="ja-JP"/>
        </w:rPr>
        <w:t xml:space="preserve"> </w:t>
      </w:r>
      <w:r w:rsidR="00A1452F" w:rsidRPr="00D52B7C">
        <w:rPr>
          <w:szCs w:val="24"/>
          <w:lang w:val="fr-FR" w:eastAsia="ja-JP"/>
        </w:rPr>
        <w:t>des établissements universitaires participant aux travaux de l</w:t>
      </w:r>
      <w:r w:rsidR="00FC0ACA" w:rsidRPr="00D52B7C">
        <w:rPr>
          <w:szCs w:val="24"/>
          <w:lang w:val="fr-FR" w:eastAsia="ja-JP"/>
        </w:rPr>
        <w:t>'</w:t>
      </w:r>
      <w:r w:rsidR="00A1452F" w:rsidRPr="00D52B7C">
        <w:rPr>
          <w:szCs w:val="24"/>
          <w:lang w:val="fr-FR" w:eastAsia="ja-JP"/>
        </w:rPr>
        <w:t xml:space="preserve">UIT-T, </w:t>
      </w:r>
      <w:r w:rsidR="00FC0ACA" w:rsidRPr="00D52B7C">
        <w:rPr>
          <w:szCs w:val="24"/>
          <w:lang w:val="fr-FR" w:eastAsia="ja-JP"/>
        </w:rPr>
        <w:t xml:space="preserve">et ayant </w:t>
      </w:r>
      <w:r w:rsidR="00A1452F" w:rsidRPr="00D52B7C">
        <w:rPr>
          <w:szCs w:val="24"/>
          <w:lang w:val="fr-FR" w:eastAsia="ja-JP"/>
        </w:rPr>
        <w:t>pour mission de conseiller le TSB</w:t>
      </w:r>
      <w:r w:rsidR="00A06550" w:rsidRPr="00D52B7C">
        <w:rPr>
          <w:szCs w:val="24"/>
          <w:lang w:val="fr-FR" w:eastAsia="ja-JP"/>
        </w:rPr>
        <w:t xml:space="preserve">. </w:t>
      </w:r>
      <w:r w:rsidR="005B7E62" w:rsidRPr="00D52B7C">
        <w:rPr>
          <w:szCs w:val="24"/>
          <w:lang w:val="fr-FR" w:eastAsia="ja-JP"/>
        </w:rPr>
        <w:t>A</w:t>
      </w:r>
      <w:r w:rsidR="00A1452F" w:rsidRPr="00D52B7C">
        <w:rPr>
          <w:szCs w:val="24"/>
          <w:lang w:val="fr-FR" w:eastAsia="ja-JP"/>
        </w:rPr>
        <w:t xml:space="preserve"> cette fin, le TSB</w:t>
      </w:r>
      <w:r w:rsidR="00FC0ACA" w:rsidRPr="00D52B7C">
        <w:rPr>
          <w:szCs w:val="24"/>
          <w:lang w:val="fr-FR" w:eastAsia="ja-JP"/>
        </w:rPr>
        <w:t xml:space="preserve"> </w:t>
      </w:r>
      <w:r w:rsidR="00A06550" w:rsidRPr="00D52B7C">
        <w:rPr>
          <w:szCs w:val="24"/>
          <w:lang w:val="fr-FR" w:eastAsia="ja-JP"/>
        </w:rPr>
        <w:t xml:space="preserve">a </w:t>
      </w:r>
      <w:r w:rsidR="00A1452F" w:rsidRPr="00D52B7C">
        <w:rPr>
          <w:color w:val="000000"/>
          <w:lang w:val="fr-FR"/>
        </w:rPr>
        <w:t>créé en 2013 une liste de diffusion de courrier électronique du Comité de direction des activités de veille technologique,</w:t>
      </w:r>
      <w:r w:rsidR="00FC0ACA" w:rsidRPr="00D52B7C">
        <w:rPr>
          <w:szCs w:val="24"/>
          <w:lang w:val="fr-FR" w:eastAsia="ja-JP"/>
        </w:rPr>
        <w:t xml:space="preserve"> </w:t>
      </w:r>
    </w:p>
    <w:p w:rsidR="00A06550" w:rsidRPr="00D52B7C" w:rsidRDefault="00D619E7" w:rsidP="00D619E7">
      <w:pPr>
        <w:tabs>
          <w:tab w:val="clear" w:pos="1134"/>
          <w:tab w:val="clear" w:pos="1871"/>
          <w:tab w:val="clear" w:pos="2268"/>
        </w:tabs>
        <w:overflowPunct/>
        <w:autoSpaceDE/>
        <w:autoSpaceDN/>
        <w:adjustRightInd/>
        <w:spacing w:after="120"/>
        <w:textAlignment w:val="auto"/>
        <w:rPr>
          <w:szCs w:val="24"/>
          <w:lang w:val="fr-FR" w:eastAsia="ja-JP"/>
        </w:rPr>
      </w:pPr>
      <w:r w:rsidRPr="00D52B7C">
        <w:rPr>
          <w:lang w:val="fr-FR"/>
        </w:rPr>
        <w:t xml:space="preserve">Les documents de référence correspondants sont donnés dans le </w:t>
      </w:r>
      <w:r w:rsidR="00A06550" w:rsidRPr="00D52B7C">
        <w:rPr>
          <w:szCs w:val="24"/>
          <w:lang w:val="fr-FR" w:eastAsia="ja-JP"/>
        </w:rPr>
        <w:t>Table</w:t>
      </w:r>
      <w:r w:rsidRPr="00D52B7C">
        <w:rPr>
          <w:szCs w:val="24"/>
          <w:lang w:val="fr-FR" w:eastAsia="ja-JP"/>
        </w:rPr>
        <w:t xml:space="preserve">au </w:t>
      </w:r>
      <w:r w:rsidR="00A06550" w:rsidRPr="00D52B7C">
        <w:rPr>
          <w:szCs w:val="24"/>
          <w:lang w:val="fr-FR" w:eastAsia="ja-JP"/>
        </w:rPr>
        <w:t xml:space="preserve">5 </w:t>
      </w:r>
      <w:r w:rsidRPr="00D52B7C">
        <w:rPr>
          <w:szCs w:val="24"/>
          <w:lang w:val="fr-FR" w:eastAsia="ja-JP"/>
        </w:rPr>
        <w:t>de l'</w:t>
      </w:r>
      <w:hyperlink w:anchor="AnnexA" w:history="1">
        <w:r w:rsidR="00A06550" w:rsidRPr="00D52B7C">
          <w:rPr>
            <w:color w:val="0000FF"/>
            <w:szCs w:val="24"/>
            <w:u w:val="single"/>
            <w:lang w:val="fr-FR" w:eastAsia="ja-JP"/>
          </w:rPr>
          <w:t>Annex</w:t>
        </w:r>
        <w:r w:rsidRPr="00D52B7C">
          <w:rPr>
            <w:color w:val="0000FF"/>
            <w:szCs w:val="24"/>
            <w:u w:val="single"/>
            <w:lang w:val="fr-FR" w:eastAsia="ja-JP"/>
          </w:rPr>
          <w:t>e</w:t>
        </w:r>
        <w:r w:rsidR="00A06550" w:rsidRPr="00D52B7C">
          <w:rPr>
            <w:color w:val="0000FF"/>
            <w:szCs w:val="24"/>
            <w:u w:val="single"/>
            <w:lang w:val="fr-FR" w:eastAsia="ja-JP"/>
          </w:rPr>
          <w:t xml:space="preserve"> A</w:t>
        </w:r>
      </w:hyperlink>
      <w:r w:rsidR="00A06550" w:rsidRPr="00D52B7C">
        <w:rPr>
          <w:szCs w:val="24"/>
          <w:lang w:val="fr-FR" w:eastAsia="ja-JP"/>
        </w:rPr>
        <w:t>.</w:t>
      </w:r>
    </w:p>
    <w:p w:rsidR="00A06550" w:rsidRPr="00D52B7C" w:rsidRDefault="00A06550" w:rsidP="00D619E7">
      <w:pPr>
        <w:pStyle w:val="Heading2"/>
        <w:rPr>
          <w:rFonts w:eastAsia="MS Mincho"/>
          <w:lang w:val="fr-FR" w:eastAsia="ja-JP"/>
        </w:rPr>
      </w:pPr>
      <w:bookmarkStart w:id="7" w:name="_Toc456366809"/>
      <w:r w:rsidRPr="00D52B7C">
        <w:rPr>
          <w:rFonts w:eastAsia="MS Mincho"/>
          <w:lang w:val="fr-FR" w:eastAsia="ja-JP"/>
        </w:rPr>
        <w:t>2.5</w:t>
      </w:r>
      <w:r w:rsidRPr="00D52B7C">
        <w:rPr>
          <w:rFonts w:eastAsia="MS Mincho"/>
          <w:lang w:val="fr-FR" w:eastAsia="ja-JP"/>
        </w:rPr>
        <w:tab/>
      </w:r>
      <w:bookmarkEnd w:id="7"/>
      <w:r w:rsidR="00D619E7" w:rsidRPr="00D52B7C">
        <w:rPr>
          <w:lang w:val="fr-FR"/>
        </w:rPr>
        <w:t>Résultats des réunions des directeurs techniques</w:t>
      </w:r>
    </w:p>
    <w:p w:rsidR="00A06550" w:rsidRPr="00D52B7C" w:rsidRDefault="00D619E7" w:rsidP="00D619E7">
      <w:pPr>
        <w:tabs>
          <w:tab w:val="clear" w:pos="1134"/>
          <w:tab w:val="clear" w:pos="1871"/>
          <w:tab w:val="clear" w:pos="2268"/>
        </w:tabs>
        <w:overflowPunct/>
        <w:autoSpaceDE/>
        <w:autoSpaceDN/>
        <w:adjustRightInd/>
        <w:textAlignment w:val="auto"/>
        <w:rPr>
          <w:szCs w:val="24"/>
          <w:lang w:val="fr-FR" w:eastAsia="ja-JP"/>
        </w:rPr>
      </w:pPr>
      <w:r w:rsidRPr="00D52B7C">
        <w:rPr>
          <w:rFonts w:eastAsia="MS PGothic"/>
          <w:lang w:val="fr-FR"/>
        </w:rPr>
        <w:t xml:space="preserve">Aux termes de la Résolution </w:t>
      </w:r>
      <w:r w:rsidR="00A06550" w:rsidRPr="00D52B7C">
        <w:rPr>
          <w:rFonts w:eastAsia="MS PGothic"/>
          <w:szCs w:val="24"/>
          <w:lang w:val="fr-FR" w:eastAsia="ja-JP"/>
        </w:rPr>
        <w:t>82 (Duba</w:t>
      </w:r>
      <w:r w:rsidRPr="00D52B7C">
        <w:rPr>
          <w:rFonts w:eastAsia="MS PGothic"/>
          <w:szCs w:val="24"/>
          <w:lang w:val="fr-FR" w:eastAsia="ja-JP"/>
        </w:rPr>
        <w:t>ï</w:t>
      </w:r>
      <w:r w:rsidR="00A06550" w:rsidRPr="00D52B7C">
        <w:rPr>
          <w:rFonts w:eastAsia="MS PGothic"/>
          <w:szCs w:val="24"/>
          <w:lang w:val="fr-FR" w:eastAsia="ja-JP"/>
        </w:rPr>
        <w:t xml:space="preserve">, 2012) </w:t>
      </w:r>
      <w:r w:rsidRPr="00D52B7C">
        <w:rPr>
          <w:rFonts w:eastAsia="MS PGothic"/>
          <w:szCs w:val="24"/>
          <w:lang w:val="fr-FR" w:eastAsia="ja-JP"/>
        </w:rPr>
        <w:t>de l'AMNT,</w:t>
      </w:r>
      <w:r w:rsidRPr="00D52B7C">
        <w:rPr>
          <w:rFonts w:eastAsia="MS PGothic"/>
          <w:lang w:val="fr-FR"/>
        </w:rPr>
        <w:t xml:space="preserve"> le Comité d'examen est chargé d'examiner les résultats des réunions des directeurs techniques (CTO), en particulier leurs rapports</w:t>
      </w:r>
      <w:r w:rsidR="00A06550" w:rsidRPr="00D52B7C">
        <w:rPr>
          <w:szCs w:val="24"/>
          <w:lang w:val="fr-FR" w:eastAsia="ja-JP"/>
        </w:rPr>
        <w:t>.</w:t>
      </w:r>
    </w:p>
    <w:p w:rsidR="00D619E7" w:rsidRPr="00D52B7C" w:rsidRDefault="00D619E7" w:rsidP="00A1452F">
      <w:pPr>
        <w:spacing w:after="120"/>
        <w:rPr>
          <w:lang w:val="fr-FR"/>
        </w:rPr>
      </w:pPr>
      <w:r w:rsidRPr="00D52B7C">
        <w:rPr>
          <w:lang w:val="fr-FR"/>
        </w:rPr>
        <w:t>Le Président du Comité d'examen a participé à toutes les réunions des directeurs techniques et a fait rapport au Comité d'examen, l'objectif étant d'identifier la demande du marché et de déterminer des</w:t>
      </w:r>
      <w:r w:rsidR="00A1452F" w:rsidRPr="00D52B7C">
        <w:rPr>
          <w:lang w:val="fr-FR"/>
        </w:rPr>
        <w:t xml:space="preserve"> sujets </w:t>
      </w:r>
      <w:r w:rsidRPr="00D52B7C">
        <w:rPr>
          <w:lang w:val="fr-FR"/>
        </w:rPr>
        <w:t>d'étude nouveaux et novateurs.</w:t>
      </w:r>
      <w:r w:rsidRPr="00D52B7C" w:rsidDel="005C2531">
        <w:rPr>
          <w:lang w:val="fr-FR"/>
        </w:rPr>
        <w:t xml:space="preserve"> </w:t>
      </w:r>
      <w:r w:rsidRPr="00D52B7C">
        <w:rPr>
          <w:lang w:val="fr-FR"/>
        </w:rPr>
        <w:t xml:space="preserve">Le groupe des CTO a décidé de nouer des relations plus régulières et plus dynamiques avec le Comité d'examen et de ne pas se limiter à une réunion par an. </w:t>
      </w:r>
    </w:p>
    <w:p w:rsidR="00A06550" w:rsidRPr="00D52B7C" w:rsidRDefault="00D619E7" w:rsidP="00D409B4">
      <w:pPr>
        <w:keepNext/>
        <w:keepLines/>
        <w:tabs>
          <w:tab w:val="clear" w:pos="1134"/>
          <w:tab w:val="clear" w:pos="1871"/>
          <w:tab w:val="clear" w:pos="2268"/>
        </w:tabs>
        <w:overflowPunct/>
        <w:autoSpaceDE/>
        <w:autoSpaceDN/>
        <w:adjustRightInd/>
        <w:spacing w:after="120"/>
        <w:textAlignment w:val="auto"/>
        <w:rPr>
          <w:szCs w:val="24"/>
          <w:lang w:val="fr-FR" w:eastAsia="ja-JP"/>
        </w:rPr>
      </w:pPr>
      <w:r w:rsidRPr="00D52B7C">
        <w:rPr>
          <w:lang w:val="fr-FR"/>
        </w:rPr>
        <w:lastRenderedPageBreak/>
        <w:t>Compte tenu des discussions</w:t>
      </w:r>
      <w:r w:rsidR="00A1452F" w:rsidRPr="00D52B7C">
        <w:rPr>
          <w:lang w:val="fr-FR"/>
        </w:rPr>
        <w:t xml:space="preserve"> au sein du </w:t>
      </w:r>
      <w:r w:rsidRPr="00D52B7C">
        <w:rPr>
          <w:lang w:val="fr-FR"/>
        </w:rPr>
        <w:t xml:space="preserve">groupe des CTO, le Comité d'examen a </w:t>
      </w:r>
      <w:r w:rsidR="005B7E62" w:rsidRPr="00D52B7C">
        <w:rPr>
          <w:lang w:val="fr-FR"/>
        </w:rPr>
        <w:t xml:space="preserve">estimé que </w:t>
      </w:r>
      <w:r w:rsidRPr="00D52B7C">
        <w:rPr>
          <w:lang w:val="fr-FR"/>
        </w:rPr>
        <w:t>les thèmes suivants revêtant une importance stratégique particulière</w:t>
      </w:r>
      <w:r w:rsidR="00D52B7C">
        <w:rPr>
          <w:lang w:val="fr-FR"/>
        </w:rPr>
        <w:t>,</w:t>
      </w:r>
      <w:r w:rsidR="005B7E62" w:rsidRPr="00D52B7C">
        <w:rPr>
          <w:lang w:val="fr-FR"/>
        </w:rPr>
        <w:t xml:space="preserve"> devraient être </w:t>
      </w:r>
      <w:r w:rsidRPr="00D52B7C">
        <w:rPr>
          <w:lang w:val="fr-FR"/>
        </w:rPr>
        <w:t>examinés au sein de l'UIT-T</w:t>
      </w:r>
      <w:r w:rsidR="00952BB4">
        <w:rPr>
          <w:szCs w:val="24"/>
          <w:lang w:val="fr-FR" w:eastAsia="ja-JP"/>
        </w:rPr>
        <w:t>:</w:t>
      </w:r>
    </w:p>
    <w:p w:rsidR="00A06550" w:rsidRPr="00D52B7C" w:rsidRDefault="00A06550" w:rsidP="00D409B4">
      <w:pPr>
        <w:pStyle w:val="enumlev1"/>
        <w:keepNext/>
        <w:keepLines/>
        <w:rPr>
          <w:lang w:val="fr-FR" w:eastAsia="ja-JP"/>
        </w:rPr>
      </w:pPr>
      <w:r w:rsidRPr="00D52B7C">
        <w:rPr>
          <w:lang w:val="fr-FR" w:eastAsia="ja-JP"/>
        </w:rPr>
        <w:t>−</w:t>
      </w:r>
      <w:r w:rsidRPr="00D52B7C">
        <w:rPr>
          <w:lang w:val="fr-FR" w:eastAsia="ja-JP"/>
        </w:rPr>
        <w:tab/>
        <w:t xml:space="preserve">Internet </w:t>
      </w:r>
      <w:r w:rsidR="00D619E7" w:rsidRPr="00D52B7C">
        <w:rPr>
          <w:lang w:val="fr-FR" w:eastAsia="ja-JP"/>
        </w:rPr>
        <w:t xml:space="preserve">des objets </w:t>
      </w:r>
      <w:r w:rsidRPr="00D52B7C">
        <w:rPr>
          <w:lang w:val="fr-FR" w:eastAsia="ja-JP"/>
        </w:rPr>
        <w:t>(</w:t>
      </w:r>
      <w:proofErr w:type="spellStart"/>
      <w:r w:rsidRPr="00D52B7C">
        <w:rPr>
          <w:lang w:val="fr-FR" w:eastAsia="ja-JP"/>
        </w:rPr>
        <w:t>IoT</w:t>
      </w:r>
      <w:proofErr w:type="spellEnd"/>
      <w:r w:rsidRPr="00D52B7C">
        <w:rPr>
          <w:lang w:val="fr-FR" w:eastAsia="ja-JP"/>
        </w:rPr>
        <w:t>);</w:t>
      </w:r>
    </w:p>
    <w:p w:rsidR="00A06550" w:rsidRPr="00D52B7C" w:rsidRDefault="00A06550" w:rsidP="005B7E62">
      <w:pPr>
        <w:pStyle w:val="enumlev1"/>
        <w:rPr>
          <w:lang w:val="fr-FR" w:eastAsia="ja-JP"/>
        </w:rPr>
      </w:pPr>
      <w:r w:rsidRPr="00D52B7C">
        <w:rPr>
          <w:lang w:val="fr-FR" w:eastAsia="ja-JP"/>
        </w:rPr>
        <w:t>−</w:t>
      </w:r>
      <w:r w:rsidRPr="00D52B7C">
        <w:rPr>
          <w:lang w:val="fr-FR" w:eastAsia="ja-JP"/>
        </w:rPr>
        <w:tab/>
      </w:r>
      <w:r w:rsidR="00D619E7" w:rsidRPr="00D52B7C">
        <w:rPr>
          <w:lang w:val="fr-FR" w:eastAsia="ja-JP"/>
        </w:rPr>
        <w:t>vidé</w:t>
      </w:r>
      <w:r w:rsidRPr="00D52B7C">
        <w:rPr>
          <w:lang w:val="fr-FR" w:eastAsia="ja-JP"/>
        </w:rPr>
        <w:t>o;</w:t>
      </w:r>
    </w:p>
    <w:p w:rsidR="00A06550" w:rsidRPr="00D52B7C" w:rsidRDefault="00A06550" w:rsidP="005B7E62">
      <w:pPr>
        <w:pStyle w:val="enumlev1"/>
        <w:rPr>
          <w:lang w:val="fr-FR" w:eastAsia="ja-JP"/>
        </w:rPr>
      </w:pPr>
      <w:r w:rsidRPr="00D52B7C">
        <w:rPr>
          <w:lang w:val="fr-FR" w:eastAsia="ja-JP"/>
        </w:rPr>
        <w:t>−</w:t>
      </w:r>
      <w:r w:rsidRPr="00D52B7C">
        <w:rPr>
          <w:lang w:val="fr-FR" w:eastAsia="ja-JP"/>
        </w:rPr>
        <w:tab/>
      </w:r>
      <w:proofErr w:type="gramStart"/>
      <w:r w:rsidR="00D619E7" w:rsidRPr="00D52B7C">
        <w:rPr>
          <w:lang w:val="fr-FR"/>
        </w:rPr>
        <w:t>réseaux</w:t>
      </w:r>
      <w:proofErr w:type="gramEnd"/>
      <w:r w:rsidR="00D619E7" w:rsidRPr="00D52B7C">
        <w:rPr>
          <w:lang w:val="fr-FR"/>
        </w:rPr>
        <w:t xml:space="preserve"> pilotés par logiciel et</w:t>
      </w:r>
      <w:r w:rsidR="00FC0ACA" w:rsidRPr="00D52B7C">
        <w:rPr>
          <w:lang w:val="fr-FR"/>
        </w:rPr>
        <w:t xml:space="preserve"> </w:t>
      </w:r>
      <w:r w:rsidR="00D619E7" w:rsidRPr="00D52B7C">
        <w:rPr>
          <w:lang w:val="fr-FR"/>
        </w:rPr>
        <w:t>virtualisation des fonctions de réseau</w:t>
      </w:r>
      <w:r w:rsidRPr="00D52B7C">
        <w:rPr>
          <w:lang w:val="fr-FR" w:eastAsia="ja-JP"/>
        </w:rPr>
        <w:t>;</w:t>
      </w:r>
    </w:p>
    <w:p w:rsidR="00A06550" w:rsidRPr="00D52B7C" w:rsidRDefault="00A06550" w:rsidP="005B7E62">
      <w:pPr>
        <w:pStyle w:val="enumlev1"/>
        <w:rPr>
          <w:lang w:val="fr-FR" w:eastAsia="ja-JP"/>
        </w:rPr>
      </w:pPr>
      <w:r w:rsidRPr="00D52B7C">
        <w:rPr>
          <w:lang w:val="fr-FR" w:eastAsia="ja-JP"/>
        </w:rPr>
        <w:t>−</w:t>
      </w:r>
      <w:r w:rsidRPr="00D52B7C">
        <w:rPr>
          <w:lang w:val="fr-FR" w:eastAsia="ja-JP"/>
        </w:rPr>
        <w:tab/>
      </w:r>
      <w:proofErr w:type="gramStart"/>
      <w:r w:rsidR="00D619E7" w:rsidRPr="00D52B7C">
        <w:rPr>
          <w:lang w:val="fr-FR"/>
        </w:rPr>
        <w:t>systèmes</w:t>
      </w:r>
      <w:proofErr w:type="gramEnd"/>
      <w:r w:rsidR="00D619E7" w:rsidRPr="00D52B7C">
        <w:rPr>
          <w:lang w:val="fr-FR"/>
        </w:rPr>
        <w:t xml:space="preserve"> de transport intelligents</w:t>
      </w:r>
      <w:r w:rsidRPr="00D52B7C">
        <w:rPr>
          <w:lang w:val="fr-FR" w:eastAsia="ja-JP"/>
        </w:rPr>
        <w:t>;</w:t>
      </w:r>
    </w:p>
    <w:p w:rsidR="00A06550" w:rsidRPr="00D52B7C" w:rsidRDefault="00A06550" w:rsidP="005B7E62">
      <w:pPr>
        <w:pStyle w:val="enumlev1"/>
        <w:rPr>
          <w:lang w:val="fr-FR" w:eastAsia="ja-JP"/>
        </w:rPr>
      </w:pPr>
      <w:r w:rsidRPr="00D52B7C">
        <w:rPr>
          <w:lang w:val="fr-FR" w:eastAsia="ja-JP"/>
        </w:rPr>
        <w:t>−</w:t>
      </w:r>
      <w:r w:rsidRPr="00D52B7C">
        <w:rPr>
          <w:lang w:val="fr-FR" w:eastAsia="ja-JP"/>
        </w:rPr>
        <w:tab/>
      </w:r>
      <w:proofErr w:type="gramStart"/>
      <w:r w:rsidR="00D619E7" w:rsidRPr="00D52B7C">
        <w:rPr>
          <w:lang w:val="fr-FR"/>
        </w:rPr>
        <w:t>systèmes</w:t>
      </w:r>
      <w:proofErr w:type="gramEnd"/>
      <w:r w:rsidR="00D619E7" w:rsidRPr="00D52B7C">
        <w:rPr>
          <w:lang w:val="fr-FR"/>
        </w:rPr>
        <w:t xml:space="preserve"> </w:t>
      </w:r>
      <w:r w:rsidRPr="00D52B7C">
        <w:rPr>
          <w:lang w:val="fr-FR" w:eastAsia="ja-JP"/>
        </w:rPr>
        <w:t>5G;</w:t>
      </w:r>
    </w:p>
    <w:p w:rsidR="00A06550" w:rsidRPr="00D52B7C" w:rsidRDefault="00A06550" w:rsidP="005B7E62">
      <w:pPr>
        <w:pStyle w:val="enumlev1"/>
        <w:rPr>
          <w:lang w:val="fr-FR" w:eastAsia="ja-JP"/>
        </w:rPr>
      </w:pPr>
      <w:r w:rsidRPr="00D52B7C">
        <w:rPr>
          <w:lang w:val="fr-FR" w:eastAsia="ja-JP"/>
        </w:rPr>
        <w:t>−</w:t>
      </w:r>
      <w:r w:rsidRPr="00D52B7C">
        <w:rPr>
          <w:lang w:val="fr-FR" w:eastAsia="ja-JP"/>
        </w:rPr>
        <w:tab/>
      </w:r>
      <w:proofErr w:type="gramStart"/>
      <w:r w:rsidR="00D619E7" w:rsidRPr="00D52B7C">
        <w:rPr>
          <w:lang w:val="fr-FR"/>
        </w:rPr>
        <w:t>interopérabilité</w:t>
      </w:r>
      <w:proofErr w:type="gramEnd"/>
      <w:r w:rsidR="00D619E7" w:rsidRPr="00D52B7C">
        <w:rPr>
          <w:lang w:val="fr-FR"/>
        </w:rPr>
        <w:t xml:space="preserve"> des services dans des environnements hybrides fixe</w:t>
      </w:r>
      <w:r w:rsidR="00D619E7" w:rsidRPr="00D52B7C">
        <w:rPr>
          <w:lang w:val="fr-FR"/>
        </w:rPr>
        <w:noBreakHyphen/>
        <w:t>mobile, y compris l'Internet des objets</w:t>
      </w:r>
      <w:r w:rsidRPr="00D52B7C">
        <w:rPr>
          <w:sz w:val="22"/>
          <w:szCs w:val="22"/>
          <w:lang w:val="fr-FR" w:eastAsia="ja-JP"/>
        </w:rPr>
        <w:t>;</w:t>
      </w:r>
    </w:p>
    <w:p w:rsidR="00D619E7" w:rsidRPr="00D52B7C" w:rsidRDefault="00A06550" w:rsidP="005B7E62">
      <w:pPr>
        <w:pStyle w:val="enumlev1"/>
        <w:rPr>
          <w:lang w:val="fr-FR"/>
        </w:rPr>
      </w:pPr>
      <w:r w:rsidRPr="00D52B7C">
        <w:rPr>
          <w:lang w:val="fr-FR" w:eastAsia="ja-JP"/>
        </w:rPr>
        <w:t>−</w:t>
      </w:r>
      <w:r w:rsidRPr="00D52B7C">
        <w:rPr>
          <w:lang w:val="fr-FR" w:eastAsia="ja-JP"/>
        </w:rPr>
        <w:tab/>
      </w:r>
      <w:proofErr w:type="gramStart"/>
      <w:r w:rsidR="00D619E7" w:rsidRPr="00D52B7C">
        <w:rPr>
          <w:lang w:val="fr-FR"/>
        </w:rPr>
        <w:t>infrastructure</w:t>
      </w:r>
      <w:proofErr w:type="gramEnd"/>
      <w:r w:rsidR="00D619E7" w:rsidRPr="00D52B7C">
        <w:rPr>
          <w:lang w:val="fr-FR"/>
        </w:rPr>
        <w:t xml:space="preserve"> de l'information sécurisée; et </w:t>
      </w:r>
    </w:p>
    <w:p w:rsidR="00A06550" w:rsidRPr="00D52B7C" w:rsidRDefault="00D619E7" w:rsidP="00D619E7">
      <w:pPr>
        <w:pStyle w:val="enumlev1"/>
        <w:rPr>
          <w:lang w:val="fr-FR" w:eastAsia="ja-JP"/>
        </w:rPr>
      </w:pPr>
      <w:r w:rsidRPr="00D52B7C">
        <w:rPr>
          <w:lang w:val="fr-FR" w:eastAsia="ja-JP"/>
        </w:rPr>
        <w:t>−</w:t>
      </w:r>
      <w:r w:rsidRPr="00D52B7C">
        <w:rPr>
          <w:lang w:val="fr-FR" w:eastAsia="ja-JP"/>
        </w:rPr>
        <w:tab/>
      </w:r>
      <w:proofErr w:type="gramStart"/>
      <w:r w:rsidRPr="00D52B7C">
        <w:rPr>
          <w:lang w:val="fr-FR"/>
        </w:rPr>
        <w:t>solutions</w:t>
      </w:r>
      <w:proofErr w:type="gramEnd"/>
      <w:r w:rsidRPr="00D52B7C">
        <w:rPr>
          <w:lang w:val="fr-FR"/>
        </w:rPr>
        <w:t xml:space="preserve"> à code source ouvert.</w:t>
      </w:r>
    </w:p>
    <w:p w:rsidR="00A06550" w:rsidRPr="00D52B7C" w:rsidRDefault="001A2A29" w:rsidP="00275A05">
      <w:pPr>
        <w:tabs>
          <w:tab w:val="clear" w:pos="1134"/>
          <w:tab w:val="clear" w:pos="1871"/>
          <w:tab w:val="clear" w:pos="2268"/>
        </w:tabs>
        <w:overflowPunct/>
        <w:autoSpaceDE/>
        <w:autoSpaceDN/>
        <w:adjustRightInd/>
        <w:textAlignment w:val="auto"/>
        <w:rPr>
          <w:szCs w:val="24"/>
          <w:lang w:val="fr-FR" w:eastAsia="ja-JP"/>
        </w:rPr>
      </w:pPr>
      <w:r w:rsidRPr="00D52B7C">
        <w:rPr>
          <w:szCs w:val="24"/>
          <w:lang w:val="fr-FR" w:eastAsia="ja-JP"/>
        </w:rPr>
        <w:t xml:space="preserve">On trouvera dans le </w:t>
      </w:r>
      <w:r w:rsidR="00A06550" w:rsidRPr="00D52B7C">
        <w:rPr>
          <w:szCs w:val="24"/>
          <w:lang w:val="fr-FR" w:eastAsia="ja-JP"/>
        </w:rPr>
        <w:t>Table</w:t>
      </w:r>
      <w:r w:rsidR="00DE2DA8" w:rsidRPr="00D52B7C">
        <w:rPr>
          <w:szCs w:val="24"/>
          <w:lang w:val="fr-FR" w:eastAsia="ja-JP"/>
        </w:rPr>
        <w:t>au</w:t>
      </w:r>
      <w:r w:rsidR="00A06550" w:rsidRPr="00D52B7C">
        <w:rPr>
          <w:szCs w:val="24"/>
          <w:lang w:val="fr-FR" w:eastAsia="ja-JP"/>
        </w:rPr>
        <w:t xml:space="preserve"> 6 </w:t>
      </w:r>
      <w:r w:rsidR="00DE2DA8" w:rsidRPr="00D52B7C">
        <w:rPr>
          <w:szCs w:val="24"/>
          <w:lang w:val="fr-FR" w:eastAsia="ja-JP"/>
        </w:rPr>
        <w:t>de</w:t>
      </w:r>
      <w:r w:rsidR="00A06550" w:rsidRPr="00D52B7C">
        <w:rPr>
          <w:szCs w:val="24"/>
          <w:lang w:val="fr-FR" w:eastAsia="ja-JP"/>
        </w:rPr>
        <w:t xml:space="preserve"> </w:t>
      </w:r>
      <w:r w:rsidR="00DE2DA8" w:rsidRPr="00D52B7C">
        <w:rPr>
          <w:szCs w:val="24"/>
          <w:lang w:val="fr-FR" w:eastAsia="ja-JP"/>
        </w:rPr>
        <w:t>l'</w:t>
      </w:r>
      <w:hyperlink w:anchor="AnnexA" w:history="1">
        <w:r w:rsidR="00A06550" w:rsidRPr="00D52B7C">
          <w:rPr>
            <w:color w:val="0000FF"/>
            <w:szCs w:val="24"/>
            <w:u w:val="single"/>
            <w:lang w:val="fr-FR" w:eastAsia="ja-JP"/>
          </w:rPr>
          <w:t>Annex</w:t>
        </w:r>
        <w:r w:rsidR="00DE2DA8" w:rsidRPr="00D52B7C">
          <w:rPr>
            <w:color w:val="0000FF"/>
            <w:szCs w:val="24"/>
            <w:u w:val="single"/>
            <w:lang w:val="fr-FR" w:eastAsia="ja-JP"/>
          </w:rPr>
          <w:t>e</w:t>
        </w:r>
        <w:r w:rsidR="00A06550" w:rsidRPr="00D52B7C">
          <w:rPr>
            <w:color w:val="0000FF"/>
            <w:szCs w:val="24"/>
            <w:u w:val="single"/>
            <w:lang w:val="fr-FR" w:eastAsia="ja-JP"/>
          </w:rPr>
          <w:t xml:space="preserve"> A</w:t>
        </w:r>
      </w:hyperlink>
      <w:r w:rsidRPr="00D52B7C">
        <w:rPr>
          <w:szCs w:val="24"/>
          <w:lang w:val="fr-FR" w:eastAsia="ja-JP"/>
        </w:rPr>
        <w:t xml:space="preserve"> la documentation pertinente ainsi que les résultats des réunions</w:t>
      </w:r>
      <w:r w:rsidRPr="00D52B7C">
        <w:rPr>
          <w:lang w:val="fr-FR"/>
        </w:rPr>
        <w:t xml:space="preserve"> du groupe des CTO</w:t>
      </w:r>
      <w:r w:rsidR="00530B99">
        <w:rPr>
          <w:lang w:val="fr-FR"/>
        </w:rPr>
        <w:t>.</w:t>
      </w:r>
    </w:p>
    <w:p w:rsidR="00A06550" w:rsidRPr="00D52B7C" w:rsidRDefault="00A06550" w:rsidP="001A2A29">
      <w:pPr>
        <w:pStyle w:val="Heading2"/>
        <w:rPr>
          <w:rFonts w:eastAsia="MS Mincho"/>
          <w:lang w:val="fr-FR" w:eastAsia="ja-JP"/>
        </w:rPr>
      </w:pPr>
      <w:bookmarkStart w:id="8" w:name="_Toc456366810"/>
      <w:r w:rsidRPr="00D52B7C">
        <w:rPr>
          <w:rFonts w:eastAsia="MS Mincho"/>
          <w:lang w:val="fr-FR" w:eastAsia="ja-JP"/>
        </w:rPr>
        <w:t>2.6</w:t>
      </w:r>
      <w:r w:rsidRPr="00D52B7C">
        <w:rPr>
          <w:rFonts w:eastAsia="MS Mincho"/>
          <w:lang w:val="fr-FR" w:eastAsia="ja-JP"/>
        </w:rPr>
        <w:tab/>
      </w:r>
      <w:bookmarkEnd w:id="8"/>
      <w:r w:rsidR="00275A05" w:rsidRPr="00D52B7C">
        <w:rPr>
          <w:lang w:val="fr-FR"/>
        </w:rPr>
        <w:t>R</w:t>
      </w:r>
      <w:r w:rsidR="00DE2DA8" w:rsidRPr="00D52B7C">
        <w:rPr>
          <w:lang w:val="fr-FR"/>
        </w:rPr>
        <w:t xml:space="preserve">estructuration </w:t>
      </w:r>
      <w:r w:rsidR="001A2A29" w:rsidRPr="00D52B7C">
        <w:rPr>
          <w:lang w:val="fr-FR"/>
        </w:rPr>
        <w:t>des commissions d</w:t>
      </w:r>
      <w:r w:rsidR="00FC0ACA" w:rsidRPr="00D52B7C">
        <w:rPr>
          <w:lang w:val="fr-FR"/>
        </w:rPr>
        <w:t>'</w:t>
      </w:r>
      <w:r w:rsidR="001A2A29" w:rsidRPr="00D52B7C">
        <w:rPr>
          <w:lang w:val="fr-FR"/>
        </w:rPr>
        <w:t xml:space="preserve">études </w:t>
      </w:r>
      <w:r w:rsidR="00DE2DA8" w:rsidRPr="00D52B7C">
        <w:rPr>
          <w:lang w:val="fr-FR"/>
        </w:rPr>
        <w:t>de l'UIT-T</w:t>
      </w:r>
    </w:p>
    <w:p w:rsidR="00A06550" w:rsidRPr="00D52B7C" w:rsidRDefault="0091758B" w:rsidP="00D52B7C">
      <w:pPr>
        <w:rPr>
          <w:lang w:val="fr-FR" w:eastAsia="ja-JP"/>
        </w:rPr>
      </w:pPr>
      <w:r w:rsidRPr="00D52B7C">
        <w:rPr>
          <w:lang w:val="fr-FR" w:eastAsia="ja-JP"/>
        </w:rPr>
        <w:t>E</w:t>
      </w:r>
      <w:r w:rsidR="001A2A29" w:rsidRPr="00D52B7C">
        <w:rPr>
          <w:lang w:val="fr-FR" w:eastAsia="ja-JP"/>
        </w:rPr>
        <w:t>n janvier 2014, le Comité d</w:t>
      </w:r>
      <w:r w:rsidR="00FC0ACA" w:rsidRPr="00D52B7C">
        <w:rPr>
          <w:lang w:val="fr-FR" w:eastAsia="ja-JP"/>
        </w:rPr>
        <w:t>'</w:t>
      </w:r>
      <w:r w:rsidR="001A2A29" w:rsidRPr="00D52B7C">
        <w:rPr>
          <w:lang w:val="fr-FR" w:eastAsia="ja-JP"/>
        </w:rPr>
        <w:t>examen a créé un</w:t>
      </w:r>
      <w:r w:rsidR="00FC0ACA" w:rsidRPr="00D52B7C">
        <w:rPr>
          <w:lang w:val="fr-FR" w:eastAsia="ja-JP"/>
        </w:rPr>
        <w:t xml:space="preserve"> </w:t>
      </w:r>
      <w:r w:rsidR="001A2A29" w:rsidRPr="00D52B7C">
        <w:rPr>
          <w:color w:val="000000"/>
          <w:lang w:val="fr-FR"/>
        </w:rPr>
        <w:t>Groupe du Rapporteur</w:t>
      </w:r>
      <w:r w:rsidR="00FC0ACA" w:rsidRPr="00D52B7C">
        <w:rPr>
          <w:color w:val="000000"/>
          <w:lang w:val="fr-FR"/>
        </w:rPr>
        <w:t xml:space="preserve"> </w:t>
      </w:r>
      <w:r w:rsidR="001A2A29" w:rsidRPr="00D52B7C">
        <w:rPr>
          <w:color w:val="000000"/>
          <w:lang w:val="fr-FR"/>
        </w:rPr>
        <w:t>sur la restructuration de l'UIT-T</w:t>
      </w:r>
      <w:r w:rsidR="001A2A29" w:rsidRPr="00D52B7C">
        <w:rPr>
          <w:lang w:val="fr-FR" w:eastAsia="ja-JP"/>
        </w:rPr>
        <w:t xml:space="preserve"> pour examiner les contributions relatives à deux aspects de la restructuration des commissions d</w:t>
      </w:r>
      <w:r w:rsidR="00FC0ACA" w:rsidRPr="00D52B7C">
        <w:rPr>
          <w:lang w:val="fr-FR" w:eastAsia="ja-JP"/>
        </w:rPr>
        <w:t>'</w:t>
      </w:r>
      <w:r w:rsidR="001A2A29" w:rsidRPr="00D52B7C">
        <w:rPr>
          <w:lang w:val="fr-FR" w:eastAsia="ja-JP"/>
        </w:rPr>
        <w:t>études actuelles de l</w:t>
      </w:r>
      <w:r w:rsidR="00FC0ACA" w:rsidRPr="00D52B7C">
        <w:rPr>
          <w:lang w:val="fr-FR" w:eastAsia="ja-JP"/>
        </w:rPr>
        <w:t>'</w:t>
      </w:r>
      <w:r w:rsidRPr="00D52B7C">
        <w:rPr>
          <w:lang w:val="fr-FR" w:eastAsia="ja-JP"/>
        </w:rPr>
        <w:t>UIT</w:t>
      </w:r>
      <w:r w:rsidRPr="00D52B7C">
        <w:rPr>
          <w:lang w:val="fr-FR" w:eastAsia="ja-JP"/>
        </w:rPr>
        <w:noBreakHyphen/>
      </w:r>
      <w:r w:rsidR="001A2A29" w:rsidRPr="00D52B7C">
        <w:rPr>
          <w:lang w:val="fr-FR" w:eastAsia="ja-JP"/>
        </w:rPr>
        <w:t>T, à savoir</w:t>
      </w:r>
      <w:r w:rsidR="001520AA" w:rsidRPr="00D52B7C">
        <w:rPr>
          <w:lang w:val="fr-FR" w:eastAsia="ja-JP"/>
        </w:rPr>
        <w:t>:</w:t>
      </w:r>
    </w:p>
    <w:p w:rsidR="00A06550" w:rsidRPr="00D52B7C" w:rsidRDefault="00A06550" w:rsidP="001A2A29">
      <w:pPr>
        <w:pStyle w:val="enumlev1"/>
        <w:rPr>
          <w:lang w:val="fr-FR" w:eastAsia="ja-JP"/>
        </w:rPr>
      </w:pPr>
      <w:r w:rsidRPr="00D52B7C">
        <w:rPr>
          <w:lang w:val="fr-FR" w:eastAsia="ja-JP"/>
        </w:rPr>
        <w:t>1</w:t>
      </w:r>
      <w:r w:rsidR="00DE2DA8" w:rsidRPr="00D52B7C">
        <w:rPr>
          <w:lang w:val="fr-FR" w:eastAsia="ja-JP"/>
        </w:rPr>
        <w:t>)</w:t>
      </w:r>
      <w:r w:rsidRPr="00D52B7C">
        <w:rPr>
          <w:lang w:val="fr-FR" w:eastAsia="ja-JP"/>
        </w:rPr>
        <w:tab/>
      </w:r>
      <w:r w:rsidR="001A2A29" w:rsidRPr="00D52B7C">
        <w:rPr>
          <w:lang w:val="fr-FR" w:eastAsia="ja-JP"/>
        </w:rPr>
        <w:t>principes de haut niveau régissant la restructuration des commissions d</w:t>
      </w:r>
      <w:r w:rsidR="00FC0ACA" w:rsidRPr="00D52B7C">
        <w:rPr>
          <w:lang w:val="fr-FR" w:eastAsia="ja-JP"/>
        </w:rPr>
        <w:t>'</w:t>
      </w:r>
      <w:r w:rsidR="001A2A29" w:rsidRPr="00D52B7C">
        <w:rPr>
          <w:lang w:val="fr-FR" w:eastAsia="ja-JP"/>
        </w:rPr>
        <w:t>études</w:t>
      </w:r>
      <w:r w:rsidR="00952BB4">
        <w:rPr>
          <w:lang w:val="fr-FR" w:eastAsia="ja-JP"/>
        </w:rPr>
        <w:t>;</w:t>
      </w:r>
    </w:p>
    <w:p w:rsidR="00A06550" w:rsidRPr="00D52B7C" w:rsidRDefault="00DE2DA8" w:rsidP="001A2A29">
      <w:pPr>
        <w:pStyle w:val="enumlev1"/>
        <w:rPr>
          <w:lang w:val="fr-FR" w:eastAsia="ja-JP"/>
        </w:rPr>
      </w:pPr>
      <w:r w:rsidRPr="00D52B7C">
        <w:rPr>
          <w:lang w:val="fr-FR" w:eastAsia="ja-JP"/>
        </w:rPr>
        <w:t>2)</w:t>
      </w:r>
      <w:r w:rsidR="00A06550" w:rsidRPr="00D52B7C">
        <w:rPr>
          <w:lang w:val="fr-FR" w:eastAsia="ja-JP"/>
        </w:rPr>
        <w:tab/>
      </w:r>
      <w:r w:rsidR="001A2A29" w:rsidRPr="00D52B7C">
        <w:rPr>
          <w:lang w:val="fr-FR" w:eastAsia="ja-JP"/>
        </w:rPr>
        <w:t>structure détaillée des commissions d</w:t>
      </w:r>
      <w:r w:rsidR="00FC0ACA" w:rsidRPr="00D52B7C">
        <w:rPr>
          <w:lang w:val="fr-FR" w:eastAsia="ja-JP"/>
        </w:rPr>
        <w:t>'</w:t>
      </w:r>
      <w:r w:rsidR="001A2A29" w:rsidRPr="00D52B7C">
        <w:rPr>
          <w:lang w:val="fr-FR" w:eastAsia="ja-JP"/>
        </w:rPr>
        <w:t>études</w:t>
      </w:r>
      <w:r w:rsidR="00FC0ACA" w:rsidRPr="00D52B7C">
        <w:rPr>
          <w:lang w:val="fr-FR" w:eastAsia="ja-JP"/>
        </w:rPr>
        <w:t xml:space="preserve"> </w:t>
      </w:r>
    </w:p>
    <w:p w:rsidR="00A06550" w:rsidRPr="00D52B7C" w:rsidRDefault="005B7E62" w:rsidP="00D52B7C">
      <w:pPr>
        <w:rPr>
          <w:lang w:val="fr-FR" w:eastAsia="ja-JP"/>
        </w:rPr>
      </w:pPr>
      <w:r w:rsidRPr="00D52B7C">
        <w:rPr>
          <w:lang w:val="fr-FR" w:eastAsia="ja-JP"/>
        </w:rPr>
        <w:t>A</w:t>
      </w:r>
      <w:r w:rsidR="00383EC3" w:rsidRPr="00D52B7C">
        <w:rPr>
          <w:lang w:val="fr-FR" w:eastAsia="ja-JP"/>
        </w:rPr>
        <w:t xml:space="preserve"> sa réunion de mai 2015, le Comité d</w:t>
      </w:r>
      <w:r w:rsidR="00FC0ACA" w:rsidRPr="00D52B7C">
        <w:rPr>
          <w:lang w:val="fr-FR" w:eastAsia="ja-JP"/>
        </w:rPr>
        <w:t>'</w:t>
      </w:r>
      <w:r w:rsidR="00383EC3" w:rsidRPr="00D52B7C">
        <w:rPr>
          <w:lang w:val="fr-FR" w:eastAsia="ja-JP"/>
        </w:rPr>
        <w:t>examen est convenu que le GCNT dirigera</w:t>
      </w:r>
      <w:r w:rsidR="0091758B" w:rsidRPr="00D52B7C">
        <w:rPr>
          <w:lang w:val="fr-FR" w:eastAsia="ja-JP"/>
        </w:rPr>
        <w:t>it</w:t>
      </w:r>
      <w:r w:rsidR="00383EC3" w:rsidRPr="00D52B7C">
        <w:rPr>
          <w:lang w:val="fr-FR" w:eastAsia="ja-JP"/>
        </w:rPr>
        <w:t xml:space="preserve"> les discussions détaillées sur la structure des commissions d</w:t>
      </w:r>
      <w:r w:rsidR="00FC0ACA" w:rsidRPr="00D52B7C">
        <w:rPr>
          <w:lang w:val="fr-FR" w:eastAsia="ja-JP"/>
        </w:rPr>
        <w:t>'</w:t>
      </w:r>
      <w:r w:rsidR="00383EC3" w:rsidRPr="00D52B7C">
        <w:rPr>
          <w:lang w:val="fr-FR" w:eastAsia="ja-JP"/>
        </w:rPr>
        <w:t xml:space="preserve">études et a proposé </w:t>
      </w:r>
      <w:r w:rsidR="0091758B" w:rsidRPr="00D52B7C">
        <w:rPr>
          <w:lang w:val="fr-FR" w:eastAsia="ja-JP"/>
        </w:rPr>
        <w:t>les sept principes de niveau ci</w:t>
      </w:r>
      <w:r w:rsidR="0091758B" w:rsidRPr="00D52B7C">
        <w:rPr>
          <w:lang w:val="fr-FR" w:eastAsia="ja-JP"/>
        </w:rPr>
        <w:noBreakHyphen/>
      </w:r>
      <w:r w:rsidR="00383EC3" w:rsidRPr="00D52B7C">
        <w:rPr>
          <w:lang w:val="fr-FR" w:eastAsia="ja-JP"/>
        </w:rPr>
        <w:t>après concernant la restructuration des commissions d</w:t>
      </w:r>
      <w:r w:rsidR="00FC0ACA" w:rsidRPr="00D52B7C">
        <w:rPr>
          <w:lang w:val="fr-FR" w:eastAsia="ja-JP"/>
        </w:rPr>
        <w:t>'</w:t>
      </w:r>
      <w:r w:rsidR="00383EC3" w:rsidRPr="00D52B7C">
        <w:rPr>
          <w:lang w:val="fr-FR" w:eastAsia="ja-JP"/>
        </w:rPr>
        <w:t>études</w:t>
      </w:r>
      <w:r w:rsidR="001520AA" w:rsidRPr="00D52B7C">
        <w:rPr>
          <w:lang w:val="fr-FR" w:eastAsia="ja-JP"/>
        </w:rPr>
        <w:t>:</w:t>
      </w:r>
      <w:r w:rsidR="00FC0ACA" w:rsidRPr="00D52B7C">
        <w:rPr>
          <w:lang w:val="fr-FR" w:eastAsia="ja-JP"/>
        </w:rPr>
        <w:t xml:space="preserve"> </w:t>
      </w:r>
    </w:p>
    <w:p w:rsidR="00DE2DA8" w:rsidRPr="00D52B7C" w:rsidRDefault="00DE2DA8" w:rsidP="00DE2DA8">
      <w:pPr>
        <w:pStyle w:val="enumlev1"/>
        <w:rPr>
          <w:lang w:val="fr-FR"/>
        </w:rPr>
      </w:pPr>
      <w:r w:rsidRPr="00D52B7C">
        <w:rPr>
          <w:lang w:val="fr-FR"/>
        </w:rPr>
        <w:t>A:</w:t>
      </w:r>
      <w:r w:rsidRPr="00D52B7C">
        <w:rPr>
          <w:lang w:val="fr-FR"/>
        </w:rPr>
        <w:tab/>
        <w:t>Structure optimisée</w:t>
      </w:r>
    </w:p>
    <w:p w:rsidR="00DE2DA8" w:rsidRPr="00D52B7C" w:rsidRDefault="00DE2DA8" w:rsidP="00DE2DA8">
      <w:pPr>
        <w:pStyle w:val="enumlev1"/>
        <w:rPr>
          <w:lang w:val="fr-FR"/>
        </w:rPr>
      </w:pPr>
      <w:r w:rsidRPr="00D52B7C">
        <w:rPr>
          <w:lang w:val="fr-FR"/>
        </w:rPr>
        <w:t>B:</w:t>
      </w:r>
      <w:r w:rsidRPr="00D52B7C">
        <w:rPr>
          <w:lang w:val="fr-FR"/>
        </w:rPr>
        <w:tab/>
        <w:t>Mandats clairs</w:t>
      </w:r>
    </w:p>
    <w:p w:rsidR="00DE2DA8" w:rsidRPr="00D52B7C" w:rsidRDefault="00DE2DA8" w:rsidP="00DE2DA8">
      <w:pPr>
        <w:pStyle w:val="enumlev1"/>
        <w:rPr>
          <w:lang w:val="fr-FR"/>
        </w:rPr>
      </w:pPr>
      <w:r w:rsidRPr="00D52B7C">
        <w:rPr>
          <w:lang w:val="fr-FR"/>
        </w:rPr>
        <w:t xml:space="preserve">C: </w:t>
      </w:r>
      <w:r w:rsidRPr="00D52B7C">
        <w:rPr>
          <w:lang w:val="fr-FR"/>
        </w:rPr>
        <w:tab/>
        <w:t>Coordination et coopération accrues</w:t>
      </w:r>
    </w:p>
    <w:p w:rsidR="00DE2DA8" w:rsidRPr="00D52B7C" w:rsidRDefault="00DE2DA8" w:rsidP="00DE2DA8">
      <w:pPr>
        <w:pStyle w:val="enumlev1"/>
        <w:rPr>
          <w:lang w:val="fr-FR"/>
        </w:rPr>
      </w:pPr>
      <w:r w:rsidRPr="00D52B7C">
        <w:rPr>
          <w:lang w:val="fr-FR"/>
        </w:rPr>
        <w:t xml:space="preserve">D: </w:t>
      </w:r>
      <w:r w:rsidRPr="00D52B7C">
        <w:rPr>
          <w:lang w:val="fr-FR"/>
        </w:rPr>
        <w:tab/>
        <w:t>Rentabilité économique et attractivité</w:t>
      </w:r>
    </w:p>
    <w:p w:rsidR="00DE2DA8" w:rsidRPr="00D52B7C" w:rsidRDefault="00DE2DA8" w:rsidP="00DE2DA8">
      <w:pPr>
        <w:pStyle w:val="enumlev1"/>
        <w:rPr>
          <w:lang w:val="fr-FR"/>
        </w:rPr>
      </w:pPr>
      <w:r w:rsidRPr="00D52B7C">
        <w:rPr>
          <w:lang w:val="fr-FR"/>
        </w:rPr>
        <w:t xml:space="preserve">E: </w:t>
      </w:r>
      <w:r w:rsidRPr="00D52B7C">
        <w:rPr>
          <w:lang w:val="fr-FR"/>
        </w:rPr>
        <w:tab/>
        <w:t>Méthodes de travail efficientes et efficaces</w:t>
      </w:r>
    </w:p>
    <w:p w:rsidR="001A555A" w:rsidRPr="00D52B7C" w:rsidRDefault="00DE2DA8" w:rsidP="001A555A">
      <w:pPr>
        <w:pStyle w:val="enumlev1"/>
        <w:rPr>
          <w:lang w:val="fr-FR"/>
        </w:rPr>
      </w:pPr>
      <w:r w:rsidRPr="00D52B7C">
        <w:rPr>
          <w:lang w:val="fr-FR"/>
        </w:rPr>
        <w:t>F:</w:t>
      </w:r>
      <w:r w:rsidRPr="00D52B7C">
        <w:rPr>
          <w:lang w:val="fr-FR"/>
        </w:rPr>
        <w:tab/>
        <w:t>Identification rapide des besoins en matière de normalisation</w:t>
      </w:r>
    </w:p>
    <w:p w:rsidR="00DE2DA8" w:rsidRPr="00D52B7C" w:rsidRDefault="00DE2DA8" w:rsidP="001A555A">
      <w:pPr>
        <w:pStyle w:val="enumlev1"/>
        <w:rPr>
          <w:color w:val="000000"/>
          <w:lang w:val="fr-FR"/>
        </w:rPr>
      </w:pPr>
      <w:r w:rsidRPr="00D52B7C">
        <w:rPr>
          <w:lang w:val="fr-FR"/>
        </w:rPr>
        <w:t>G:</w:t>
      </w:r>
      <w:r w:rsidRPr="00D52B7C">
        <w:rPr>
          <w:lang w:val="fr-FR"/>
        </w:rPr>
        <w:tab/>
      </w:r>
      <w:r w:rsidRPr="00D52B7C">
        <w:rPr>
          <w:color w:val="000000"/>
          <w:lang w:val="fr-FR"/>
        </w:rPr>
        <w:t>Contribution à la réduction de l'écart en matière de normalisation</w:t>
      </w:r>
    </w:p>
    <w:p w:rsidR="00A06550" w:rsidRPr="00D52B7C" w:rsidRDefault="00383EC3" w:rsidP="00383EC3">
      <w:pPr>
        <w:tabs>
          <w:tab w:val="clear" w:pos="1134"/>
          <w:tab w:val="clear" w:pos="1871"/>
          <w:tab w:val="clear" w:pos="2268"/>
        </w:tabs>
        <w:overflowPunct/>
        <w:autoSpaceDE/>
        <w:autoSpaceDN/>
        <w:adjustRightInd/>
        <w:textAlignment w:val="auto"/>
        <w:rPr>
          <w:b/>
          <w:bCs/>
          <w:szCs w:val="24"/>
          <w:lang w:val="fr-FR" w:eastAsia="ja-JP"/>
        </w:rPr>
      </w:pPr>
      <w:r w:rsidRPr="00D52B7C">
        <w:rPr>
          <w:szCs w:val="24"/>
          <w:lang w:val="fr-FR" w:eastAsia="ja-JP"/>
        </w:rPr>
        <w:t>Ces deux propositions ont été acceptées par le GCNT à sa réunion de juin 2015. Afin de faire avancer les discussions sur la structure des commissions d</w:t>
      </w:r>
      <w:r w:rsidR="00FC0ACA" w:rsidRPr="00D52B7C">
        <w:rPr>
          <w:szCs w:val="24"/>
          <w:lang w:val="fr-FR" w:eastAsia="ja-JP"/>
        </w:rPr>
        <w:t>'</w:t>
      </w:r>
      <w:r w:rsidRPr="00D52B7C">
        <w:rPr>
          <w:szCs w:val="24"/>
          <w:lang w:val="fr-FR" w:eastAsia="ja-JP"/>
        </w:rPr>
        <w:t xml:space="preserve">études, le GCNT a créé un </w:t>
      </w:r>
      <w:r w:rsidR="00F9010B" w:rsidRPr="006E2BA9">
        <w:rPr>
          <w:szCs w:val="24"/>
          <w:lang w:val="fr-FR" w:eastAsia="ja-JP"/>
        </w:rPr>
        <w:t>G</w:t>
      </w:r>
      <w:r w:rsidRPr="00D52B7C">
        <w:rPr>
          <w:szCs w:val="24"/>
          <w:lang w:val="fr-FR" w:eastAsia="ja-JP"/>
        </w:rPr>
        <w:t xml:space="preserve">roupe du </w:t>
      </w:r>
      <w:r w:rsidR="0091758B" w:rsidRPr="00D52B7C">
        <w:rPr>
          <w:szCs w:val="24"/>
          <w:lang w:val="fr-FR" w:eastAsia="ja-JP"/>
        </w:rPr>
        <w:t>R</w:t>
      </w:r>
      <w:r w:rsidRPr="00D52B7C">
        <w:rPr>
          <w:szCs w:val="24"/>
          <w:lang w:val="fr-FR" w:eastAsia="ja-JP"/>
        </w:rPr>
        <w:t>apporteur sur le programme de travail et la structure des commissions d</w:t>
      </w:r>
      <w:r w:rsidR="00FC0ACA" w:rsidRPr="00D52B7C">
        <w:rPr>
          <w:szCs w:val="24"/>
          <w:lang w:val="fr-FR" w:eastAsia="ja-JP"/>
        </w:rPr>
        <w:t>'</w:t>
      </w:r>
      <w:r w:rsidRPr="00D52B7C">
        <w:rPr>
          <w:szCs w:val="24"/>
          <w:lang w:val="fr-FR" w:eastAsia="ja-JP"/>
        </w:rPr>
        <w:t>études</w:t>
      </w:r>
      <w:r w:rsidR="00F9010B">
        <w:rPr>
          <w:szCs w:val="24"/>
          <w:lang w:val="fr-FR" w:eastAsia="ja-JP"/>
        </w:rPr>
        <w:t>.</w:t>
      </w:r>
    </w:p>
    <w:p w:rsidR="00A06550" w:rsidRPr="00D52B7C" w:rsidRDefault="00A06550" w:rsidP="00383EC3">
      <w:pPr>
        <w:pStyle w:val="Heading2"/>
        <w:rPr>
          <w:rFonts w:eastAsia="MS Mincho"/>
          <w:lang w:val="fr-FR" w:eastAsia="ja-JP"/>
        </w:rPr>
      </w:pPr>
      <w:bookmarkStart w:id="9" w:name="_Toc456366811"/>
      <w:r w:rsidRPr="00D52B7C">
        <w:rPr>
          <w:rFonts w:eastAsia="MS Mincho"/>
          <w:lang w:val="fr-FR" w:eastAsia="ja-JP"/>
        </w:rPr>
        <w:t>2.7</w:t>
      </w:r>
      <w:r w:rsidRPr="00D52B7C">
        <w:rPr>
          <w:rFonts w:eastAsia="MS Mincho"/>
          <w:lang w:val="fr-FR" w:eastAsia="ja-JP"/>
        </w:rPr>
        <w:tab/>
      </w:r>
      <w:bookmarkEnd w:id="9"/>
      <w:r w:rsidR="00DE2DA8" w:rsidRPr="00D52B7C">
        <w:rPr>
          <w:lang w:val="fr-FR"/>
        </w:rPr>
        <w:t>Lignes directrices</w:t>
      </w:r>
      <w:r w:rsidR="00383EC3" w:rsidRPr="00D52B7C">
        <w:rPr>
          <w:lang w:val="fr-FR"/>
        </w:rPr>
        <w:t xml:space="preserve"> relatives au</w:t>
      </w:r>
      <w:r w:rsidR="00DE2DA8" w:rsidRPr="00D52B7C">
        <w:rPr>
          <w:lang w:val="fr-FR"/>
        </w:rPr>
        <w:t xml:space="preserve"> transfert efficace des</w:t>
      </w:r>
      <w:r w:rsidR="00383EC3" w:rsidRPr="00D52B7C">
        <w:rPr>
          <w:lang w:val="fr-FR"/>
        </w:rPr>
        <w:t xml:space="preserve"> produits </w:t>
      </w:r>
      <w:r w:rsidR="00DE2DA8" w:rsidRPr="00D52B7C">
        <w:rPr>
          <w:lang w:val="fr-FR"/>
        </w:rPr>
        <w:t>élaborés par les groupes spécialisés à leur entité de rattachement</w:t>
      </w:r>
    </w:p>
    <w:p w:rsidR="00DE2DA8" w:rsidRPr="00D52B7C" w:rsidRDefault="00DE2DA8" w:rsidP="00AC1764">
      <w:pPr>
        <w:rPr>
          <w:lang w:val="fr-FR"/>
        </w:rPr>
      </w:pPr>
      <w:r w:rsidRPr="00D52B7C">
        <w:rPr>
          <w:color w:val="000000"/>
          <w:lang w:val="fr-FR"/>
        </w:rPr>
        <w:t xml:space="preserve">Les groupes spécialisés constituent un outil souple pour faire progresser </w:t>
      </w:r>
      <w:r w:rsidR="00526FE3" w:rsidRPr="00D52B7C">
        <w:rPr>
          <w:color w:val="000000"/>
          <w:lang w:val="fr-FR"/>
        </w:rPr>
        <w:t xml:space="preserve">les </w:t>
      </w:r>
      <w:r w:rsidRPr="00D52B7C">
        <w:rPr>
          <w:color w:val="000000"/>
          <w:lang w:val="fr-FR"/>
        </w:rPr>
        <w:t>travaux</w:t>
      </w:r>
      <w:r w:rsidR="00383EC3" w:rsidRPr="00D52B7C">
        <w:rPr>
          <w:color w:val="000000"/>
          <w:lang w:val="fr-FR"/>
        </w:rPr>
        <w:t xml:space="preserve"> </w:t>
      </w:r>
      <w:r w:rsidR="00526FE3" w:rsidRPr="00D52B7C">
        <w:rPr>
          <w:color w:val="000000"/>
          <w:lang w:val="fr-FR"/>
        </w:rPr>
        <w:t>sur de nouveaux thèmes a</w:t>
      </w:r>
      <w:r w:rsidR="00383EC3" w:rsidRPr="00D52B7C">
        <w:rPr>
          <w:color w:val="000000"/>
          <w:lang w:val="fr-FR"/>
        </w:rPr>
        <w:t>u sein de l'UIT-T</w:t>
      </w:r>
      <w:r w:rsidRPr="00D52B7C">
        <w:rPr>
          <w:color w:val="000000"/>
          <w:lang w:val="fr-FR"/>
        </w:rPr>
        <w:t xml:space="preserve">. </w:t>
      </w:r>
      <w:r w:rsidR="00383EC3" w:rsidRPr="00D52B7C">
        <w:rPr>
          <w:color w:val="000000"/>
          <w:lang w:val="fr-FR"/>
        </w:rPr>
        <w:t>Cette</w:t>
      </w:r>
      <w:r w:rsidRPr="00D52B7C">
        <w:rPr>
          <w:color w:val="000000"/>
          <w:lang w:val="fr-FR"/>
        </w:rPr>
        <w:t xml:space="preserve"> souplesse</w:t>
      </w:r>
      <w:r w:rsidR="00FC0ACA" w:rsidRPr="00D52B7C">
        <w:rPr>
          <w:color w:val="000000"/>
          <w:lang w:val="fr-FR"/>
        </w:rPr>
        <w:t xml:space="preserve"> </w:t>
      </w:r>
      <w:r w:rsidRPr="00D52B7C">
        <w:rPr>
          <w:color w:val="000000"/>
          <w:lang w:val="fr-FR"/>
        </w:rPr>
        <w:t xml:space="preserve">permet aux groupes </w:t>
      </w:r>
      <w:r w:rsidR="00526FE3" w:rsidRPr="00D52B7C">
        <w:rPr>
          <w:color w:val="000000"/>
          <w:lang w:val="fr-FR"/>
        </w:rPr>
        <w:t xml:space="preserve">spécialisés </w:t>
      </w:r>
      <w:r w:rsidRPr="00D52B7C">
        <w:rPr>
          <w:color w:val="000000"/>
          <w:lang w:val="fr-FR"/>
        </w:rPr>
        <w:t xml:space="preserve">d'élaborer une grande </w:t>
      </w:r>
      <w:r w:rsidR="00825BE1" w:rsidRPr="00D52B7C">
        <w:rPr>
          <w:color w:val="000000"/>
          <w:lang w:val="fr-FR"/>
        </w:rPr>
        <w:t xml:space="preserve">diversité </w:t>
      </w:r>
      <w:r w:rsidRPr="00D52B7C">
        <w:rPr>
          <w:color w:val="000000"/>
          <w:lang w:val="fr-FR"/>
        </w:rPr>
        <w:t xml:space="preserve">de </w:t>
      </w:r>
      <w:r w:rsidR="00AC1764">
        <w:rPr>
          <w:color w:val="000000"/>
          <w:lang w:val="fr-FR"/>
        </w:rPr>
        <w:t>produits</w:t>
      </w:r>
      <w:r w:rsidRPr="00D52B7C">
        <w:rPr>
          <w:color w:val="000000"/>
          <w:lang w:val="fr-FR"/>
        </w:rPr>
        <w:t xml:space="preserve">. Etant donné que, dans de nombreux cas, les membres d'un groupe spécialisé ne </w:t>
      </w:r>
      <w:r w:rsidR="006E2BA9" w:rsidRPr="006E2BA9">
        <w:rPr>
          <w:color w:val="000000"/>
          <w:lang w:val="fr-FR"/>
        </w:rPr>
        <w:t>possédaient</w:t>
      </w:r>
      <w:r w:rsidRPr="00D52B7C">
        <w:rPr>
          <w:color w:val="000000"/>
          <w:lang w:val="fr-FR"/>
        </w:rPr>
        <w:t xml:space="preserve"> pas suffisamment d'expérience en ce qui concerne l'élaboration de </w:t>
      </w:r>
      <w:r w:rsidR="00825BE1" w:rsidRPr="00D52B7C">
        <w:rPr>
          <w:color w:val="000000"/>
          <w:lang w:val="fr-FR"/>
        </w:rPr>
        <w:t>produits</w:t>
      </w:r>
      <w:r w:rsidR="00526FE3" w:rsidRPr="00D52B7C">
        <w:rPr>
          <w:color w:val="000000"/>
          <w:lang w:val="fr-FR"/>
        </w:rPr>
        <w:t xml:space="preserve"> élaborés</w:t>
      </w:r>
      <w:r w:rsidR="00825BE1" w:rsidRPr="00D52B7C">
        <w:rPr>
          <w:color w:val="000000"/>
          <w:lang w:val="fr-FR"/>
        </w:rPr>
        <w:t xml:space="preserve"> de l</w:t>
      </w:r>
      <w:r w:rsidR="00FC0ACA" w:rsidRPr="00D52B7C">
        <w:rPr>
          <w:color w:val="000000"/>
          <w:lang w:val="fr-FR"/>
        </w:rPr>
        <w:t>'</w:t>
      </w:r>
      <w:r w:rsidR="00825BE1" w:rsidRPr="00D52B7C">
        <w:rPr>
          <w:color w:val="000000"/>
          <w:lang w:val="fr-FR"/>
        </w:rPr>
        <w:t>UIT-T</w:t>
      </w:r>
      <w:r w:rsidRPr="00D52B7C">
        <w:rPr>
          <w:color w:val="000000"/>
          <w:lang w:val="fr-FR"/>
        </w:rPr>
        <w:t>, les produits</w:t>
      </w:r>
      <w:r w:rsidR="00D52B7C">
        <w:rPr>
          <w:color w:val="000000"/>
          <w:lang w:val="fr-FR"/>
        </w:rPr>
        <w:t xml:space="preserve"> élaborés</w:t>
      </w:r>
      <w:r w:rsidRPr="00D52B7C">
        <w:rPr>
          <w:color w:val="000000"/>
          <w:lang w:val="fr-FR"/>
        </w:rPr>
        <w:t xml:space="preserve"> par les groupes spécialisés, bien qu'ils soient utiles, </w:t>
      </w:r>
      <w:r w:rsidR="00825BE1" w:rsidRPr="00D52B7C">
        <w:rPr>
          <w:color w:val="000000"/>
          <w:lang w:val="fr-FR"/>
        </w:rPr>
        <w:t>ont</w:t>
      </w:r>
      <w:r w:rsidRPr="00D52B7C">
        <w:rPr>
          <w:color w:val="000000"/>
          <w:lang w:val="fr-FR"/>
        </w:rPr>
        <w:t xml:space="preserve"> souvent </w:t>
      </w:r>
      <w:r w:rsidR="00825BE1" w:rsidRPr="00D52B7C">
        <w:rPr>
          <w:color w:val="000000"/>
          <w:lang w:val="fr-FR"/>
        </w:rPr>
        <w:t xml:space="preserve">dû </w:t>
      </w:r>
      <w:r w:rsidRPr="00D52B7C">
        <w:rPr>
          <w:color w:val="000000"/>
          <w:lang w:val="fr-FR"/>
        </w:rPr>
        <w:t>être remaniés par les commissions d'études de rattachement.</w:t>
      </w:r>
      <w:bookmarkStart w:id="10" w:name="OLE_LINK5"/>
      <w:r w:rsidRPr="00D52B7C">
        <w:rPr>
          <w:lang w:val="fr-FR"/>
        </w:rPr>
        <w:t xml:space="preserve"> </w:t>
      </w:r>
      <w:bookmarkEnd w:id="10"/>
    </w:p>
    <w:p w:rsidR="00A06550" w:rsidRPr="00D52B7C" w:rsidRDefault="00DE2DA8" w:rsidP="00D52B7C">
      <w:pPr>
        <w:rPr>
          <w:szCs w:val="24"/>
          <w:lang w:val="fr-FR" w:eastAsia="ja-JP"/>
        </w:rPr>
      </w:pPr>
      <w:r w:rsidRPr="00D52B7C">
        <w:rPr>
          <w:lang w:val="fr-FR"/>
        </w:rPr>
        <w:lastRenderedPageBreak/>
        <w:t xml:space="preserve">Le Comité d'examen a élaboré des lignes directrices destinées à faciliter la poursuite de la coordination entre les groupes spécialisés et leur entité de rattachement ainsi que le transfert efficace des </w:t>
      </w:r>
      <w:r w:rsidR="00825BE1" w:rsidRPr="00D52B7C">
        <w:rPr>
          <w:color w:val="000000"/>
          <w:lang w:val="fr-FR"/>
        </w:rPr>
        <w:t>produits</w:t>
      </w:r>
      <w:r w:rsidRPr="00D52B7C">
        <w:rPr>
          <w:lang w:val="fr-FR"/>
        </w:rPr>
        <w:t xml:space="preserve"> </w:t>
      </w:r>
      <w:r w:rsidR="00526FE3" w:rsidRPr="00D52B7C">
        <w:rPr>
          <w:lang w:val="fr-FR"/>
        </w:rPr>
        <w:t xml:space="preserve">élaborés </w:t>
      </w:r>
      <w:r w:rsidRPr="00D52B7C">
        <w:rPr>
          <w:lang w:val="fr-FR"/>
        </w:rPr>
        <w:t xml:space="preserve">par ces groupes à leur entité de rattachement. Ces </w:t>
      </w:r>
      <w:r w:rsidR="00526FE3" w:rsidRPr="00D52B7C">
        <w:rPr>
          <w:lang w:val="fr-FR"/>
        </w:rPr>
        <w:t xml:space="preserve">produits </w:t>
      </w:r>
      <w:r w:rsidRPr="00D52B7C">
        <w:rPr>
          <w:lang w:val="fr-FR"/>
        </w:rPr>
        <w:t xml:space="preserve">sont appelés à devenir des projets de Recommandation ou des projets de Supplément qui seront joints, </w:t>
      </w:r>
      <w:r w:rsidR="00825BE1" w:rsidRPr="00D52B7C">
        <w:rPr>
          <w:lang w:val="fr-FR"/>
        </w:rPr>
        <w:t xml:space="preserve">dans </w:t>
      </w:r>
      <w:r w:rsidRPr="00D52B7C">
        <w:rPr>
          <w:lang w:val="fr-FR"/>
        </w:rPr>
        <w:t>un nouvel Appendice, à la Recommandation UIT-T A.7</w:t>
      </w:r>
      <w:r w:rsidR="00825BE1" w:rsidRPr="00D52B7C">
        <w:rPr>
          <w:lang w:val="fr-FR"/>
        </w:rPr>
        <w:t xml:space="preserve"> et</w:t>
      </w:r>
      <w:r w:rsidRPr="00D52B7C">
        <w:rPr>
          <w:lang w:val="fr-FR"/>
        </w:rPr>
        <w:t xml:space="preserve"> communiqués au GCNT</w:t>
      </w:r>
      <w:r w:rsidR="00FC0ACA" w:rsidRPr="00D52B7C">
        <w:rPr>
          <w:lang w:val="fr-FR"/>
        </w:rPr>
        <w:t xml:space="preserve"> </w:t>
      </w:r>
      <w:r w:rsidRPr="00D52B7C">
        <w:rPr>
          <w:lang w:val="fr-FR"/>
        </w:rPr>
        <w:t>à sa réunion de 2015</w:t>
      </w:r>
      <w:r w:rsidR="00A06550" w:rsidRPr="00D52B7C">
        <w:rPr>
          <w:szCs w:val="24"/>
          <w:lang w:val="fr-FR" w:eastAsia="ja-JP"/>
        </w:rPr>
        <w:t>.</w:t>
      </w:r>
    </w:p>
    <w:p w:rsidR="00A06550" w:rsidRPr="00D52B7C" w:rsidRDefault="00C619E9" w:rsidP="00825BE1">
      <w:pPr>
        <w:tabs>
          <w:tab w:val="clear" w:pos="1134"/>
          <w:tab w:val="clear" w:pos="1871"/>
          <w:tab w:val="clear" w:pos="2268"/>
        </w:tabs>
        <w:overflowPunct/>
        <w:autoSpaceDE/>
        <w:autoSpaceDN/>
        <w:adjustRightInd/>
        <w:textAlignment w:val="auto"/>
        <w:rPr>
          <w:szCs w:val="24"/>
          <w:lang w:val="fr-FR" w:eastAsia="ja-JP"/>
        </w:rPr>
      </w:pPr>
      <w:r w:rsidRPr="00D52B7C">
        <w:rPr>
          <w:lang w:val="fr-FR"/>
        </w:rPr>
        <w:t>Un nouvel Appendice I à la Recommandation UIT-T A.7 a, par conséquent, été approuvé par le GCNT en juin 2015</w:t>
      </w:r>
      <w:r w:rsidR="00DA0AEE" w:rsidRPr="00D52B7C">
        <w:rPr>
          <w:lang w:val="fr-FR"/>
        </w:rPr>
        <w:t xml:space="preserve"> </w:t>
      </w:r>
      <w:r w:rsidR="00825BE1" w:rsidRPr="00D52B7C">
        <w:rPr>
          <w:lang w:val="fr-FR"/>
        </w:rPr>
        <w:t>et</w:t>
      </w:r>
      <w:r w:rsidRPr="00D52B7C">
        <w:rPr>
          <w:lang w:val="fr-FR"/>
        </w:rPr>
        <w:t xml:space="preserve"> communiqué </w:t>
      </w:r>
      <w:r w:rsidR="00825BE1" w:rsidRPr="00D52B7C">
        <w:rPr>
          <w:lang w:val="fr-FR"/>
        </w:rPr>
        <w:t xml:space="preserve">à toutes les </w:t>
      </w:r>
      <w:r w:rsidRPr="00D52B7C">
        <w:rPr>
          <w:lang w:val="fr-FR"/>
        </w:rPr>
        <w:t>commissions d'études de l'UIT-T pour application immédiate</w:t>
      </w:r>
      <w:r w:rsidR="006B4E12" w:rsidRPr="00D52B7C">
        <w:rPr>
          <w:szCs w:val="24"/>
          <w:lang w:val="fr-FR" w:eastAsia="ja-JP"/>
        </w:rPr>
        <w:t xml:space="preserve"> (Ré</w:t>
      </w:r>
      <w:r w:rsidR="00A06550" w:rsidRPr="00D52B7C">
        <w:rPr>
          <w:szCs w:val="24"/>
          <w:lang w:val="fr-FR" w:eastAsia="ja-JP"/>
        </w:rPr>
        <w:t>f</w:t>
      </w:r>
      <w:r w:rsidR="006B4E12" w:rsidRPr="00D52B7C">
        <w:rPr>
          <w:szCs w:val="24"/>
          <w:lang w:val="fr-FR" w:eastAsia="ja-JP"/>
        </w:rPr>
        <w:t>é</w:t>
      </w:r>
      <w:r w:rsidR="00A06550" w:rsidRPr="00D52B7C">
        <w:rPr>
          <w:szCs w:val="24"/>
          <w:lang w:val="fr-FR" w:eastAsia="ja-JP"/>
        </w:rPr>
        <w:t xml:space="preserve">rence </w:t>
      </w:r>
      <w:r w:rsidR="006B4E12" w:rsidRPr="00D52B7C">
        <w:rPr>
          <w:szCs w:val="24"/>
          <w:lang w:val="fr-FR" w:eastAsia="ja-JP"/>
        </w:rPr>
        <w:t xml:space="preserve">disponible </w:t>
      </w:r>
      <w:r w:rsidRPr="00D52B7C">
        <w:rPr>
          <w:szCs w:val="24"/>
          <w:lang w:val="fr-FR" w:eastAsia="ja-JP"/>
        </w:rPr>
        <w:t>dans le</w:t>
      </w:r>
      <w:r w:rsidR="00A06550" w:rsidRPr="00D52B7C">
        <w:rPr>
          <w:szCs w:val="24"/>
          <w:lang w:val="fr-FR" w:eastAsia="ja-JP"/>
        </w:rPr>
        <w:t xml:space="preserve"> Table</w:t>
      </w:r>
      <w:r w:rsidRPr="00D52B7C">
        <w:rPr>
          <w:szCs w:val="24"/>
          <w:lang w:val="fr-FR" w:eastAsia="ja-JP"/>
        </w:rPr>
        <w:t>au</w:t>
      </w:r>
      <w:r w:rsidR="00A06550" w:rsidRPr="00D52B7C">
        <w:rPr>
          <w:szCs w:val="24"/>
          <w:lang w:val="fr-FR" w:eastAsia="ja-JP"/>
        </w:rPr>
        <w:t xml:space="preserve"> 7 </w:t>
      </w:r>
      <w:r w:rsidRPr="00D52B7C">
        <w:rPr>
          <w:szCs w:val="24"/>
          <w:lang w:val="fr-FR" w:eastAsia="ja-JP"/>
        </w:rPr>
        <w:t>de</w:t>
      </w:r>
      <w:r w:rsidR="00A06550" w:rsidRPr="00D52B7C">
        <w:rPr>
          <w:szCs w:val="24"/>
          <w:lang w:val="fr-FR" w:eastAsia="ja-JP"/>
        </w:rPr>
        <w:t xml:space="preserve"> </w:t>
      </w:r>
      <w:r w:rsidRPr="00D52B7C">
        <w:rPr>
          <w:szCs w:val="24"/>
          <w:lang w:val="fr-FR" w:eastAsia="ja-JP"/>
        </w:rPr>
        <w:t>l'</w:t>
      </w:r>
      <w:hyperlink w:anchor="AnnexA" w:history="1">
        <w:r w:rsidR="00A06550" w:rsidRPr="00D52B7C">
          <w:rPr>
            <w:color w:val="0000FF"/>
            <w:szCs w:val="24"/>
            <w:u w:val="single"/>
            <w:lang w:val="fr-FR" w:eastAsia="ja-JP"/>
          </w:rPr>
          <w:t>Annex</w:t>
        </w:r>
        <w:r w:rsidR="00DA0AEE" w:rsidRPr="00D52B7C">
          <w:rPr>
            <w:color w:val="0000FF"/>
            <w:szCs w:val="24"/>
            <w:u w:val="single"/>
            <w:lang w:val="fr-FR" w:eastAsia="ja-JP"/>
          </w:rPr>
          <w:t>e</w:t>
        </w:r>
        <w:r w:rsidR="00A06550" w:rsidRPr="00D52B7C">
          <w:rPr>
            <w:color w:val="0000FF"/>
            <w:szCs w:val="24"/>
            <w:u w:val="single"/>
            <w:lang w:val="fr-FR" w:eastAsia="ja-JP"/>
          </w:rPr>
          <w:t xml:space="preserve"> A</w:t>
        </w:r>
      </w:hyperlink>
      <w:r w:rsidR="00A06550" w:rsidRPr="00D52B7C">
        <w:rPr>
          <w:szCs w:val="24"/>
          <w:lang w:val="fr-FR" w:eastAsia="ja-JP"/>
        </w:rPr>
        <w:t>)</w:t>
      </w:r>
      <w:r w:rsidRPr="00D52B7C">
        <w:rPr>
          <w:szCs w:val="24"/>
          <w:lang w:val="fr-FR" w:eastAsia="ja-JP"/>
        </w:rPr>
        <w:t>.</w:t>
      </w:r>
    </w:p>
    <w:p w:rsidR="0002720E" w:rsidRPr="00D52B7C" w:rsidRDefault="00A06550" w:rsidP="0002720E">
      <w:pPr>
        <w:pStyle w:val="Heading2"/>
        <w:rPr>
          <w:lang w:val="fr-FR"/>
        </w:rPr>
      </w:pPr>
      <w:bookmarkStart w:id="11" w:name="_Toc456366812"/>
      <w:r w:rsidRPr="00D52B7C">
        <w:rPr>
          <w:rFonts w:eastAsia="MS Mincho"/>
          <w:lang w:val="fr-FR" w:eastAsia="ja-JP"/>
        </w:rPr>
        <w:t>2.8</w:t>
      </w:r>
      <w:r w:rsidRPr="00D52B7C">
        <w:rPr>
          <w:rFonts w:eastAsia="MS Mincho"/>
          <w:lang w:val="fr-FR" w:eastAsia="ja-JP"/>
        </w:rPr>
        <w:tab/>
      </w:r>
      <w:bookmarkEnd w:id="11"/>
      <w:r w:rsidR="0002720E" w:rsidRPr="00D52B7C">
        <w:rPr>
          <w:lang w:val="fr-FR"/>
        </w:rPr>
        <w:t>Création d'une fonction Stratégie en matière de normalisation</w:t>
      </w:r>
    </w:p>
    <w:p w:rsidR="00A06550" w:rsidRPr="00D52B7C" w:rsidRDefault="0002720E" w:rsidP="00825BE1">
      <w:pPr>
        <w:rPr>
          <w:szCs w:val="24"/>
          <w:lang w:val="fr-FR" w:eastAsia="ja-JP"/>
        </w:rPr>
      </w:pPr>
      <w:r w:rsidRPr="00D52B7C">
        <w:rPr>
          <w:lang w:val="fr-FR"/>
        </w:rPr>
        <w:t xml:space="preserve">En février 2016, le Comité d'examen a recommandé au GCNT que l'UIT-T mette en </w:t>
      </w:r>
      <w:proofErr w:type="spellStart"/>
      <w:r w:rsidRPr="00D52B7C">
        <w:rPr>
          <w:lang w:val="fr-FR"/>
        </w:rPr>
        <w:t>oeuvre</w:t>
      </w:r>
      <w:proofErr w:type="spellEnd"/>
      <w:r w:rsidRPr="00D52B7C">
        <w:rPr>
          <w:lang w:val="fr-FR"/>
        </w:rPr>
        <w:t xml:space="preserve"> une nouvelle fonction Stratégie en matière de normalisation, relevant du GCNT, </w:t>
      </w:r>
      <w:r w:rsidR="00825BE1" w:rsidRPr="00D52B7C">
        <w:rPr>
          <w:lang w:val="fr-FR"/>
        </w:rPr>
        <w:t>conformément à</w:t>
      </w:r>
      <w:r w:rsidR="00FC0ACA" w:rsidRPr="00D52B7C">
        <w:rPr>
          <w:lang w:val="fr-FR"/>
        </w:rPr>
        <w:t xml:space="preserve"> </w:t>
      </w:r>
      <w:r w:rsidRPr="00D52B7C">
        <w:rPr>
          <w:lang w:val="fr-FR"/>
        </w:rPr>
        <w:t>la responsabilité</w:t>
      </w:r>
      <w:r w:rsidR="00FC0ACA" w:rsidRPr="00D52B7C">
        <w:rPr>
          <w:lang w:val="fr-FR"/>
        </w:rPr>
        <w:t xml:space="preserve"> </w:t>
      </w:r>
      <w:r w:rsidRPr="00D52B7C">
        <w:rPr>
          <w:lang w:val="fr-FR"/>
        </w:rPr>
        <w:t>incomb</w:t>
      </w:r>
      <w:r w:rsidR="00825BE1" w:rsidRPr="00D52B7C">
        <w:rPr>
          <w:lang w:val="fr-FR"/>
        </w:rPr>
        <w:t>ant au</w:t>
      </w:r>
      <w:r w:rsidRPr="00D52B7C">
        <w:rPr>
          <w:lang w:val="fr-FR"/>
        </w:rPr>
        <w:t xml:space="preserve"> </w:t>
      </w:r>
      <w:r w:rsidR="00825BE1" w:rsidRPr="00D52B7C">
        <w:rPr>
          <w:lang w:val="fr-FR"/>
        </w:rPr>
        <w:t xml:space="preserve">GCNT </w:t>
      </w:r>
      <w:r w:rsidRPr="00D52B7C">
        <w:rPr>
          <w:lang w:val="fr-FR"/>
        </w:rPr>
        <w:t xml:space="preserve">en matière de planification stratégique. Cette fonction, dans le cadre de laquelle on étudierait et coordonnerait la stratégie en matière de normalisation </w:t>
      </w:r>
      <w:r w:rsidR="00825BE1" w:rsidRPr="00D52B7C">
        <w:rPr>
          <w:lang w:val="fr-FR"/>
        </w:rPr>
        <w:t>en fonction de</w:t>
      </w:r>
      <w:r w:rsidR="00FC0ACA" w:rsidRPr="00D52B7C">
        <w:rPr>
          <w:lang w:val="fr-FR"/>
        </w:rPr>
        <w:t xml:space="preserve"> </w:t>
      </w:r>
      <w:r w:rsidRPr="00D52B7C">
        <w:rPr>
          <w:lang w:val="fr-FR"/>
        </w:rPr>
        <w:t xml:space="preserve">l'évolution dynamique du ou des marchés techniques, privilégierait le dialogue entre les </w:t>
      </w:r>
      <w:r w:rsidR="00825BE1" w:rsidRPr="00D52B7C">
        <w:rPr>
          <w:lang w:val="fr-FR"/>
        </w:rPr>
        <w:t>responsables</w:t>
      </w:r>
      <w:r w:rsidR="00FC0ACA" w:rsidRPr="00D52B7C">
        <w:rPr>
          <w:lang w:val="fr-FR"/>
        </w:rPr>
        <w:t xml:space="preserve"> </w:t>
      </w:r>
      <w:r w:rsidRPr="00D52B7C">
        <w:rPr>
          <w:lang w:val="fr-FR"/>
        </w:rPr>
        <w:t xml:space="preserve">des groupes de travail de l'UIT-T (par exemple les Présidents des commissions d'études et des groupes spécialisés) sur la définition et la mise </w:t>
      </w:r>
      <w:r w:rsidR="00825BE1" w:rsidRPr="00D52B7C">
        <w:rPr>
          <w:lang w:val="fr-FR"/>
        </w:rPr>
        <w:t>à l</w:t>
      </w:r>
      <w:r w:rsidR="00FC0ACA" w:rsidRPr="00D52B7C">
        <w:rPr>
          <w:lang w:val="fr-FR"/>
        </w:rPr>
        <w:t>'</w:t>
      </w:r>
      <w:r w:rsidR="00825BE1" w:rsidRPr="00D52B7C">
        <w:rPr>
          <w:lang w:val="fr-FR"/>
        </w:rPr>
        <w:t>étude</w:t>
      </w:r>
      <w:r w:rsidRPr="00D52B7C">
        <w:rPr>
          <w:lang w:val="fr-FR"/>
        </w:rPr>
        <w:t xml:space="preserve"> de nouveaux </w:t>
      </w:r>
      <w:r w:rsidR="00825BE1" w:rsidRPr="00D52B7C">
        <w:rPr>
          <w:lang w:val="fr-FR"/>
        </w:rPr>
        <w:t>sujets</w:t>
      </w:r>
      <w:r w:rsidR="00FC0ACA" w:rsidRPr="00D52B7C">
        <w:rPr>
          <w:lang w:val="fr-FR"/>
        </w:rPr>
        <w:t xml:space="preserve"> </w:t>
      </w:r>
      <w:r w:rsidRPr="00D52B7C">
        <w:rPr>
          <w:lang w:val="fr-FR"/>
        </w:rPr>
        <w:t>revêt</w:t>
      </w:r>
      <w:r w:rsidR="00825BE1" w:rsidRPr="00D52B7C">
        <w:rPr>
          <w:lang w:val="fr-FR"/>
        </w:rPr>
        <w:t>a</w:t>
      </w:r>
      <w:r w:rsidRPr="00D52B7C">
        <w:rPr>
          <w:lang w:val="fr-FR"/>
        </w:rPr>
        <w:t>nt une importance stratégique pour le secteur et</w:t>
      </w:r>
      <w:r w:rsidR="00FC0ACA" w:rsidRPr="00D52B7C">
        <w:rPr>
          <w:lang w:val="fr-FR"/>
        </w:rPr>
        <w:t xml:space="preserve"> </w:t>
      </w:r>
      <w:r w:rsidRPr="00D52B7C">
        <w:rPr>
          <w:lang w:val="fr-FR"/>
        </w:rPr>
        <w:t>les gouvernements.</w:t>
      </w:r>
    </w:p>
    <w:p w:rsidR="00A06550" w:rsidRPr="00D52B7C" w:rsidRDefault="00A3501C" w:rsidP="00A3501C">
      <w:pPr>
        <w:tabs>
          <w:tab w:val="clear" w:pos="1134"/>
          <w:tab w:val="clear" w:pos="1871"/>
          <w:tab w:val="clear" w:pos="2268"/>
        </w:tabs>
        <w:overflowPunct/>
        <w:autoSpaceDE/>
        <w:autoSpaceDN/>
        <w:adjustRightInd/>
        <w:spacing w:after="120"/>
        <w:textAlignment w:val="auto"/>
        <w:rPr>
          <w:szCs w:val="24"/>
          <w:lang w:val="fr-FR" w:eastAsia="ja-JP"/>
        </w:rPr>
      </w:pPr>
      <w:r w:rsidRPr="00D52B7C">
        <w:rPr>
          <w:szCs w:val="24"/>
          <w:lang w:val="fr-FR" w:eastAsia="ja-JP"/>
        </w:rPr>
        <w:t>Compte tenu de la recommandation formulée par le Comité d</w:t>
      </w:r>
      <w:r w:rsidR="00FC0ACA" w:rsidRPr="00D52B7C">
        <w:rPr>
          <w:szCs w:val="24"/>
          <w:lang w:val="fr-FR" w:eastAsia="ja-JP"/>
        </w:rPr>
        <w:t>'</w:t>
      </w:r>
      <w:r w:rsidRPr="00D52B7C">
        <w:rPr>
          <w:szCs w:val="24"/>
          <w:lang w:val="fr-FR" w:eastAsia="ja-JP"/>
        </w:rPr>
        <w:t>examen, le GCNT a décidé, en février 2016, de créer</w:t>
      </w:r>
      <w:r w:rsidR="00FC0ACA" w:rsidRPr="00D52B7C">
        <w:rPr>
          <w:szCs w:val="24"/>
          <w:lang w:val="fr-FR" w:eastAsia="ja-JP"/>
        </w:rPr>
        <w:t xml:space="preserve"> </w:t>
      </w:r>
      <w:r w:rsidR="00AD58AE" w:rsidRPr="00D52B7C">
        <w:rPr>
          <w:szCs w:val="24"/>
          <w:lang w:val="fr-FR" w:eastAsia="ja-JP"/>
        </w:rPr>
        <w:t>u</w:t>
      </w:r>
      <w:r w:rsidR="00AD58AE" w:rsidRPr="00D52B7C">
        <w:rPr>
          <w:lang w:val="fr-FR"/>
        </w:rPr>
        <w:t xml:space="preserve">n nouveau Groupe du Rapporteur du GCNT sur la stratégie en matière de normalisation </w:t>
      </w:r>
      <w:r w:rsidR="00A06550" w:rsidRPr="00D52B7C">
        <w:rPr>
          <w:szCs w:val="24"/>
          <w:lang w:val="fr-FR" w:eastAsia="ja-JP"/>
        </w:rPr>
        <w:t>(</w:t>
      </w:r>
      <w:r w:rsidRPr="00D52B7C">
        <w:rPr>
          <w:szCs w:val="24"/>
          <w:lang w:val="fr-FR" w:eastAsia="ja-JP"/>
        </w:rPr>
        <w:t xml:space="preserve">voir les références </w:t>
      </w:r>
      <w:r w:rsidR="00AD58AE" w:rsidRPr="00D52B7C">
        <w:rPr>
          <w:szCs w:val="24"/>
          <w:lang w:val="fr-FR" w:eastAsia="ja-JP"/>
        </w:rPr>
        <w:t>dans le</w:t>
      </w:r>
      <w:r w:rsidR="00A06550" w:rsidRPr="00D52B7C">
        <w:rPr>
          <w:szCs w:val="24"/>
          <w:lang w:val="fr-FR" w:eastAsia="ja-JP"/>
        </w:rPr>
        <w:t xml:space="preserve"> Table</w:t>
      </w:r>
      <w:r w:rsidR="00AD58AE" w:rsidRPr="00D52B7C">
        <w:rPr>
          <w:szCs w:val="24"/>
          <w:lang w:val="fr-FR" w:eastAsia="ja-JP"/>
        </w:rPr>
        <w:t>au </w:t>
      </w:r>
      <w:r w:rsidR="00A06550" w:rsidRPr="00D52B7C">
        <w:rPr>
          <w:szCs w:val="24"/>
          <w:lang w:val="fr-FR" w:eastAsia="ja-JP"/>
        </w:rPr>
        <w:t xml:space="preserve">8 </w:t>
      </w:r>
      <w:r w:rsidR="00AD58AE" w:rsidRPr="00D52B7C">
        <w:rPr>
          <w:szCs w:val="24"/>
          <w:lang w:val="fr-FR" w:eastAsia="ja-JP"/>
        </w:rPr>
        <w:t>de l'</w:t>
      </w:r>
      <w:hyperlink w:anchor="AnnexA" w:history="1">
        <w:r w:rsidR="00A06550" w:rsidRPr="00D52B7C">
          <w:rPr>
            <w:color w:val="0000FF"/>
            <w:szCs w:val="24"/>
            <w:u w:val="single"/>
            <w:lang w:val="fr-FR" w:eastAsia="ja-JP"/>
          </w:rPr>
          <w:t>Annex</w:t>
        </w:r>
        <w:r w:rsidR="006D76B1" w:rsidRPr="00D52B7C">
          <w:rPr>
            <w:color w:val="0000FF"/>
            <w:szCs w:val="24"/>
            <w:u w:val="single"/>
            <w:lang w:val="fr-FR" w:eastAsia="ja-JP"/>
          </w:rPr>
          <w:t>e</w:t>
        </w:r>
        <w:r w:rsidR="00A06550" w:rsidRPr="00D52B7C">
          <w:rPr>
            <w:color w:val="0000FF"/>
            <w:szCs w:val="24"/>
            <w:u w:val="single"/>
            <w:lang w:val="fr-FR" w:eastAsia="ja-JP"/>
          </w:rPr>
          <w:t xml:space="preserve"> A</w:t>
        </w:r>
      </w:hyperlink>
      <w:r w:rsidR="00A06550" w:rsidRPr="00D52B7C">
        <w:rPr>
          <w:szCs w:val="24"/>
          <w:lang w:val="fr-FR" w:eastAsia="ja-JP"/>
        </w:rPr>
        <w:t>).</w:t>
      </w:r>
    </w:p>
    <w:p w:rsidR="00A06550" w:rsidRPr="00D52B7C" w:rsidRDefault="00A06550" w:rsidP="006D76B1">
      <w:pPr>
        <w:pStyle w:val="Heading2"/>
        <w:rPr>
          <w:rFonts w:eastAsia="MS Mincho"/>
          <w:lang w:val="fr-FR" w:eastAsia="ja-JP"/>
        </w:rPr>
      </w:pPr>
      <w:bookmarkStart w:id="12" w:name="_Toc456366813"/>
      <w:r w:rsidRPr="00D52B7C">
        <w:rPr>
          <w:rFonts w:eastAsia="MS Mincho"/>
          <w:lang w:val="fr-FR" w:eastAsia="ja-JP"/>
        </w:rPr>
        <w:t>2.9</w:t>
      </w:r>
      <w:r w:rsidRPr="00D52B7C">
        <w:rPr>
          <w:rFonts w:eastAsia="MS Mincho"/>
          <w:lang w:val="fr-FR" w:eastAsia="ja-JP"/>
        </w:rPr>
        <w:tab/>
        <w:t>Cr</w:t>
      </w:r>
      <w:r w:rsidR="006D76B1" w:rsidRPr="00D52B7C">
        <w:rPr>
          <w:rFonts w:eastAsia="MS Mincho"/>
          <w:lang w:val="fr-FR" w:eastAsia="ja-JP"/>
        </w:rPr>
        <w:t>é</w:t>
      </w:r>
      <w:r w:rsidRPr="00D52B7C">
        <w:rPr>
          <w:rFonts w:eastAsia="MS Mincho"/>
          <w:lang w:val="fr-FR" w:eastAsia="ja-JP"/>
        </w:rPr>
        <w:t xml:space="preserve">ation </w:t>
      </w:r>
      <w:r w:rsidR="006D76B1" w:rsidRPr="00D52B7C">
        <w:rPr>
          <w:rFonts w:eastAsia="MS Mincho"/>
          <w:lang w:val="fr-FR" w:eastAsia="ja-JP"/>
        </w:rPr>
        <w:t xml:space="preserve">d'une commission d'études </w:t>
      </w:r>
      <w:r w:rsidRPr="00D52B7C">
        <w:rPr>
          <w:rFonts w:eastAsia="MS Mincho"/>
          <w:lang w:val="fr-FR" w:eastAsia="ja-JP"/>
        </w:rPr>
        <w:t>"vertical</w:t>
      </w:r>
      <w:r w:rsidR="006D76B1" w:rsidRPr="00D52B7C">
        <w:rPr>
          <w:rFonts w:eastAsia="MS Mincho"/>
          <w:lang w:val="fr-FR" w:eastAsia="ja-JP"/>
        </w:rPr>
        <w:t>e</w:t>
      </w:r>
      <w:r w:rsidRPr="00D52B7C">
        <w:rPr>
          <w:rFonts w:eastAsia="MS Mincho"/>
          <w:lang w:val="fr-FR" w:eastAsia="ja-JP"/>
        </w:rPr>
        <w:t>"</w:t>
      </w:r>
      <w:bookmarkEnd w:id="12"/>
    </w:p>
    <w:p w:rsidR="00A06550" w:rsidRPr="00D52B7C" w:rsidRDefault="00A3501C" w:rsidP="00DA0AEE">
      <w:pPr>
        <w:tabs>
          <w:tab w:val="clear" w:pos="1134"/>
          <w:tab w:val="clear" w:pos="1871"/>
          <w:tab w:val="clear" w:pos="2268"/>
        </w:tabs>
        <w:overflowPunct/>
        <w:autoSpaceDE/>
        <w:autoSpaceDN/>
        <w:adjustRightInd/>
        <w:textAlignment w:val="auto"/>
        <w:rPr>
          <w:szCs w:val="24"/>
          <w:lang w:val="fr-FR" w:eastAsia="ja-JP"/>
        </w:rPr>
      </w:pPr>
      <w:r w:rsidRPr="00D52B7C">
        <w:rPr>
          <w:lang w:val="fr-FR"/>
        </w:rPr>
        <w:t>Les</w:t>
      </w:r>
      <w:r w:rsidR="006D76B1" w:rsidRPr="00D52B7C">
        <w:rPr>
          <w:lang w:val="fr-FR"/>
        </w:rPr>
        <w:t xml:space="preserve"> membres du Comité d'examen</w:t>
      </w:r>
      <w:r w:rsidRPr="00D52B7C">
        <w:rPr>
          <w:lang w:val="fr-FR"/>
        </w:rPr>
        <w:t xml:space="preserve"> se sont accordés à reconnaître que </w:t>
      </w:r>
      <w:r w:rsidR="006D76B1" w:rsidRPr="00D52B7C">
        <w:rPr>
          <w:lang w:val="fr-FR"/>
        </w:rPr>
        <w:t xml:space="preserve">la création d'une commission d'études verticale pourrait être </w:t>
      </w:r>
      <w:r w:rsidR="00DA0AEE" w:rsidRPr="00D52B7C">
        <w:rPr>
          <w:lang w:val="fr-FR"/>
        </w:rPr>
        <w:t>util</w:t>
      </w:r>
      <w:r w:rsidR="006D76B1" w:rsidRPr="00D52B7C">
        <w:rPr>
          <w:lang w:val="fr-FR"/>
        </w:rPr>
        <w:t>e</w:t>
      </w:r>
      <w:r w:rsidR="006D76B1" w:rsidRPr="00D52B7C">
        <w:rPr>
          <w:szCs w:val="24"/>
          <w:lang w:val="fr-FR" w:eastAsia="ja-JP"/>
        </w:rPr>
        <w:t xml:space="preserve"> </w:t>
      </w:r>
      <w:r w:rsidRPr="00D52B7C">
        <w:rPr>
          <w:szCs w:val="24"/>
          <w:lang w:val="fr-FR" w:eastAsia="ja-JP"/>
        </w:rPr>
        <w:t>et ont proposé de confier les sujets d</w:t>
      </w:r>
      <w:r w:rsidR="00FC0ACA" w:rsidRPr="00D52B7C">
        <w:rPr>
          <w:szCs w:val="24"/>
          <w:lang w:val="fr-FR" w:eastAsia="ja-JP"/>
        </w:rPr>
        <w:t>'</w:t>
      </w:r>
      <w:r w:rsidRPr="00D52B7C">
        <w:rPr>
          <w:szCs w:val="24"/>
          <w:lang w:val="fr-FR" w:eastAsia="ja-JP"/>
        </w:rPr>
        <w:t>étude suivants</w:t>
      </w:r>
      <w:r w:rsidR="00FC0ACA" w:rsidRPr="00D52B7C">
        <w:rPr>
          <w:szCs w:val="24"/>
          <w:lang w:val="fr-FR" w:eastAsia="ja-JP"/>
        </w:rPr>
        <w:t xml:space="preserve"> </w:t>
      </w:r>
      <w:r w:rsidRPr="00D52B7C">
        <w:rPr>
          <w:szCs w:val="24"/>
          <w:lang w:val="fr-FR" w:eastAsia="ja-JP"/>
        </w:rPr>
        <w:t>à cette commission d</w:t>
      </w:r>
      <w:r w:rsidR="00FC0ACA" w:rsidRPr="00D52B7C">
        <w:rPr>
          <w:szCs w:val="24"/>
          <w:lang w:val="fr-FR" w:eastAsia="ja-JP"/>
        </w:rPr>
        <w:t>'</w:t>
      </w:r>
      <w:r w:rsidRPr="00D52B7C">
        <w:rPr>
          <w:szCs w:val="24"/>
          <w:lang w:val="fr-FR" w:eastAsia="ja-JP"/>
        </w:rPr>
        <w:t>études</w:t>
      </w:r>
      <w:r w:rsidR="001520AA" w:rsidRPr="00D52B7C">
        <w:rPr>
          <w:szCs w:val="24"/>
          <w:lang w:val="fr-FR" w:eastAsia="ja-JP"/>
        </w:rPr>
        <w:t>:</w:t>
      </w:r>
    </w:p>
    <w:p w:rsidR="00A06550" w:rsidRPr="00D52B7C" w:rsidRDefault="00A06550" w:rsidP="00A3501C">
      <w:pPr>
        <w:pStyle w:val="enumlev1"/>
        <w:rPr>
          <w:lang w:val="fr-FR" w:eastAsia="ja-JP"/>
        </w:rPr>
      </w:pPr>
      <w:r w:rsidRPr="00D52B7C">
        <w:rPr>
          <w:lang w:val="fr-FR" w:eastAsia="ja-JP"/>
        </w:rPr>
        <w:t>−</w:t>
      </w:r>
      <w:r w:rsidRPr="00D52B7C">
        <w:rPr>
          <w:lang w:val="fr-FR" w:eastAsia="ja-JP"/>
        </w:rPr>
        <w:tab/>
      </w:r>
      <w:proofErr w:type="gramStart"/>
      <w:r w:rsidR="006D76B1" w:rsidRPr="00D52B7C">
        <w:rPr>
          <w:lang w:val="fr-FR"/>
        </w:rPr>
        <w:t>systèmes</w:t>
      </w:r>
      <w:proofErr w:type="gramEnd"/>
      <w:r w:rsidR="006D76B1" w:rsidRPr="00D52B7C">
        <w:rPr>
          <w:lang w:val="fr-FR"/>
        </w:rPr>
        <w:t xml:space="preserve"> de transport intelligents </w:t>
      </w:r>
      <w:r w:rsidRPr="00D52B7C">
        <w:rPr>
          <w:lang w:val="fr-FR" w:eastAsia="ja-JP"/>
        </w:rPr>
        <w:t>(ITS);</w:t>
      </w:r>
    </w:p>
    <w:p w:rsidR="00A06550" w:rsidRPr="00D52B7C" w:rsidRDefault="00A06550" w:rsidP="006E2BA9">
      <w:pPr>
        <w:pStyle w:val="enumlev1"/>
        <w:rPr>
          <w:lang w:val="fr-FR" w:eastAsia="ja-JP"/>
        </w:rPr>
      </w:pPr>
      <w:r w:rsidRPr="00D52B7C">
        <w:rPr>
          <w:lang w:val="fr-FR" w:eastAsia="ja-JP"/>
        </w:rPr>
        <w:t>−</w:t>
      </w:r>
      <w:r w:rsidRPr="00D52B7C">
        <w:rPr>
          <w:lang w:val="fr-FR" w:eastAsia="ja-JP"/>
        </w:rPr>
        <w:tab/>
      </w:r>
      <w:r w:rsidR="006D76B1" w:rsidRPr="00D52B7C">
        <w:rPr>
          <w:lang w:val="fr-FR"/>
        </w:rPr>
        <w:t xml:space="preserve">Internet des objets </w:t>
      </w:r>
      <w:r w:rsidR="006D76B1" w:rsidRPr="00D52B7C">
        <w:rPr>
          <w:lang w:val="fr-FR" w:eastAsia="ja-JP"/>
        </w:rPr>
        <w:t>(</w:t>
      </w:r>
      <w:proofErr w:type="spellStart"/>
      <w:r w:rsidR="006D76B1" w:rsidRPr="00D52B7C">
        <w:rPr>
          <w:lang w:val="fr-FR" w:eastAsia="ja-JP"/>
        </w:rPr>
        <w:t>IoT</w:t>
      </w:r>
      <w:proofErr w:type="spellEnd"/>
      <w:r w:rsidR="006D76B1" w:rsidRPr="00D52B7C">
        <w:rPr>
          <w:lang w:val="fr-FR" w:eastAsia="ja-JP"/>
        </w:rPr>
        <w:t>); et</w:t>
      </w:r>
    </w:p>
    <w:p w:rsidR="00A06550" w:rsidRPr="00D52B7C" w:rsidRDefault="00A06550" w:rsidP="006E2BA9">
      <w:pPr>
        <w:pStyle w:val="enumlev1"/>
        <w:rPr>
          <w:lang w:val="fr-FR" w:eastAsia="ja-JP"/>
        </w:rPr>
      </w:pPr>
      <w:r w:rsidRPr="00D52B7C">
        <w:rPr>
          <w:lang w:val="fr-FR" w:eastAsia="ja-JP"/>
        </w:rPr>
        <w:t>−</w:t>
      </w:r>
      <w:r w:rsidRPr="00D52B7C">
        <w:rPr>
          <w:lang w:val="fr-FR" w:eastAsia="ja-JP"/>
        </w:rPr>
        <w:tab/>
      </w:r>
      <w:proofErr w:type="gramStart"/>
      <w:r w:rsidR="006D76B1" w:rsidRPr="00D52B7C">
        <w:rPr>
          <w:lang w:val="fr-FR"/>
        </w:rPr>
        <w:t>futurs</w:t>
      </w:r>
      <w:proofErr w:type="gramEnd"/>
      <w:r w:rsidR="006D76B1" w:rsidRPr="00D52B7C">
        <w:rPr>
          <w:lang w:val="fr-FR"/>
        </w:rPr>
        <w:t xml:space="preserve"> systèmes mobiles 5G</w:t>
      </w:r>
      <w:r w:rsidRPr="00D52B7C">
        <w:rPr>
          <w:lang w:val="fr-FR" w:eastAsia="ja-JP"/>
        </w:rPr>
        <w:t>.</w:t>
      </w:r>
    </w:p>
    <w:p w:rsidR="00A06550" w:rsidRPr="00D52B7C" w:rsidRDefault="006D76B1" w:rsidP="00A3501C">
      <w:pPr>
        <w:rPr>
          <w:szCs w:val="24"/>
          <w:lang w:val="fr-FR" w:eastAsia="ja-JP"/>
        </w:rPr>
      </w:pPr>
      <w:r w:rsidRPr="00D52B7C">
        <w:rPr>
          <w:lang w:val="fr-FR"/>
        </w:rPr>
        <w:t>Le Comité d'examen a invité les membres à soumettre des propositions</w:t>
      </w:r>
      <w:r w:rsidR="00A3501C" w:rsidRPr="00D52B7C">
        <w:rPr>
          <w:lang w:val="fr-FR"/>
        </w:rPr>
        <w:t xml:space="preserve"> concrètes </w:t>
      </w:r>
      <w:r w:rsidRPr="00D52B7C">
        <w:rPr>
          <w:lang w:val="fr-FR"/>
        </w:rPr>
        <w:t>au GCNT à sa réunion de juin 2015. Diverses propositions</w:t>
      </w:r>
      <w:r w:rsidR="00A3501C" w:rsidRPr="00D52B7C">
        <w:rPr>
          <w:lang w:val="fr-FR"/>
        </w:rPr>
        <w:t xml:space="preserve"> soumises par le </w:t>
      </w:r>
      <w:r w:rsidRPr="00D52B7C">
        <w:rPr>
          <w:lang w:val="fr-FR"/>
        </w:rPr>
        <w:t>GCNT à sa réunion de juin 2015</w:t>
      </w:r>
      <w:r w:rsidR="00DA0AEE" w:rsidRPr="00D52B7C">
        <w:rPr>
          <w:lang w:val="fr-FR"/>
        </w:rPr>
        <w:t xml:space="preserve"> déca</w:t>
      </w:r>
      <w:r w:rsidR="00A3501C" w:rsidRPr="00D52B7C">
        <w:rPr>
          <w:lang w:val="fr-FR"/>
        </w:rPr>
        <w:t>l</w:t>
      </w:r>
      <w:r w:rsidR="00DA0AEE" w:rsidRPr="00D52B7C">
        <w:rPr>
          <w:lang w:val="fr-FR"/>
        </w:rPr>
        <w:t>ai</w:t>
      </w:r>
      <w:r w:rsidR="00A3501C" w:rsidRPr="00D52B7C">
        <w:rPr>
          <w:lang w:val="fr-FR"/>
        </w:rPr>
        <w:t>ent</w:t>
      </w:r>
      <w:r w:rsidR="00FC0ACA" w:rsidRPr="00D52B7C">
        <w:rPr>
          <w:lang w:val="fr-FR"/>
        </w:rPr>
        <w:t xml:space="preserve"> </w:t>
      </w:r>
      <w:r w:rsidRPr="00D52B7C">
        <w:rPr>
          <w:lang w:val="fr-FR"/>
        </w:rPr>
        <w:t>des</w:t>
      </w:r>
      <w:r w:rsidR="00A3501C" w:rsidRPr="00D52B7C">
        <w:rPr>
          <w:lang w:val="fr-FR"/>
        </w:rPr>
        <w:t xml:space="preserve"> discussions </w:t>
      </w:r>
      <w:r w:rsidRPr="00D52B7C">
        <w:rPr>
          <w:lang w:val="fr-FR"/>
        </w:rPr>
        <w:t xml:space="preserve">du Comité d'examen et </w:t>
      </w:r>
      <w:r w:rsidR="00B97474" w:rsidRPr="00D52B7C">
        <w:rPr>
          <w:lang w:val="fr-FR"/>
        </w:rPr>
        <w:t xml:space="preserve">le GCNT </w:t>
      </w:r>
      <w:r w:rsidR="00A3501C" w:rsidRPr="00D52B7C">
        <w:rPr>
          <w:lang w:val="fr-FR"/>
        </w:rPr>
        <w:t>a créé</w:t>
      </w:r>
      <w:r w:rsidR="00170CC3">
        <w:rPr>
          <w:lang w:val="fr-FR"/>
        </w:rPr>
        <w:t xml:space="preserve"> </w:t>
      </w:r>
      <w:r w:rsidRPr="00D52B7C">
        <w:rPr>
          <w:lang w:val="fr-FR"/>
        </w:rPr>
        <w:t xml:space="preserve">une nouvelle Commission d'études 20 sur </w:t>
      </w:r>
      <w:r w:rsidRPr="00D52B7C">
        <w:rPr>
          <w:i/>
          <w:iCs/>
          <w:lang w:val="fr-FR"/>
        </w:rPr>
        <w:t>l'Internet des objets et ses applications, y compris les villes et les communautés intelligentes</w:t>
      </w:r>
      <w:r w:rsidR="00A06550" w:rsidRPr="00D52B7C">
        <w:rPr>
          <w:szCs w:val="24"/>
          <w:lang w:val="fr-FR" w:eastAsia="ja-JP"/>
        </w:rPr>
        <w:t>.</w:t>
      </w:r>
    </w:p>
    <w:p w:rsidR="00A06550" w:rsidRPr="00D52B7C" w:rsidRDefault="00A06550" w:rsidP="00A06550">
      <w:pPr>
        <w:pStyle w:val="Heading1"/>
        <w:rPr>
          <w:rFonts w:eastAsia="MS Mincho"/>
          <w:lang w:val="fr-FR" w:eastAsia="ja-JP"/>
        </w:rPr>
      </w:pPr>
      <w:bookmarkStart w:id="13" w:name="_Toc456282081"/>
      <w:bookmarkStart w:id="14" w:name="_Toc456282359"/>
      <w:bookmarkStart w:id="15" w:name="_Toc456366814"/>
      <w:bookmarkEnd w:id="13"/>
      <w:bookmarkEnd w:id="14"/>
      <w:r w:rsidRPr="00D52B7C">
        <w:rPr>
          <w:rFonts w:eastAsia="MS Mincho"/>
          <w:lang w:val="fr-FR" w:eastAsia="ja-JP"/>
        </w:rPr>
        <w:t>3</w:t>
      </w:r>
      <w:r w:rsidRPr="00D52B7C">
        <w:rPr>
          <w:rFonts w:eastAsia="MS Mincho"/>
          <w:lang w:val="fr-FR" w:eastAsia="ja-JP"/>
        </w:rPr>
        <w:tab/>
        <w:t>Conclusions</w:t>
      </w:r>
      <w:bookmarkEnd w:id="15"/>
    </w:p>
    <w:p w:rsidR="00A06550" w:rsidRPr="00D52B7C" w:rsidRDefault="00A3501C" w:rsidP="00A3501C">
      <w:pPr>
        <w:tabs>
          <w:tab w:val="clear" w:pos="1134"/>
          <w:tab w:val="clear" w:pos="1871"/>
          <w:tab w:val="clear" w:pos="2268"/>
        </w:tabs>
        <w:overflowPunct/>
        <w:autoSpaceDE/>
        <w:autoSpaceDN/>
        <w:adjustRightInd/>
        <w:textAlignment w:val="auto"/>
        <w:rPr>
          <w:iCs/>
          <w:szCs w:val="24"/>
          <w:lang w:val="fr-FR" w:eastAsia="ja-JP"/>
        </w:rPr>
      </w:pPr>
      <w:r w:rsidRPr="00D52B7C">
        <w:rPr>
          <w:lang w:val="fr-FR"/>
        </w:rPr>
        <w:t>Le Comité d'examen</w:t>
      </w:r>
      <w:r w:rsidR="00FC0ACA" w:rsidRPr="00D52B7C">
        <w:rPr>
          <w:lang w:val="fr-FR"/>
        </w:rPr>
        <w:t xml:space="preserve"> </w:t>
      </w:r>
      <w:r w:rsidRPr="00D52B7C">
        <w:rPr>
          <w:lang w:val="fr-FR"/>
        </w:rPr>
        <w:t>a formulé les recommandations suivantes</w:t>
      </w:r>
      <w:proofErr w:type="gramStart"/>
      <w:r w:rsidR="001520AA" w:rsidRPr="00D52B7C">
        <w:rPr>
          <w:lang w:val="fr-FR"/>
        </w:rPr>
        <w:t>::</w:t>
      </w:r>
      <w:proofErr w:type="gramEnd"/>
    </w:p>
    <w:p w:rsidR="00A06550" w:rsidRPr="00D52B7C" w:rsidRDefault="00E546E3" w:rsidP="00B97474">
      <w:pPr>
        <w:pStyle w:val="enumlev1"/>
        <w:rPr>
          <w:lang w:val="fr-FR" w:eastAsia="ja-JP"/>
        </w:rPr>
      </w:pPr>
      <w:r w:rsidRPr="00D52B7C">
        <w:rPr>
          <w:lang w:val="fr-FR" w:eastAsia="ja-JP"/>
        </w:rPr>
        <w:t>1)</w:t>
      </w:r>
      <w:r w:rsidR="00A06550" w:rsidRPr="00D52B7C">
        <w:rPr>
          <w:lang w:val="fr-FR" w:eastAsia="ja-JP"/>
        </w:rPr>
        <w:tab/>
      </w:r>
      <w:r w:rsidR="00B97474" w:rsidRPr="00D52B7C">
        <w:rPr>
          <w:lang w:val="fr-FR"/>
        </w:rPr>
        <w:t>Examen des statistiques relatives aux CE à chaque réunion du GCNT</w:t>
      </w:r>
      <w:r w:rsidR="00A06550" w:rsidRPr="00D52B7C">
        <w:rPr>
          <w:lang w:val="fr-FR" w:eastAsia="ja-JP"/>
        </w:rPr>
        <w:t>.</w:t>
      </w:r>
    </w:p>
    <w:p w:rsidR="00A06550" w:rsidRPr="00D52B7C" w:rsidRDefault="00E546E3" w:rsidP="00B97474">
      <w:pPr>
        <w:pStyle w:val="enumlev1"/>
        <w:rPr>
          <w:lang w:val="fr-FR" w:eastAsia="ja-JP"/>
        </w:rPr>
      </w:pPr>
      <w:r w:rsidRPr="00D52B7C">
        <w:rPr>
          <w:lang w:val="fr-FR" w:eastAsia="ja-JP"/>
        </w:rPr>
        <w:t>2)</w:t>
      </w:r>
      <w:r w:rsidR="00A06550" w:rsidRPr="00D52B7C">
        <w:rPr>
          <w:lang w:val="fr-FR" w:eastAsia="ja-JP"/>
        </w:rPr>
        <w:tab/>
      </w:r>
      <w:r w:rsidR="00B97474" w:rsidRPr="00D52B7C">
        <w:rPr>
          <w:lang w:val="fr-FR"/>
        </w:rPr>
        <w:t>Adoption de principes de haut niveau pour la restructuration de l'UIT</w:t>
      </w:r>
      <w:r w:rsidR="00B97474" w:rsidRPr="00D52B7C">
        <w:rPr>
          <w:lang w:val="fr-FR"/>
        </w:rPr>
        <w:noBreakHyphen/>
        <w:t>T</w:t>
      </w:r>
      <w:r w:rsidR="00A06550" w:rsidRPr="00D52B7C">
        <w:rPr>
          <w:lang w:val="fr-FR" w:eastAsia="ja-JP"/>
        </w:rPr>
        <w:t>.</w:t>
      </w:r>
    </w:p>
    <w:p w:rsidR="00A06550" w:rsidRPr="00D52B7C" w:rsidRDefault="00E546E3" w:rsidP="00DA0AEE">
      <w:pPr>
        <w:pStyle w:val="enumlev1"/>
        <w:rPr>
          <w:lang w:val="fr-FR" w:eastAsia="ja-JP"/>
        </w:rPr>
      </w:pPr>
      <w:r w:rsidRPr="00D52B7C">
        <w:rPr>
          <w:lang w:val="fr-FR" w:eastAsia="ja-JP"/>
        </w:rPr>
        <w:t>3)</w:t>
      </w:r>
      <w:r w:rsidR="00A06550" w:rsidRPr="00D52B7C">
        <w:rPr>
          <w:lang w:val="fr-FR" w:eastAsia="ja-JP"/>
        </w:rPr>
        <w:tab/>
        <w:t xml:space="preserve">Adoption </w:t>
      </w:r>
      <w:r w:rsidR="00B97474" w:rsidRPr="00D52B7C">
        <w:rPr>
          <w:lang w:val="fr-FR" w:eastAsia="ja-JP"/>
        </w:rPr>
        <w:t>de l</w:t>
      </w:r>
      <w:r w:rsidR="00B97474" w:rsidRPr="00D52B7C">
        <w:rPr>
          <w:lang w:val="fr-FR"/>
        </w:rPr>
        <w:t xml:space="preserve">ignes directrices </w:t>
      </w:r>
      <w:r w:rsidR="00B97474" w:rsidRPr="00D52B7C">
        <w:rPr>
          <w:color w:val="000000"/>
          <w:lang w:val="fr-FR"/>
        </w:rPr>
        <w:t xml:space="preserve">pour </w:t>
      </w:r>
      <w:r w:rsidR="00A3501C" w:rsidRPr="00D52B7C">
        <w:rPr>
          <w:color w:val="000000"/>
          <w:lang w:val="fr-FR"/>
        </w:rPr>
        <w:t>le</w:t>
      </w:r>
      <w:r w:rsidR="00B97474" w:rsidRPr="00D52B7C">
        <w:rPr>
          <w:color w:val="000000"/>
          <w:lang w:val="fr-FR"/>
        </w:rPr>
        <w:t xml:space="preserve"> transfert efficace des </w:t>
      </w:r>
      <w:r w:rsidR="00DA0AEE" w:rsidRPr="00D52B7C">
        <w:rPr>
          <w:color w:val="000000"/>
          <w:lang w:val="fr-FR"/>
        </w:rPr>
        <w:t xml:space="preserve">produits </w:t>
      </w:r>
      <w:r w:rsidR="00B97474" w:rsidRPr="00D52B7C">
        <w:rPr>
          <w:color w:val="000000"/>
          <w:lang w:val="fr-FR"/>
        </w:rPr>
        <w:t>élaborés par les groupes spécialisés à leur entité de rattachement</w:t>
      </w:r>
      <w:r w:rsidR="00A06550" w:rsidRPr="00D52B7C">
        <w:rPr>
          <w:lang w:val="fr-FR" w:eastAsia="ja-JP"/>
        </w:rPr>
        <w:t>.</w:t>
      </w:r>
    </w:p>
    <w:p w:rsidR="00A06550" w:rsidRPr="00D52B7C" w:rsidRDefault="00E546E3" w:rsidP="00E546E3">
      <w:pPr>
        <w:pStyle w:val="enumlev1"/>
        <w:rPr>
          <w:lang w:val="fr-FR" w:eastAsia="ja-JP"/>
        </w:rPr>
      </w:pPr>
      <w:r w:rsidRPr="00D52B7C">
        <w:rPr>
          <w:lang w:val="fr-FR" w:eastAsia="ja-JP"/>
        </w:rPr>
        <w:t>4)</w:t>
      </w:r>
      <w:r w:rsidR="00A06550" w:rsidRPr="00D52B7C">
        <w:rPr>
          <w:lang w:val="fr-FR" w:eastAsia="ja-JP"/>
        </w:rPr>
        <w:tab/>
      </w:r>
      <w:r w:rsidRPr="00D52B7C">
        <w:rPr>
          <w:lang w:val="fr-FR"/>
        </w:rPr>
        <w:t xml:space="preserve">Création d'une fonction </w:t>
      </w:r>
      <w:r w:rsidR="00DA0AEE" w:rsidRPr="00D52B7C">
        <w:rPr>
          <w:lang w:val="fr-FR"/>
        </w:rPr>
        <w:t>S</w:t>
      </w:r>
      <w:r w:rsidRPr="00D52B7C">
        <w:rPr>
          <w:lang w:val="fr-FR"/>
        </w:rPr>
        <w:t>tratégie en matière de normalisation</w:t>
      </w:r>
      <w:r w:rsidR="00A06550" w:rsidRPr="00D52B7C">
        <w:rPr>
          <w:lang w:val="fr-FR" w:eastAsia="ja-JP"/>
        </w:rPr>
        <w:t>.</w:t>
      </w:r>
    </w:p>
    <w:p w:rsidR="00A06550" w:rsidRPr="00D52B7C" w:rsidRDefault="00E546E3" w:rsidP="00E546E3">
      <w:pPr>
        <w:pStyle w:val="enumlev1"/>
        <w:rPr>
          <w:lang w:val="fr-FR" w:eastAsia="ja-JP"/>
        </w:rPr>
      </w:pPr>
      <w:r w:rsidRPr="00D52B7C">
        <w:rPr>
          <w:lang w:val="fr-FR" w:eastAsia="ja-JP"/>
        </w:rPr>
        <w:t>5)</w:t>
      </w:r>
      <w:r w:rsidR="00A06550" w:rsidRPr="00D52B7C">
        <w:rPr>
          <w:lang w:val="fr-FR" w:eastAsia="ja-JP"/>
        </w:rPr>
        <w:tab/>
      </w:r>
      <w:r w:rsidRPr="00D52B7C">
        <w:rPr>
          <w:lang w:val="fr-FR"/>
        </w:rPr>
        <w:t>Création d'une commission d'études "verticale" sur les principaux sujets intéressant le secteur privé</w:t>
      </w:r>
      <w:r w:rsidR="00A06550" w:rsidRPr="00D52B7C">
        <w:rPr>
          <w:lang w:val="fr-FR" w:eastAsia="ja-JP"/>
        </w:rPr>
        <w:t>.</w:t>
      </w:r>
    </w:p>
    <w:p w:rsidR="00A06550" w:rsidRPr="00D52B7C" w:rsidRDefault="00E546E3" w:rsidP="00E546E3">
      <w:pPr>
        <w:pStyle w:val="enumlev1"/>
        <w:rPr>
          <w:lang w:val="fr-FR" w:eastAsia="ja-JP"/>
        </w:rPr>
      </w:pPr>
      <w:r w:rsidRPr="00D52B7C">
        <w:rPr>
          <w:lang w:val="fr-FR" w:eastAsia="ja-JP"/>
        </w:rPr>
        <w:lastRenderedPageBreak/>
        <w:t>6)</w:t>
      </w:r>
      <w:r w:rsidR="00A06550" w:rsidRPr="00D52B7C">
        <w:rPr>
          <w:lang w:val="fr-FR" w:eastAsia="ja-JP"/>
        </w:rPr>
        <w:tab/>
      </w:r>
      <w:r w:rsidRPr="00D52B7C">
        <w:rPr>
          <w:rFonts w:eastAsia="MS Mincho"/>
          <w:lang w:val="fr-FR"/>
        </w:rPr>
        <w:t>Examen des mécanismes actuels de coopération et de collaboration et des groupes et commissions d'études</w:t>
      </w:r>
      <w:r w:rsidR="00A06550" w:rsidRPr="00D52B7C">
        <w:rPr>
          <w:lang w:val="fr-FR" w:eastAsia="ja-JP"/>
        </w:rPr>
        <w:t>.</w:t>
      </w:r>
    </w:p>
    <w:p w:rsidR="00A06550" w:rsidRPr="00D52B7C" w:rsidRDefault="00A3501C" w:rsidP="00A3501C">
      <w:pPr>
        <w:tabs>
          <w:tab w:val="clear" w:pos="1134"/>
          <w:tab w:val="clear" w:pos="1871"/>
          <w:tab w:val="clear" w:pos="2268"/>
        </w:tabs>
        <w:overflowPunct/>
        <w:autoSpaceDE/>
        <w:autoSpaceDN/>
        <w:adjustRightInd/>
        <w:textAlignment w:val="auto"/>
        <w:rPr>
          <w:iCs/>
          <w:szCs w:val="24"/>
          <w:lang w:val="fr-FR" w:eastAsia="ja-JP"/>
        </w:rPr>
      </w:pPr>
      <w:r w:rsidRPr="00D52B7C">
        <w:rPr>
          <w:iCs/>
          <w:szCs w:val="24"/>
          <w:lang w:val="fr-FR" w:eastAsia="ja-JP"/>
        </w:rPr>
        <w:t>En conséquence, le GCNT a adopté les mesures suivantes</w:t>
      </w:r>
      <w:r w:rsidR="001520AA" w:rsidRPr="00D52B7C">
        <w:rPr>
          <w:iCs/>
          <w:szCs w:val="24"/>
          <w:lang w:val="fr-FR" w:eastAsia="ja-JP"/>
        </w:rPr>
        <w:t>:</w:t>
      </w:r>
      <w:r w:rsidR="00FC0ACA" w:rsidRPr="00D52B7C">
        <w:rPr>
          <w:iCs/>
          <w:szCs w:val="24"/>
          <w:lang w:val="fr-FR" w:eastAsia="ja-JP"/>
        </w:rPr>
        <w:t xml:space="preserve"> </w:t>
      </w:r>
    </w:p>
    <w:p w:rsidR="00A06550" w:rsidRPr="00D52B7C" w:rsidRDefault="00E546E3" w:rsidP="002E4B4B">
      <w:pPr>
        <w:pStyle w:val="enumlev1"/>
        <w:rPr>
          <w:lang w:val="fr-FR" w:eastAsia="ja-JP"/>
        </w:rPr>
      </w:pPr>
      <w:r w:rsidRPr="00D52B7C">
        <w:rPr>
          <w:lang w:val="fr-FR" w:eastAsia="ja-JP"/>
        </w:rPr>
        <w:t>1)</w:t>
      </w:r>
      <w:r w:rsidR="00A06550" w:rsidRPr="00D52B7C">
        <w:rPr>
          <w:lang w:val="fr-FR" w:eastAsia="ja-JP"/>
        </w:rPr>
        <w:tab/>
      </w:r>
      <w:r w:rsidR="002E4B4B" w:rsidRPr="00D52B7C">
        <w:rPr>
          <w:lang w:val="fr-FR" w:eastAsia="ja-JP"/>
        </w:rPr>
        <w:t>A</w:t>
      </w:r>
      <w:r w:rsidR="00A3501C" w:rsidRPr="00D52B7C">
        <w:rPr>
          <w:lang w:val="fr-FR" w:eastAsia="ja-JP"/>
        </w:rPr>
        <w:t>pprobation de l</w:t>
      </w:r>
      <w:r w:rsidR="00FC0ACA" w:rsidRPr="00D52B7C">
        <w:rPr>
          <w:lang w:val="fr-FR" w:eastAsia="ja-JP"/>
        </w:rPr>
        <w:t>'</w:t>
      </w:r>
      <w:r w:rsidRPr="00D52B7C">
        <w:rPr>
          <w:lang w:val="fr-FR"/>
        </w:rPr>
        <w:t xml:space="preserve">Appendice I </w:t>
      </w:r>
      <w:r w:rsidR="002E4B4B" w:rsidRPr="00D52B7C">
        <w:rPr>
          <w:lang w:val="fr-FR"/>
        </w:rPr>
        <w:t>de la Recommandation UIT</w:t>
      </w:r>
      <w:r w:rsidR="002E4B4B" w:rsidRPr="00D52B7C">
        <w:rPr>
          <w:lang w:val="fr-FR"/>
        </w:rPr>
        <w:noBreakHyphen/>
        <w:t>T A.7</w:t>
      </w:r>
      <w:r w:rsidR="00952BB4">
        <w:rPr>
          <w:lang w:val="fr-FR"/>
        </w:rPr>
        <w:t>.</w:t>
      </w:r>
    </w:p>
    <w:p w:rsidR="00A06550" w:rsidRPr="00D52B7C" w:rsidRDefault="00E546E3" w:rsidP="00A3501C">
      <w:pPr>
        <w:pStyle w:val="enumlev1"/>
        <w:rPr>
          <w:lang w:val="fr-FR" w:eastAsia="ja-JP"/>
        </w:rPr>
      </w:pPr>
      <w:r w:rsidRPr="00D52B7C">
        <w:rPr>
          <w:lang w:val="fr-FR" w:eastAsia="ja-JP"/>
        </w:rPr>
        <w:t>2)</w:t>
      </w:r>
      <w:r w:rsidR="00A06550" w:rsidRPr="00D52B7C">
        <w:rPr>
          <w:lang w:val="fr-FR" w:eastAsia="ja-JP"/>
        </w:rPr>
        <w:tab/>
      </w:r>
      <w:r w:rsidR="00A3501C" w:rsidRPr="00D52B7C">
        <w:rPr>
          <w:lang w:val="fr-FR" w:eastAsia="ja-JP"/>
        </w:rPr>
        <w:t>Approbation de sept principes de haut niveau applicables à la restructuration de l</w:t>
      </w:r>
      <w:r w:rsidR="00FC0ACA" w:rsidRPr="00D52B7C">
        <w:rPr>
          <w:lang w:val="fr-FR" w:eastAsia="ja-JP"/>
        </w:rPr>
        <w:t>'</w:t>
      </w:r>
      <w:r w:rsidR="00A3501C" w:rsidRPr="00D52B7C">
        <w:rPr>
          <w:lang w:val="fr-FR" w:eastAsia="ja-JP"/>
        </w:rPr>
        <w:t>UIT-T</w:t>
      </w:r>
      <w:r w:rsidR="00952BB4">
        <w:rPr>
          <w:lang w:val="fr-FR" w:eastAsia="ja-JP"/>
        </w:rPr>
        <w:t>.</w:t>
      </w:r>
    </w:p>
    <w:p w:rsidR="00A06550" w:rsidRPr="00D52B7C" w:rsidRDefault="00E546E3" w:rsidP="00E546E3">
      <w:pPr>
        <w:pStyle w:val="enumlev1"/>
        <w:rPr>
          <w:lang w:val="fr-FR" w:eastAsia="ja-JP"/>
        </w:rPr>
      </w:pPr>
      <w:r w:rsidRPr="00D52B7C">
        <w:rPr>
          <w:lang w:val="fr-FR" w:eastAsia="ja-JP"/>
        </w:rPr>
        <w:t>3)</w:t>
      </w:r>
      <w:r w:rsidR="00A06550" w:rsidRPr="00D52B7C">
        <w:rPr>
          <w:lang w:val="fr-FR" w:eastAsia="ja-JP"/>
        </w:rPr>
        <w:tab/>
      </w:r>
      <w:r w:rsidRPr="00D52B7C">
        <w:rPr>
          <w:lang w:val="fr-FR" w:eastAsia="ja-JP"/>
        </w:rPr>
        <w:t xml:space="preserve">Création d'un </w:t>
      </w:r>
      <w:r w:rsidRPr="00D52B7C">
        <w:rPr>
          <w:lang w:val="fr-FR"/>
        </w:rPr>
        <w:t>nouveau Groupe du Rapporteur du GCNT sur la stratégie en matière de normalisation</w:t>
      </w:r>
      <w:r w:rsidR="00A06550" w:rsidRPr="00D52B7C">
        <w:rPr>
          <w:lang w:val="fr-FR" w:eastAsia="ja-JP"/>
        </w:rPr>
        <w:t>.</w:t>
      </w:r>
    </w:p>
    <w:p w:rsidR="00A06550" w:rsidRPr="00D52B7C" w:rsidRDefault="00E546E3" w:rsidP="00E546E3">
      <w:pPr>
        <w:pStyle w:val="enumlev1"/>
        <w:rPr>
          <w:lang w:val="fr-FR" w:eastAsia="ja-JP"/>
        </w:rPr>
      </w:pPr>
      <w:r w:rsidRPr="00D52B7C">
        <w:rPr>
          <w:lang w:val="fr-FR" w:eastAsia="ja-JP"/>
        </w:rPr>
        <w:t>4</w:t>
      </w:r>
      <w:r w:rsidR="00D52B7C">
        <w:rPr>
          <w:lang w:val="fr-FR" w:eastAsia="ja-JP"/>
        </w:rPr>
        <w:t>)</w:t>
      </w:r>
      <w:r w:rsidR="00A06550" w:rsidRPr="00D52B7C">
        <w:rPr>
          <w:lang w:val="fr-FR" w:eastAsia="ja-JP"/>
        </w:rPr>
        <w:tab/>
      </w:r>
      <w:r w:rsidRPr="00D52B7C">
        <w:rPr>
          <w:lang w:val="fr-FR"/>
        </w:rPr>
        <w:t>Création de la nouvelle CE 20</w:t>
      </w:r>
      <w:r w:rsidR="00A06550" w:rsidRPr="00D52B7C">
        <w:rPr>
          <w:lang w:val="fr-FR" w:eastAsia="ja-JP"/>
        </w:rPr>
        <w:t>.</w:t>
      </w:r>
    </w:p>
    <w:p w:rsidR="00A06550" w:rsidRPr="00D52B7C" w:rsidRDefault="00A3501C" w:rsidP="00A3501C">
      <w:pPr>
        <w:tabs>
          <w:tab w:val="clear" w:pos="1134"/>
          <w:tab w:val="clear" w:pos="1871"/>
          <w:tab w:val="clear" w:pos="2268"/>
        </w:tabs>
        <w:overflowPunct/>
        <w:autoSpaceDE/>
        <w:autoSpaceDN/>
        <w:adjustRightInd/>
        <w:textAlignment w:val="auto"/>
        <w:rPr>
          <w:iCs/>
          <w:szCs w:val="24"/>
          <w:lang w:val="fr-FR" w:eastAsia="ja-JP"/>
        </w:rPr>
      </w:pPr>
      <w:r w:rsidRPr="00D52B7C">
        <w:rPr>
          <w:iCs/>
          <w:szCs w:val="24"/>
          <w:lang w:val="fr-FR" w:eastAsia="ja-JP"/>
        </w:rPr>
        <w:t xml:space="preserve">En outre, les recommandations ci-après sont soumises à </w:t>
      </w:r>
      <w:r w:rsidRPr="00D52B7C">
        <w:rPr>
          <w:lang w:val="fr-FR" w:eastAsia="ja-JP"/>
        </w:rPr>
        <w:t>l'AMNT-16</w:t>
      </w:r>
      <w:r w:rsidR="001520AA" w:rsidRPr="00D52B7C">
        <w:rPr>
          <w:lang w:val="fr-FR" w:eastAsia="ja-JP"/>
        </w:rPr>
        <w:t>:</w:t>
      </w:r>
      <w:r w:rsidR="00FC0ACA" w:rsidRPr="00D52B7C">
        <w:rPr>
          <w:iCs/>
          <w:szCs w:val="24"/>
          <w:lang w:val="fr-FR" w:eastAsia="ja-JP"/>
        </w:rPr>
        <w:t xml:space="preserve"> </w:t>
      </w:r>
    </w:p>
    <w:p w:rsidR="00A06550" w:rsidRPr="00D52B7C" w:rsidRDefault="00A06550" w:rsidP="00F2134B">
      <w:pPr>
        <w:pStyle w:val="enumlev1"/>
        <w:rPr>
          <w:lang w:val="fr-FR" w:eastAsia="ja-JP"/>
        </w:rPr>
      </w:pPr>
      <w:r w:rsidRPr="00D52B7C">
        <w:rPr>
          <w:lang w:val="fr-FR" w:eastAsia="ja-JP"/>
        </w:rPr>
        <w:t>a)</w:t>
      </w:r>
      <w:r w:rsidRPr="00D52B7C">
        <w:rPr>
          <w:lang w:val="fr-FR" w:eastAsia="ja-JP"/>
        </w:rPr>
        <w:tab/>
      </w:r>
      <w:r w:rsidR="00E546E3" w:rsidRPr="00D52B7C">
        <w:rPr>
          <w:lang w:val="fr-FR"/>
        </w:rPr>
        <w:t>Poursui</w:t>
      </w:r>
      <w:r w:rsidR="00A3501C" w:rsidRPr="00D52B7C">
        <w:rPr>
          <w:lang w:val="fr-FR"/>
        </w:rPr>
        <w:t>te</w:t>
      </w:r>
      <w:r w:rsidR="00E546E3" w:rsidRPr="00D52B7C">
        <w:rPr>
          <w:lang w:val="fr-FR"/>
        </w:rPr>
        <w:t xml:space="preserve"> </w:t>
      </w:r>
      <w:r w:rsidR="00F2134B" w:rsidRPr="00D52B7C">
        <w:rPr>
          <w:lang w:val="fr-FR"/>
        </w:rPr>
        <w:t>du</w:t>
      </w:r>
      <w:r w:rsidR="00E546E3" w:rsidRPr="00D52B7C">
        <w:rPr>
          <w:lang w:val="fr-FR"/>
        </w:rPr>
        <w:t xml:space="preserve"> suivi</w:t>
      </w:r>
      <w:r w:rsidR="00FC0ACA" w:rsidRPr="00D52B7C">
        <w:rPr>
          <w:lang w:val="fr-FR" w:eastAsia="ja-JP"/>
        </w:rPr>
        <w:t>,</w:t>
      </w:r>
      <w:r w:rsidR="00F2134B" w:rsidRPr="00D52B7C">
        <w:rPr>
          <w:lang w:val="fr-FR" w:eastAsia="ja-JP"/>
        </w:rPr>
        <w:t xml:space="preserve"> par le GCNT, des activités menées par les commissions d</w:t>
      </w:r>
      <w:r w:rsidR="00FC0ACA" w:rsidRPr="00D52B7C">
        <w:rPr>
          <w:lang w:val="fr-FR" w:eastAsia="ja-JP"/>
        </w:rPr>
        <w:t>'</w:t>
      </w:r>
      <w:r w:rsidR="00F2134B" w:rsidRPr="00D52B7C">
        <w:rPr>
          <w:lang w:val="fr-FR" w:eastAsia="ja-JP"/>
        </w:rPr>
        <w:t>études de l</w:t>
      </w:r>
      <w:r w:rsidR="00FC0ACA" w:rsidRPr="00D52B7C">
        <w:rPr>
          <w:lang w:val="fr-FR" w:eastAsia="ja-JP"/>
        </w:rPr>
        <w:t>'</w:t>
      </w:r>
      <w:r w:rsidR="00F2134B" w:rsidRPr="00D52B7C">
        <w:rPr>
          <w:lang w:val="fr-FR" w:eastAsia="ja-JP"/>
        </w:rPr>
        <w:t>UIT-T</w:t>
      </w:r>
      <w:r w:rsidR="00E546E3" w:rsidRPr="00D52B7C">
        <w:rPr>
          <w:lang w:val="fr-FR" w:eastAsia="ja-JP"/>
        </w:rPr>
        <w:tab/>
      </w:r>
      <w:r w:rsidR="00952BB4">
        <w:rPr>
          <w:lang w:val="fr-FR" w:eastAsia="ja-JP"/>
        </w:rPr>
        <w:t>.</w:t>
      </w:r>
    </w:p>
    <w:p w:rsidR="00A06550" w:rsidRPr="00D52B7C" w:rsidRDefault="00A06550" w:rsidP="00F2134B">
      <w:pPr>
        <w:pStyle w:val="enumlev1"/>
        <w:rPr>
          <w:lang w:val="fr-FR" w:eastAsia="ja-JP"/>
        </w:rPr>
      </w:pPr>
      <w:r w:rsidRPr="00D52B7C">
        <w:rPr>
          <w:lang w:val="fr-FR" w:eastAsia="ja-JP"/>
        </w:rPr>
        <w:t>b)</w:t>
      </w:r>
      <w:r w:rsidRPr="00D52B7C">
        <w:rPr>
          <w:lang w:val="fr-FR" w:eastAsia="ja-JP"/>
        </w:rPr>
        <w:tab/>
      </w:r>
      <w:r w:rsidR="00F2134B" w:rsidRPr="00D52B7C">
        <w:rPr>
          <w:lang w:val="fr-FR"/>
        </w:rPr>
        <w:t xml:space="preserve">application des </w:t>
      </w:r>
      <w:r w:rsidR="00E546E3" w:rsidRPr="00D52B7C">
        <w:rPr>
          <w:lang w:val="fr-FR"/>
        </w:rPr>
        <w:t xml:space="preserve">principes </w:t>
      </w:r>
      <w:r w:rsidR="00F2134B" w:rsidRPr="00D52B7C">
        <w:rPr>
          <w:lang w:val="fr-FR"/>
        </w:rPr>
        <w:t>de</w:t>
      </w:r>
      <w:r w:rsidR="00E546E3" w:rsidRPr="00D52B7C">
        <w:rPr>
          <w:lang w:val="fr-FR"/>
        </w:rPr>
        <w:t xml:space="preserve"> restructuration</w:t>
      </w:r>
      <w:r w:rsidR="00FC0ACA" w:rsidRPr="00D52B7C">
        <w:rPr>
          <w:lang w:val="fr-FR"/>
        </w:rPr>
        <w:t xml:space="preserve"> </w:t>
      </w:r>
      <w:r w:rsidR="00E546E3" w:rsidRPr="00D52B7C">
        <w:rPr>
          <w:lang w:val="fr-FR" w:eastAsia="ja-JP"/>
        </w:rPr>
        <w:t>adoptés par le GCNT</w:t>
      </w:r>
      <w:r w:rsidR="00F2134B" w:rsidRPr="00D52B7C">
        <w:rPr>
          <w:lang w:val="fr-FR" w:eastAsia="ja-JP"/>
        </w:rPr>
        <w:t xml:space="preserve"> lors de</w:t>
      </w:r>
      <w:r w:rsidR="00FC0ACA" w:rsidRPr="00D52B7C">
        <w:rPr>
          <w:lang w:val="fr-FR" w:eastAsia="ja-JP"/>
        </w:rPr>
        <w:t xml:space="preserve"> </w:t>
      </w:r>
      <w:r w:rsidR="00E546E3" w:rsidRPr="00D52B7C">
        <w:rPr>
          <w:lang w:val="fr-FR" w:eastAsia="ja-JP"/>
        </w:rPr>
        <w:t>l'</w:t>
      </w:r>
      <w:r w:rsidRPr="00D52B7C">
        <w:rPr>
          <w:lang w:val="fr-FR" w:eastAsia="ja-JP"/>
        </w:rPr>
        <w:t>A</w:t>
      </w:r>
      <w:r w:rsidR="00E546E3" w:rsidRPr="00D52B7C">
        <w:rPr>
          <w:lang w:val="fr-FR" w:eastAsia="ja-JP"/>
        </w:rPr>
        <w:t>MNT</w:t>
      </w:r>
      <w:r w:rsidRPr="00D52B7C">
        <w:rPr>
          <w:lang w:val="fr-FR" w:eastAsia="ja-JP"/>
        </w:rPr>
        <w:t>-16.</w:t>
      </w:r>
    </w:p>
    <w:p w:rsidR="00A06550" w:rsidRPr="00D52B7C" w:rsidRDefault="00A06550" w:rsidP="00F2134B">
      <w:pPr>
        <w:pStyle w:val="enumlev1"/>
        <w:rPr>
          <w:lang w:val="fr-FR" w:eastAsia="ja-JP"/>
        </w:rPr>
      </w:pPr>
      <w:r w:rsidRPr="00D52B7C">
        <w:rPr>
          <w:lang w:val="fr-FR" w:eastAsia="ja-JP"/>
        </w:rPr>
        <w:t>c)</w:t>
      </w:r>
      <w:r w:rsidRPr="00D52B7C">
        <w:rPr>
          <w:lang w:val="fr-FR" w:eastAsia="ja-JP"/>
        </w:rPr>
        <w:tab/>
      </w:r>
      <w:r w:rsidR="00F2134B" w:rsidRPr="00D52B7C">
        <w:rPr>
          <w:rFonts w:eastAsia="MS Mincho"/>
          <w:lang w:val="fr-FR"/>
        </w:rPr>
        <w:t>poursuite de l</w:t>
      </w:r>
      <w:r w:rsidR="00FC0ACA" w:rsidRPr="00D52B7C">
        <w:rPr>
          <w:rFonts w:eastAsia="MS Mincho"/>
          <w:lang w:val="fr-FR"/>
        </w:rPr>
        <w:t>'</w:t>
      </w:r>
      <w:r w:rsidR="00F2134B" w:rsidRPr="00D52B7C">
        <w:rPr>
          <w:rFonts w:eastAsia="MS Mincho"/>
          <w:lang w:val="fr-FR"/>
        </w:rPr>
        <w:t xml:space="preserve">utilisation des </w:t>
      </w:r>
      <w:r w:rsidR="00052A27" w:rsidRPr="00D52B7C">
        <w:rPr>
          <w:rFonts w:eastAsia="MS Mincho"/>
          <w:lang w:val="fr-FR"/>
        </w:rPr>
        <w:t>résultats des réunions des directeurs techniques et de la veille technologique</w:t>
      </w:r>
      <w:r w:rsidRPr="00D52B7C">
        <w:rPr>
          <w:lang w:val="fr-FR" w:eastAsia="ja-JP"/>
        </w:rPr>
        <w:t>.</w:t>
      </w:r>
    </w:p>
    <w:p w:rsidR="00A06550" w:rsidRPr="00D52B7C" w:rsidRDefault="00A06550" w:rsidP="001520AA">
      <w:pPr>
        <w:pStyle w:val="enumlev1"/>
        <w:rPr>
          <w:lang w:val="fr-FR" w:eastAsia="ja-JP"/>
        </w:rPr>
      </w:pPr>
      <w:r w:rsidRPr="00D52B7C">
        <w:rPr>
          <w:lang w:val="fr-FR" w:eastAsia="ja-JP"/>
        </w:rPr>
        <w:t>d)</w:t>
      </w:r>
      <w:r w:rsidRPr="00D52B7C">
        <w:rPr>
          <w:lang w:val="fr-FR" w:eastAsia="ja-JP"/>
        </w:rPr>
        <w:tab/>
      </w:r>
      <w:r w:rsidR="00F2134B" w:rsidRPr="00D52B7C">
        <w:rPr>
          <w:rFonts w:eastAsia="MS Mincho"/>
          <w:lang w:val="fr-FR"/>
        </w:rPr>
        <w:t>poursuite de l</w:t>
      </w:r>
      <w:r w:rsidR="00FC0ACA" w:rsidRPr="00D52B7C">
        <w:rPr>
          <w:rFonts w:eastAsia="MS Mincho"/>
          <w:lang w:val="fr-FR"/>
        </w:rPr>
        <w:t>'</w:t>
      </w:r>
      <w:r w:rsidR="001520AA" w:rsidRPr="00D52B7C">
        <w:rPr>
          <w:rFonts w:eastAsia="MS Mincho"/>
          <w:lang w:val="fr-FR"/>
        </w:rPr>
        <w:t>e</w:t>
      </w:r>
      <w:r w:rsidR="00F2134B" w:rsidRPr="00D52B7C">
        <w:rPr>
          <w:rFonts w:eastAsia="MS Mincho"/>
          <w:lang w:val="fr-FR"/>
        </w:rPr>
        <w:t>xamen des mécanismes actuels de coopération et de collaboration et des groupes et commissions d'études</w:t>
      </w:r>
      <w:r w:rsidR="00F2134B" w:rsidRPr="00D52B7C">
        <w:rPr>
          <w:lang w:val="fr-FR" w:eastAsia="ja-JP"/>
        </w:rPr>
        <w:t xml:space="preserve"> par le GCNT</w:t>
      </w:r>
      <w:r w:rsidR="00FC0ACA" w:rsidRPr="00D52B7C">
        <w:rPr>
          <w:lang w:val="fr-FR" w:eastAsia="ja-JP"/>
        </w:rPr>
        <w:t xml:space="preserve"> </w:t>
      </w:r>
      <w:r w:rsidR="00052A27" w:rsidRPr="00D52B7C">
        <w:rPr>
          <w:lang w:val="fr-FR"/>
        </w:rPr>
        <w:t>(</w:t>
      </w:r>
      <w:r w:rsidR="001520AA" w:rsidRPr="00D52B7C">
        <w:rPr>
          <w:lang w:val="fr-FR"/>
        </w:rPr>
        <w:t>et</w:t>
      </w:r>
      <w:r w:rsidR="00F2134B" w:rsidRPr="00D52B7C">
        <w:rPr>
          <w:lang w:val="fr-FR"/>
        </w:rPr>
        <w:t xml:space="preserve"> notamment du </w:t>
      </w:r>
      <w:r w:rsidR="00052A27" w:rsidRPr="00D52B7C">
        <w:rPr>
          <w:lang w:val="fr-FR"/>
        </w:rPr>
        <w:t xml:space="preserve">projet expérimental CITS et </w:t>
      </w:r>
      <w:r w:rsidR="00F2134B" w:rsidRPr="00D52B7C">
        <w:rPr>
          <w:lang w:val="fr-FR"/>
        </w:rPr>
        <w:t xml:space="preserve">de </w:t>
      </w:r>
      <w:r w:rsidR="00052A27" w:rsidRPr="00D52B7C">
        <w:rPr>
          <w:lang w:val="fr-FR"/>
        </w:rPr>
        <w:t>la coopération avec divers secteurs de l'industrie)</w:t>
      </w:r>
      <w:r w:rsidR="00952BB4">
        <w:rPr>
          <w:lang w:val="fr-FR" w:eastAsia="ja-JP"/>
        </w:rPr>
        <w:t>.</w:t>
      </w:r>
    </w:p>
    <w:p w:rsidR="00A06550" w:rsidRPr="00D52B7C" w:rsidRDefault="00F2134B" w:rsidP="00F2134B">
      <w:pPr>
        <w:tabs>
          <w:tab w:val="clear" w:pos="1134"/>
          <w:tab w:val="clear" w:pos="1871"/>
          <w:tab w:val="clear" w:pos="2268"/>
        </w:tabs>
        <w:overflowPunct/>
        <w:autoSpaceDE/>
        <w:autoSpaceDN/>
        <w:adjustRightInd/>
        <w:textAlignment w:val="auto"/>
        <w:rPr>
          <w:szCs w:val="24"/>
          <w:lang w:val="fr-FR"/>
        </w:rPr>
      </w:pPr>
      <w:r w:rsidRPr="00D52B7C">
        <w:rPr>
          <w:lang w:val="fr-FR"/>
        </w:rPr>
        <w:t xml:space="preserve">En raison </w:t>
      </w:r>
      <w:r w:rsidR="00A03103" w:rsidRPr="00D52B7C">
        <w:rPr>
          <w:lang w:val="fr-FR"/>
        </w:rPr>
        <w:t xml:space="preserve">de la convergence des télécommunications/TIC, </w:t>
      </w:r>
      <w:r w:rsidR="00952BB4">
        <w:rPr>
          <w:lang w:val="fr-FR"/>
        </w:rPr>
        <w:t>de nombreux nouveaux acteurs, y </w:t>
      </w:r>
      <w:r w:rsidR="00A03103" w:rsidRPr="00D52B7C">
        <w:rPr>
          <w:lang w:val="fr-FR"/>
        </w:rPr>
        <w:t>compris du secteur de l'informatique, arrivent sur les marchés traditionnels des télécommunications.</w:t>
      </w:r>
      <w:r w:rsidRPr="00D52B7C">
        <w:rPr>
          <w:lang w:val="fr-FR"/>
        </w:rPr>
        <w:t xml:space="preserve"> Toutes ces mutations </w:t>
      </w:r>
      <w:r w:rsidR="00A03103" w:rsidRPr="00D52B7C">
        <w:rPr>
          <w:lang w:val="fr-FR"/>
        </w:rPr>
        <w:t>ont eu</w:t>
      </w:r>
      <w:r w:rsidRPr="00D52B7C">
        <w:rPr>
          <w:lang w:val="fr-FR"/>
        </w:rPr>
        <w:t xml:space="preserve"> de profondes répercussions </w:t>
      </w:r>
      <w:r w:rsidR="00A03103" w:rsidRPr="00D52B7C">
        <w:rPr>
          <w:lang w:val="fr-FR"/>
        </w:rPr>
        <w:t>sur l'UIT-T en tant qu'organisation de normalisation</w:t>
      </w:r>
      <w:r w:rsidR="00952BB4">
        <w:rPr>
          <w:szCs w:val="24"/>
          <w:lang w:val="fr-FR" w:eastAsia="ja-JP"/>
        </w:rPr>
        <w:t>.</w:t>
      </w:r>
    </w:p>
    <w:p w:rsidR="00A03103" w:rsidRPr="00D52B7C" w:rsidRDefault="00A03103" w:rsidP="00F2134B">
      <w:pPr>
        <w:rPr>
          <w:lang w:val="fr-FR"/>
        </w:rPr>
      </w:pPr>
      <w:r w:rsidRPr="00D52B7C">
        <w:rPr>
          <w:lang w:val="fr-FR"/>
        </w:rPr>
        <w:t>L'UIT-T devrait</w:t>
      </w:r>
      <w:r w:rsidR="00F2134B" w:rsidRPr="00D52B7C">
        <w:rPr>
          <w:lang w:val="fr-FR"/>
        </w:rPr>
        <w:t xml:space="preserve"> intensifier la </w:t>
      </w:r>
      <w:r w:rsidRPr="00D52B7C">
        <w:rPr>
          <w:lang w:val="fr-FR"/>
        </w:rPr>
        <w:t xml:space="preserve">coopération et </w:t>
      </w:r>
      <w:r w:rsidR="00F2134B" w:rsidRPr="00D52B7C">
        <w:rPr>
          <w:lang w:val="fr-FR"/>
        </w:rPr>
        <w:t xml:space="preserve">la </w:t>
      </w:r>
      <w:r w:rsidRPr="00D52B7C">
        <w:rPr>
          <w:lang w:val="fr-FR"/>
        </w:rPr>
        <w:t>collaboration avec les secteurs qui doivent appliquer les normes relatives aux télécommunications/TIC.</w:t>
      </w:r>
    </w:p>
    <w:p w:rsidR="00A06550" w:rsidRPr="00D52B7C" w:rsidRDefault="00A03103" w:rsidP="00F2134B">
      <w:pPr>
        <w:tabs>
          <w:tab w:val="clear" w:pos="1134"/>
          <w:tab w:val="clear" w:pos="1871"/>
          <w:tab w:val="clear" w:pos="2268"/>
        </w:tabs>
        <w:overflowPunct/>
        <w:autoSpaceDE/>
        <w:autoSpaceDN/>
        <w:adjustRightInd/>
        <w:textAlignment w:val="auto"/>
        <w:rPr>
          <w:szCs w:val="24"/>
          <w:lang w:val="fr-FR" w:eastAsia="ja-JP"/>
        </w:rPr>
      </w:pPr>
      <w:r w:rsidRPr="00D52B7C">
        <w:rPr>
          <w:lang w:val="fr-FR"/>
        </w:rPr>
        <w:t>L'UIT-T devrait conserver son rôle de premier plan dans l'élaboration de normes</w:t>
      </w:r>
      <w:r w:rsidR="00F2134B" w:rsidRPr="00D52B7C">
        <w:rPr>
          <w:lang w:val="fr-FR"/>
        </w:rPr>
        <w:t xml:space="preserve"> relatives aux</w:t>
      </w:r>
      <w:r w:rsidR="00FC0ACA" w:rsidRPr="00D52B7C">
        <w:rPr>
          <w:lang w:val="fr-FR"/>
        </w:rPr>
        <w:t xml:space="preserve"> </w:t>
      </w:r>
      <w:r w:rsidRPr="00D52B7C">
        <w:rPr>
          <w:lang w:val="fr-FR"/>
        </w:rPr>
        <w:t>télécommunications internationales/TIC</w:t>
      </w:r>
      <w:r w:rsidR="00FC0ACA" w:rsidRPr="00D52B7C">
        <w:rPr>
          <w:lang w:val="fr-FR"/>
        </w:rPr>
        <w:t>,</w:t>
      </w:r>
      <w:r w:rsidR="00F2134B" w:rsidRPr="00D52B7C">
        <w:rPr>
          <w:lang w:val="fr-FR"/>
        </w:rPr>
        <w:t xml:space="preserve"> notamment en vue</w:t>
      </w:r>
      <w:r w:rsidR="00FC0ACA" w:rsidRPr="00D52B7C">
        <w:rPr>
          <w:lang w:val="fr-FR"/>
        </w:rPr>
        <w:t xml:space="preserve"> </w:t>
      </w:r>
      <w:r w:rsidRPr="00D52B7C">
        <w:rPr>
          <w:lang w:val="fr-FR"/>
        </w:rPr>
        <w:t xml:space="preserve">d'associer davantage d'acteurs du secteur privé (y compris </w:t>
      </w:r>
      <w:r w:rsidR="00F2134B" w:rsidRPr="00D52B7C">
        <w:rPr>
          <w:lang w:val="fr-FR"/>
        </w:rPr>
        <w:t>d</w:t>
      </w:r>
      <w:r w:rsidRPr="00D52B7C">
        <w:rPr>
          <w:lang w:val="fr-FR"/>
        </w:rPr>
        <w:t>es établissements universitaires) à ses activités de normalisation</w:t>
      </w:r>
      <w:r w:rsidR="00F2134B" w:rsidRPr="00D52B7C">
        <w:rPr>
          <w:lang w:val="fr-FR"/>
        </w:rPr>
        <w:t>,</w:t>
      </w:r>
      <w:r w:rsidR="00FC0ACA" w:rsidRPr="00D52B7C">
        <w:rPr>
          <w:lang w:val="fr-FR"/>
        </w:rPr>
        <w:t xml:space="preserve"> </w:t>
      </w:r>
      <w:r w:rsidR="00F2134B" w:rsidRPr="00D52B7C">
        <w:rPr>
          <w:lang w:val="fr-FR"/>
        </w:rPr>
        <w:t>et</w:t>
      </w:r>
      <w:r w:rsidRPr="00D52B7C">
        <w:rPr>
          <w:lang w:val="fr-FR"/>
        </w:rPr>
        <w:t xml:space="preserve"> jouer un rôle actif</w:t>
      </w:r>
      <w:r w:rsidR="00F2134B" w:rsidRPr="00D52B7C">
        <w:rPr>
          <w:lang w:val="fr-FR"/>
        </w:rPr>
        <w:t>,</w:t>
      </w:r>
      <w:r w:rsidRPr="00D52B7C">
        <w:rPr>
          <w:lang w:val="fr-FR"/>
        </w:rPr>
        <w:t xml:space="preserve"> en sa qualité d'institution spécialisée des Nations Unies</w:t>
      </w:r>
      <w:r w:rsidR="00F2134B" w:rsidRPr="00D52B7C">
        <w:rPr>
          <w:lang w:val="fr-FR"/>
        </w:rPr>
        <w:t>,</w:t>
      </w:r>
      <w:r w:rsidRPr="00D52B7C">
        <w:rPr>
          <w:lang w:val="fr-FR"/>
        </w:rPr>
        <w:t xml:space="preserve"> </w:t>
      </w:r>
      <w:r w:rsidR="00F2134B" w:rsidRPr="00D52B7C">
        <w:rPr>
          <w:lang w:val="fr-FR"/>
        </w:rPr>
        <w:t>en aidant</w:t>
      </w:r>
      <w:r w:rsidRPr="00D52B7C">
        <w:rPr>
          <w:lang w:val="fr-FR"/>
        </w:rPr>
        <w:t xml:space="preserve"> les pays en développement à réduire l'écart en matière de normalisation, conjointement avec les organisations s'occupant de développement</w:t>
      </w:r>
      <w:r w:rsidR="00A06550" w:rsidRPr="00D52B7C">
        <w:rPr>
          <w:szCs w:val="24"/>
          <w:lang w:val="fr-FR" w:eastAsia="ja-JP"/>
        </w:rPr>
        <w:t>.</w:t>
      </w:r>
    </w:p>
    <w:p w:rsidR="00A03103" w:rsidRPr="00D52B7C" w:rsidRDefault="001520AA" w:rsidP="00F2134B">
      <w:pPr>
        <w:tabs>
          <w:tab w:val="clear" w:pos="1134"/>
          <w:tab w:val="clear" w:pos="1871"/>
          <w:tab w:val="clear" w:pos="2268"/>
        </w:tabs>
        <w:overflowPunct/>
        <w:autoSpaceDE/>
        <w:autoSpaceDN/>
        <w:adjustRightInd/>
        <w:textAlignment w:val="auto"/>
        <w:rPr>
          <w:lang w:val="fr-FR"/>
        </w:rPr>
      </w:pPr>
      <w:r w:rsidRPr="00D52B7C">
        <w:rPr>
          <w:lang w:val="fr-FR"/>
        </w:rPr>
        <w:t>L</w:t>
      </w:r>
      <w:r w:rsidR="00A03103" w:rsidRPr="00D52B7C">
        <w:rPr>
          <w:lang w:val="fr-FR"/>
        </w:rPr>
        <w:t>e Comité d'examen s'est acquitté avec succès des principales tâches qui lui avaient été confiées</w:t>
      </w:r>
      <w:r w:rsidR="00F2134B" w:rsidRPr="00D52B7C">
        <w:rPr>
          <w:lang w:val="fr-FR"/>
        </w:rPr>
        <w:t xml:space="preserve"> </w:t>
      </w:r>
      <w:r w:rsidR="00A03103" w:rsidRPr="00D52B7C">
        <w:rPr>
          <w:lang w:val="fr-FR"/>
        </w:rPr>
        <w:t>aux termes de la Résolution 82 (</w:t>
      </w:r>
      <w:r w:rsidR="00A03103" w:rsidRPr="00D52B7C">
        <w:rPr>
          <w:szCs w:val="24"/>
          <w:lang w:val="fr-FR" w:eastAsia="ja-JP"/>
        </w:rPr>
        <w:t>Dubaï,</w:t>
      </w:r>
      <w:r w:rsidR="00A03103" w:rsidRPr="00D52B7C">
        <w:rPr>
          <w:lang w:val="fr-FR"/>
        </w:rPr>
        <w:t xml:space="preserve"> 2012) de l'AMNT.</w:t>
      </w:r>
    </w:p>
    <w:p w:rsidR="00A06550" w:rsidRPr="00D52B7C" w:rsidRDefault="00A03103" w:rsidP="001520AA">
      <w:pPr>
        <w:tabs>
          <w:tab w:val="clear" w:pos="1134"/>
          <w:tab w:val="clear" w:pos="1871"/>
          <w:tab w:val="clear" w:pos="2268"/>
        </w:tabs>
        <w:overflowPunct/>
        <w:autoSpaceDE/>
        <w:autoSpaceDN/>
        <w:adjustRightInd/>
        <w:textAlignment w:val="auto"/>
        <w:rPr>
          <w:szCs w:val="24"/>
          <w:lang w:val="fr-FR" w:eastAsia="ja-JP"/>
        </w:rPr>
      </w:pPr>
      <w:r w:rsidRPr="00D52B7C">
        <w:rPr>
          <w:lang w:val="fr-FR"/>
        </w:rPr>
        <w:t>Il est proposé que</w:t>
      </w:r>
      <w:r w:rsidR="00FC0ACA" w:rsidRPr="00D52B7C">
        <w:rPr>
          <w:lang w:val="fr-FR"/>
        </w:rPr>
        <w:t xml:space="preserve"> </w:t>
      </w:r>
      <w:r w:rsidR="00F2134B" w:rsidRPr="00D52B7C">
        <w:rPr>
          <w:lang w:val="fr-FR"/>
        </w:rPr>
        <w:t xml:space="preserve">la </w:t>
      </w:r>
      <w:r w:rsidRPr="00D52B7C">
        <w:rPr>
          <w:lang w:val="fr-FR"/>
        </w:rPr>
        <w:t xml:space="preserve">Résolution 82 de l'AMNT soit supprimée </w:t>
      </w:r>
      <w:r w:rsidR="001520AA" w:rsidRPr="00D52B7C">
        <w:rPr>
          <w:lang w:val="fr-FR"/>
        </w:rPr>
        <w:t>lors de</w:t>
      </w:r>
      <w:r w:rsidRPr="00D52B7C">
        <w:rPr>
          <w:lang w:val="fr-FR"/>
        </w:rPr>
        <w:t xml:space="preserve"> l'AMNT-16</w:t>
      </w:r>
      <w:r w:rsidR="00A06550" w:rsidRPr="00D52B7C">
        <w:rPr>
          <w:iCs/>
          <w:szCs w:val="24"/>
          <w:lang w:val="fr-FR" w:eastAsia="ja-JP"/>
        </w:rPr>
        <w:t xml:space="preserve"> </w:t>
      </w:r>
      <w:r w:rsidRPr="00D52B7C">
        <w:rPr>
          <w:iCs/>
          <w:szCs w:val="24"/>
          <w:lang w:val="fr-FR" w:eastAsia="ja-JP"/>
        </w:rPr>
        <w:t xml:space="preserve">et que le GCNT </w:t>
      </w:r>
      <w:r w:rsidRPr="00D52B7C">
        <w:rPr>
          <w:lang w:val="fr-FR"/>
        </w:rPr>
        <w:t>continue</w:t>
      </w:r>
      <w:r w:rsidR="00F2134B" w:rsidRPr="00D52B7C">
        <w:rPr>
          <w:lang w:val="fr-FR"/>
        </w:rPr>
        <w:t xml:space="preserve"> </w:t>
      </w:r>
      <w:r w:rsidRPr="00D52B7C">
        <w:rPr>
          <w:lang w:val="fr-FR"/>
        </w:rPr>
        <w:t>d'exercer ses fonctions</w:t>
      </w:r>
      <w:r w:rsidR="00F2134B" w:rsidRPr="00D52B7C">
        <w:rPr>
          <w:lang w:val="fr-FR"/>
        </w:rPr>
        <w:t xml:space="preserve"> d</w:t>
      </w:r>
      <w:r w:rsidR="00FC0ACA" w:rsidRPr="00D52B7C">
        <w:rPr>
          <w:lang w:val="fr-FR"/>
        </w:rPr>
        <w:t>'</w:t>
      </w:r>
      <w:r w:rsidR="00F2134B" w:rsidRPr="00D52B7C">
        <w:rPr>
          <w:lang w:val="fr-FR"/>
        </w:rPr>
        <w:t>examen actuelles</w:t>
      </w:r>
      <w:r w:rsidRPr="00D52B7C">
        <w:rPr>
          <w:lang w:val="fr-FR"/>
        </w:rPr>
        <w:t xml:space="preserve">, par l'intermédiaire de ses différents Groupes du Rapporteur, par exemple celui sur la stratégie </w:t>
      </w:r>
      <w:r w:rsidR="001520AA" w:rsidRPr="00D52B7C">
        <w:rPr>
          <w:lang w:val="fr-FR"/>
        </w:rPr>
        <w:t xml:space="preserve">en matière </w:t>
      </w:r>
      <w:r w:rsidRPr="00D52B7C">
        <w:rPr>
          <w:lang w:val="fr-FR"/>
        </w:rPr>
        <w:t>de normalisation, ou celui sur le renforcement de la collaboration et des méthodes de travai</w:t>
      </w:r>
      <w:r w:rsidR="00F873DE" w:rsidRPr="00D52B7C">
        <w:rPr>
          <w:lang w:val="fr-FR"/>
        </w:rPr>
        <w:t>l</w:t>
      </w:r>
      <w:r w:rsidR="00A06550" w:rsidRPr="00D52B7C">
        <w:rPr>
          <w:iCs/>
          <w:szCs w:val="24"/>
          <w:lang w:val="fr-FR" w:eastAsia="ja-JP"/>
        </w:rPr>
        <w:t>.</w:t>
      </w:r>
    </w:p>
    <w:p w:rsidR="00A06550" w:rsidRPr="00D52B7C" w:rsidRDefault="00A06550" w:rsidP="00A06550">
      <w:pPr>
        <w:tabs>
          <w:tab w:val="clear" w:pos="1134"/>
          <w:tab w:val="clear" w:pos="1871"/>
          <w:tab w:val="clear" w:pos="2268"/>
        </w:tabs>
        <w:overflowPunct/>
        <w:autoSpaceDE/>
        <w:autoSpaceDN/>
        <w:adjustRightInd/>
        <w:spacing w:before="0"/>
        <w:textAlignment w:val="auto"/>
        <w:rPr>
          <w:szCs w:val="24"/>
          <w:lang w:val="fr-FR" w:eastAsia="ja-JP"/>
        </w:rPr>
      </w:pPr>
      <w:r w:rsidRPr="00D52B7C">
        <w:rPr>
          <w:szCs w:val="24"/>
          <w:lang w:val="fr-FR" w:eastAsia="ja-JP"/>
        </w:rPr>
        <w:br w:type="page"/>
      </w:r>
    </w:p>
    <w:p w:rsidR="00A06550" w:rsidRPr="00D52B7C" w:rsidRDefault="00A06550" w:rsidP="009C2283">
      <w:pPr>
        <w:pStyle w:val="Annextitle"/>
        <w:rPr>
          <w:lang w:val="fr-FR"/>
        </w:rPr>
      </w:pPr>
      <w:bookmarkStart w:id="16" w:name="AnnexA"/>
      <w:bookmarkStart w:id="17" w:name="_Toc456366815"/>
      <w:r w:rsidRPr="00D52B7C">
        <w:rPr>
          <w:lang w:val="fr-FR"/>
        </w:rPr>
        <w:lastRenderedPageBreak/>
        <w:t>Annex</w:t>
      </w:r>
      <w:r w:rsidR="00CA36C8" w:rsidRPr="00D52B7C">
        <w:rPr>
          <w:lang w:val="fr-FR"/>
        </w:rPr>
        <w:t>e</w:t>
      </w:r>
      <w:r w:rsidRPr="00D52B7C">
        <w:rPr>
          <w:lang w:val="fr-FR"/>
        </w:rPr>
        <w:t xml:space="preserve"> A</w:t>
      </w:r>
      <w:bookmarkEnd w:id="16"/>
      <w:r w:rsidR="00CA36C8" w:rsidRPr="00D52B7C">
        <w:rPr>
          <w:lang w:val="fr-FR"/>
        </w:rPr>
        <w:br/>
      </w:r>
      <w:r w:rsidRPr="00D52B7C">
        <w:rPr>
          <w:lang w:val="fr-FR"/>
        </w:rPr>
        <w:br/>
      </w:r>
      <w:bookmarkEnd w:id="17"/>
      <w:r w:rsidR="009C2283" w:rsidRPr="00D52B7C">
        <w:rPr>
          <w:lang w:val="fr-FR"/>
        </w:rPr>
        <w:t>Documents examinés par le Comité examen</w:t>
      </w:r>
    </w:p>
    <w:p w:rsidR="00CA36C8" w:rsidRPr="00D52B7C" w:rsidRDefault="003E7C15" w:rsidP="00CA36C8">
      <w:pPr>
        <w:pStyle w:val="TableNo"/>
        <w:rPr>
          <w:bCs/>
          <w:lang w:val="fr-FR" w:eastAsia="ja-JP"/>
        </w:rPr>
      </w:pPr>
      <w:r w:rsidRPr="00D52B7C">
        <w:rPr>
          <w:bCs/>
          <w:lang w:val="fr-FR" w:eastAsia="ja-JP"/>
        </w:rPr>
        <w:t xml:space="preserve">TABLEAU </w:t>
      </w:r>
      <w:r w:rsidR="00A06550" w:rsidRPr="00D52B7C">
        <w:rPr>
          <w:bCs/>
          <w:lang w:val="fr-FR" w:eastAsia="ja-JP"/>
        </w:rPr>
        <w:t>1</w:t>
      </w:r>
    </w:p>
    <w:p w:rsidR="00A06550" w:rsidRPr="00D52B7C" w:rsidRDefault="00CA36C8" w:rsidP="00CA36C8">
      <w:pPr>
        <w:pStyle w:val="Tabletitle"/>
        <w:rPr>
          <w:lang w:val="fr-FR" w:eastAsia="ja-JP"/>
        </w:rPr>
      </w:pPr>
      <w:r w:rsidRPr="00D52B7C">
        <w:rPr>
          <w:lang w:val="fr-FR"/>
        </w:rPr>
        <w:t>Réunions du Comité d'examen de l'UIT-T et rapports des réunions</w:t>
      </w:r>
    </w:p>
    <w:tbl>
      <w:tblPr>
        <w:tblStyle w:val="TableGrid"/>
        <w:tblW w:w="0" w:type="auto"/>
        <w:jc w:val="center"/>
        <w:tblLayout w:type="fixed"/>
        <w:tblLook w:val="0000" w:firstRow="0" w:lastRow="0" w:firstColumn="0" w:lastColumn="0" w:noHBand="0" w:noVBand="0"/>
      </w:tblPr>
      <w:tblGrid>
        <w:gridCol w:w="3261"/>
        <w:gridCol w:w="1985"/>
      </w:tblGrid>
      <w:tr w:rsidR="00A06550" w:rsidRPr="006E2BA9" w:rsidTr="00C7505F">
        <w:trPr>
          <w:tblHeader/>
          <w:jc w:val="center"/>
        </w:trPr>
        <w:tc>
          <w:tcPr>
            <w:tcW w:w="3261" w:type="dxa"/>
            <w:shd w:val="clear" w:color="auto" w:fill="auto"/>
          </w:tcPr>
          <w:p w:rsidR="00A06550" w:rsidRPr="00D52B7C" w:rsidRDefault="00A06550" w:rsidP="00C7505F">
            <w:pPr>
              <w:pStyle w:val="Tablehead"/>
              <w:rPr>
                <w:lang w:val="fr-FR"/>
              </w:rPr>
            </w:pPr>
            <w:r w:rsidRPr="00D52B7C">
              <w:rPr>
                <w:lang w:val="fr-FR"/>
              </w:rPr>
              <w:t>Dates</w:t>
            </w:r>
          </w:p>
        </w:tc>
        <w:tc>
          <w:tcPr>
            <w:tcW w:w="1985" w:type="dxa"/>
            <w:shd w:val="clear" w:color="auto" w:fill="auto"/>
          </w:tcPr>
          <w:p w:rsidR="00A06550" w:rsidRPr="00D52B7C" w:rsidRDefault="00A06550" w:rsidP="009C2283">
            <w:pPr>
              <w:pStyle w:val="Tablehead"/>
              <w:rPr>
                <w:lang w:val="fr-FR"/>
              </w:rPr>
            </w:pPr>
            <w:r w:rsidRPr="00D52B7C">
              <w:rPr>
                <w:lang w:val="fr-FR"/>
              </w:rPr>
              <w:t>R</w:t>
            </w:r>
            <w:r w:rsidR="009C2283" w:rsidRPr="00D52B7C">
              <w:rPr>
                <w:lang w:val="fr-FR"/>
              </w:rPr>
              <w:t>ap</w:t>
            </w:r>
            <w:r w:rsidRPr="00D52B7C">
              <w:rPr>
                <w:lang w:val="fr-FR"/>
              </w:rPr>
              <w:t>ports</w:t>
            </w:r>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3 juin 2013</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0" w:history="1">
              <w:r w:rsidR="003E7C15" w:rsidRPr="00D52B7C">
                <w:rPr>
                  <w:color w:val="0000FF"/>
                  <w:sz w:val="22"/>
                  <w:u w:val="single"/>
                  <w:lang w:val="fr-FR"/>
                </w:rPr>
                <w:t>Revcom-R1</w:t>
              </w:r>
            </w:hyperlink>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16 et 17 janvier 2014</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1" w:history="1">
              <w:r w:rsidR="003E7C15" w:rsidRPr="00D52B7C">
                <w:rPr>
                  <w:color w:val="0000FF"/>
                  <w:sz w:val="22"/>
                  <w:u w:val="single"/>
                  <w:lang w:val="fr-FR"/>
                </w:rPr>
                <w:t>Revcom-R2</w:t>
              </w:r>
            </w:hyperlink>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16 et 19 juin 2014</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2" w:history="1">
              <w:r w:rsidR="003E7C15" w:rsidRPr="00D52B7C">
                <w:rPr>
                  <w:color w:val="0000FF"/>
                  <w:sz w:val="22"/>
                  <w:u w:val="single"/>
                  <w:lang w:val="fr-FR"/>
                </w:rPr>
                <w:t>Revcom-R3r1</w:t>
              </w:r>
            </w:hyperlink>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19-21 janvier 2015</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3" w:history="1">
              <w:r w:rsidR="003E7C15" w:rsidRPr="00D52B7C">
                <w:rPr>
                  <w:color w:val="0000FF"/>
                  <w:sz w:val="22"/>
                  <w:u w:val="single"/>
                  <w:lang w:val="fr-FR"/>
                </w:rPr>
                <w:t>Revcom-R4</w:t>
              </w:r>
            </w:hyperlink>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29 mai - 1er juin 2015</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4" w:history="1">
              <w:r w:rsidR="003E7C15" w:rsidRPr="00D52B7C">
                <w:rPr>
                  <w:color w:val="0000FF"/>
                  <w:sz w:val="22"/>
                  <w:u w:val="single"/>
                  <w:lang w:val="fr-FR"/>
                </w:rPr>
                <w:t>Revcom-R5</w:t>
              </w:r>
            </w:hyperlink>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28-29 janvier 2016</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5" w:history="1">
              <w:r w:rsidR="003E7C15" w:rsidRPr="00D52B7C">
                <w:rPr>
                  <w:color w:val="0000FF"/>
                  <w:sz w:val="22"/>
                  <w:u w:val="single"/>
                  <w:lang w:val="fr-FR"/>
                </w:rPr>
                <w:t>Revcom-R6</w:t>
              </w:r>
            </w:hyperlink>
          </w:p>
        </w:tc>
      </w:tr>
      <w:tr w:rsidR="003E7C15" w:rsidRPr="006E2BA9" w:rsidTr="00C7505F">
        <w:trPr>
          <w:jc w:val="center"/>
        </w:trPr>
        <w:tc>
          <w:tcPr>
            <w:tcW w:w="3261" w:type="dxa"/>
            <w:shd w:val="clear" w:color="auto" w:fill="auto"/>
          </w:tcPr>
          <w:p w:rsidR="003E7C15" w:rsidRPr="00D52B7C" w:rsidRDefault="003E7C15" w:rsidP="003E7C15">
            <w:pPr>
              <w:pStyle w:val="Tabletext"/>
              <w:jc w:val="center"/>
              <w:rPr>
                <w:lang w:val="fr-FR"/>
              </w:rPr>
            </w:pPr>
            <w:r w:rsidRPr="00D52B7C">
              <w:rPr>
                <w:lang w:val="fr-FR"/>
              </w:rPr>
              <w:t>15 juillet 2016</w:t>
            </w:r>
          </w:p>
        </w:tc>
        <w:tc>
          <w:tcPr>
            <w:tcW w:w="1985" w:type="dxa"/>
            <w:shd w:val="clear" w:color="auto" w:fill="auto"/>
          </w:tcPr>
          <w:p w:rsidR="003E7C15" w:rsidRPr="00D52B7C" w:rsidRDefault="00D409B4" w:rsidP="003E7C1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16" w:history="1">
              <w:r w:rsidR="003E7C15" w:rsidRPr="00D52B7C">
                <w:rPr>
                  <w:color w:val="0000FF"/>
                  <w:sz w:val="22"/>
                  <w:u w:val="single"/>
                  <w:lang w:val="fr-FR"/>
                </w:rPr>
                <w:t>Revcom-R7</w:t>
              </w:r>
            </w:hyperlink>
          </w:p>
        </w:tc>
      </w:tr>
    </w:tbl>
    <w:p w:rsidR="00CA36C8" w:rsidRPr="00D52B7C" w:rsidRDefault="003E7C15" w:rsidP="00CA36C8">
      <w:pPr>
        <w:pStyle w:val="TableNo"/>
        <w:rPr>
          <w:bCs/>
          <w:lang w:val="fr-FR" w:eastAsia="ja-JP"/>
        </w:rPr>
      </w:pPr>
      <w:r w:rsidRPr="00D52B7C">
        <w:rPr>
          <w:bCs/>
          <w:lang w:val="fr-FR" w:eastAsia="ja-JP"/>
        </w:rPr>
        <w:t xml:space="preserve">TABLEAU </w:t>
      </w:r>
      <w:r w:rsidR="00A06550" w:rsidRPr="00D52B7C">
        <w:rPr>
          <w:bCs/>
          <w:lang w:val="fr-FR" w:eastAsia="ja-JP"/>
        </w:rPr>
        <w:t>2</w:t>
      </w:r>
    </w:p>
    <w:p w:rsidR="00A06550" w:rsidRPr="00D52B7C" w:rsidRDefault="003E7C15" w:rsidP="00CA36C8">
      <w:pPr>
        <w:pStyle w:val="Tabletitle"/>
        <w:rPr>
          <w:lang w:val="fr-FR" w:eastAsia="ja-JP"/>
        </w:rPr>
      </w:pPr>
      <w:r w:rsidRPr="00D52B7C">
        <w:rPr>
          <w:lang w:val="fr-FR"/>
        </w:rPr>
        <w:t>Questionnaire sur la restructuration de l'UIT-T et la collaboration</w:t>
      </w:r>
    </w:p>
    <w:tbl>
      <w:tblPr>
        <w:tblStyle w:val="TableGrid"/>
        <w:tblW w:w="10149" w:type="dxa"/>
        <w:jc w:val="center"/>
        <w:tblLayout w:type="fixed"/>
        <w:tblLook w:val="04A0" w:firstRow="1" w:lastRow="0" w:firstColumn="1" w:lastColumn="0" w:noHBand="0" w:noVBand="1"/>
      </w:tblPr>
      <w:tblGrid>
        <w:gridCol w:w="2041"/>
        <w:gridCol w:w="1871"/>
        <w:gridCol w:w="6237"/>
      </w:tblGrid>
      <w:tr w:rsidR="00A06550" w:rsidRPr="006E2BA9" w:rsidTr="00BE5C93">
        <w:trPr>
          <w:tblHeader/>
          <w:jc w:val="center"/>
        </w:trPr>
        <w:tc>
          <w:tcPr>
            <w:tcW w:w="2041" w:type="dxa"/>
            <w:shd w:val="clear" w:color="auto" w:fill="auto"/>
            <w:hideMark/>
          </w:tcPr>
          <w:p w:rsidR="00A06550" w:rsidRPr="00D52B7C" w:rsidRDefault="00A06550" w:rsidP="00D409B4">
            <w:pPr>
              <w:pStyle w:val="Tablehead"/>
              <w:rPr>
                <w:lang w:val="fr-FR"/>
              </w:rPr>
            </w:pPr>
            <w:r w:rsidRPr="00D52B7C">
              <w:rPr>
                <w:lang w:val="fr-FR"/>
              </w:rPr>
              <w:t>Doc</w:t>
            </w:r>
            <w:r w:rsidR="009C2283" w:rsidRPr="00D52B7C">
              <w:rPr>
                <w:lang w:val="fr-FR"/>
              </w:rPr>
              <w:t>ument</w:t>
            </w:r>
            <w:r w:rsidRPr="00D52B7C">
              <w:rPr>
                <w:lang w:val="fr-FR"/>
              </w:rPr>
              <w:t>.</w:t>
            </w:r>
          </w:p>
        </w:tc>
        <w:tc>
          <w:tcPr>
            <w:tcW w:w="1871" w:type="dxa"/>
            <w:shd w:val="clear" w:color="auto" w:fill="auto"/>
            <w:hideMark/>
          </w:tcPr>
          <w:p w:rsidR="00A06550" w:rsidRPr="00D52B7C" w:rsidRDefault="00BE5C93" w:rsidP="00C7505F">
            <w:pPr>
              <w:pStyle w:val="Tablehead"/>
              <w:rPr>
                <w:lang w:val="fr-FR"/>
              </w:rPr>
            </w:pPr>
            <w:r w:rsidRPr="00D52B7C">
              <w:rPr>
                <w:lang w:val="fr-FR"/>
              </w:rPr>
              <w:t>Auteur</w:t>
            </w:r>
          </w:p>
        </w:tc>
        <w:tc>
          <w:tcPr>
            <w:tcW w:w="6237" w:type="dxa"/>
            <w:shd w:val="clear" w:color="auto" w:fill="auto"/>
            <w:hideMark/>
          </w:tcPr>
          <w:p w:rsidR="00A06550" w:rsidRPr="00D52B7C" w:rsidRDefault="00BE5C93" w:rsidP="00C7505F">
            <w:pPr>
              <w:pStyle w:val="Tablehead"/>
              <w:rPr>
                <w:lang w:val="fr-FR"/>
              </w:rPr>
            </w:pPr>
            <w:r w:rsidRPr="00D52B7C">
              <w:rPr>
                <w:lang w:val="fr-FR"/>
              </w:rPr>
              <w:t>Sujet</w:t>
            </w:r>
          </w:p>
        </w:tc>
      </w:tr>
      <w:tr w:rsidR="00BE5C93" w:rsidRPr="006E2BA9" w:rsidTr="00BE5C93">
        <w:trPr>
          <w:jc w:val="center"/>
        </w:trPr>
        <w:tc>
          <w:tcPr>
            <w:tcW w:w="2041" w:type="dxa"/>
            <w:shd w:val="clear" w:color="auto" w:fill="auto"/>
          </w:tcPr>
          <w:p w:rsidR="00BE5C93" w:rsidRPr="00D52B7C" w:rsidRDefault="00D409B4" w:rsidP="00D409B4">
            <w:pPr>
              <w:pStyle w:val="Tabletext"/>
              <w:jc w:val="center"/>
              <w:rPr>
                <w:lang w:val="fr-FR"/>
              </w:rPr>
            </w:pPr>
            <w:hyperlink r:id="rId17" w:history="1">
              <w:r w:rsidR="00BE5C93" w:rsidRPr="00D52B7C">
                <w:rPr>
                  <w:rStyle w:val="Hyperlink"/>
                  <w:lang w:val="fr-FR"/>
                </w:rPr>
                <w:t>TD 84/</w:t>
              </w:r>
              <w:proofErr w:type="spellStart"/>
              <w:r w:rsidR="00BE5C93" w:rsidRPr="00D52B7C">
                <w:rPr>
                  <w:rStyle w:val="Hyperlink"/>
                  <w:lang w:val="fr-FR"/>
                </w:rPr>
                <w:t>RevCom</w:t>
              </w:r>
              <w:proofErr w:type="spellEnd"/>
            </w:hyperlink>
            <w:r w:rsidR="00BE5C93" w:rsidRPr="00D52B7C">
              <w:rPr>
                <w:lang w:val="fr-FR"/>
              </w:rPr>
              <w:t xml:space="preserve"> (juin 2014)</w:t>
            </w:r>
          </w:p>
        </w:tc>
        <w:tc>
          <w:tcPr>
            <w:tcW w:w="1871" w:type="dxa"/>
            <w:shd w:val="clear" w:color="auto" w:fill="auto"/>
          </w:tcPr>
          <w:p w:rsidR="00BE5C93" w:rsidRPr="00D52B7C" w:rsidRDefault="00BE5C93" w:rsidP="00BE5C93">
            <w:pPr>
              <w:pStyle w:val="Tabletext"/>
              <w:rPr>
                <w:lang w:val="fr-FR"/>
              </w:rPr>
            </w:pPr>
            <w:r w:rsidRPr="00D52B7C">
              <w:rPr>
                <w:lang w:val="fr-FR"/>
              </w:rPr>
              <w:t>Vice-Président, Comité d'examen</w:t>
            </w:r>
          </w:p>
        </w:tc>
        <w:tc>
          <w:tcPr>
            <w:tcW w:w="6237" w:type="dxa"/>
            <w:shd w:val="clear" w:color="auto" w:fill="auto"/>
          </w:tcPr>
          <w:p w:rsidR="00BE5C93" w:rsidRPr="00D52B7C" w:rsidRDefault="00BE5C93" w:rsidP="00BE5C93">
            <w:pPr>
              <w:pStyle w:val="Tabletext"/>
              <w:rPr>
                <w:lang w:val="fr-FR"/>
              </w:rPr>
            </w:pPr>
            <w:r w:rsidRPr="00D52B7C">
              <w:rPr>
                <w:lang w:val="fr-FR"/>
              </w:rPr>
              <w:t xml:space="preserve">Points essentiels du Questionnaire </w:t>
            </w:r>
          </w:p>
        </w:tc>
      </w:tr>
      <w:tr w:rsidR="00BE5C93" w:rsidRPr="00D409B4" w:rsidTr="00BE5C93">
        <w:trPr>
          <w:jc w:val="center"/>
        </w:trPr>
        <w:tc>
          <w:tcPr>
            <w:tcW w:w="2041" w:type="dxa"/>
            <w:shd w:val="clear" w:color="auto" w:fill="auto"/>
          </w:tcPr>
          <w:p w:rsidR="00BE5C93" w:rsidRPr="00D52B7C" w:rsidRDefault="00D409B4" w:rsidP="00D409B4">
            <w:pPr>
              <w:pStyle w:val="Tabletext"/>
              <w:jc w:val="center"/>
              <w:rPr>
                <w:lang w:val="fr-FR"/>
              </w:rPr>
            </w:pPr>
            <w:hyperlink r:id="rId18" w:history="1">
              <w:r w:rsidR="00BE5C93" w:rsidRPr="00D52B7C">
                <w:rPr>
                  <w:rStyle w:val="Hyperlink"/>
                  <w:lang w:val="fr-FR"/>
                </w:rPr>
                <w:t>TD 85/</w:t>
              </w:r>
              <w:proofErr w:type="spellStart"/>
              <w:r w:rsidR="00BE5C93" w:rsidRPr="00D52B7C">
                <w:rPr>
                  <w:rStyle w:val="Hyperlink"/>
                  <w:lang w:val="fr-FR"/>
                </w:rPr>
                <w:t>RevCom</w:t>
              </w:r>
              <w:proofErr w:type="spellEnd"/>
            </w:hyperlink>
            <w:r w:rsidR="00BE5C93" w:rsidRPr="00D52B7C">
              <w:rPr>
                <w:lang w:val="fr-FR"/>
              </w:rPr>
              <w:t xml:space="preserve"> (juin 2014)</w:t>
            </w:r>
          </w:p>
        </w:tc>
        <w:tc>
          <w:tcPr>
            <w:tcW w:w="1871" w:type="dxa"/>
            <w:shd w:val="clear" w:color="auto" w:fill="auto"/>
          </w:tcPr>
          <w:p w:rsidR="00BE5C93" w:rsidRPr="00D52B7C" w:rsidRDefault="00BE5C93" w:rsidP="00BE5C93">
            <w:pPr>
              <w:pStyle w:val="Tabletext"/>
              <w:rPr>
                <w:lang w:val="fr-FR"/>
              </w:rPr>
            </w:pPr>
            <w:r w:rsidRPr="00D52B7C">
              <w:rPr>
                <w:lang w:val="fr-FR"/>
              </w:rPr>
              <w:t>TSB</w:t>
            </w:r>
          </w:p>
        </w:tc>
        <w:tc>
          <w:tcPr>
            <w:tcW w:w="6237" w:type="dxa"/>
            <w:shd w:val="clear" w:color="auto" w:fill="auto"/>
          </w:tcPr>
          <w:p w:rsidR="00BE5C93" w:rsidRPr="00D52B7C" w:rsidRDefault="00BE5C93" w:rsidP="00BE5C93">
            <w:pPr>
              <w:pStyle w:val="Tabletext"/>
              <w:rPr>
                <w:lang w:val="fr-FR"/>
              </w:rPr>
            </w:pPr>
            <w:r w:rsidRPr="00D52B7C">
              <w:rPr>
                <w:lang w:val="fr-FR"/>
              </w:rPr>
              <w:t xml:space="preserve">Résumé des réponses apportées au Questionnaire </w:t>
            </w:r>
          </w:p>
        </w:tc>
      </w:tr>
    </w:tbl>
    <w:p w:rsidR="00CA36C8" w:rsidRPr="00D52B7C" w:rsidRDefault="003E7C15" w:rsidP="00CA36C8">
      <w:pPr>
        <w:pStyle w:val="TableNo"/>
        <w:rPr>
          <w:bCs/>
          <w:lang w:val="fr-FR" w:eastAsia="ja-JP"/>
        </w:rPr>
      </w:pPr>
      <w:r w:rsidRPr="00D52B7C">
        <w:rPr>
          <w:bCs/>
          <w:lang w:val="fr-FR" w:eastAsia="ja-JP"/>
        </w:rPr>
        <w:t xml:space="preserve">TABLEAU </w:t>
      </w:r>
      <w:r w:rsidR="00A06550" w:rsidRPr="00D52B7C">
        <w:rPr>
          <w:bCs/>
          <w:lang w:val="fr-FR" w:eastAsia="ja-JP"/>
        </w:rPr>
        <w:t>3</w:t>
      </w:r>
    </w:p>
    <w:p w:rsidR="00A06550" w:rsidRPr="00D52B7C" w:rsidRDefault="00BE5C93" w:rsidP="00CA36C8">
      <w:pPr>
        <w:pStyle w:val="Tabletitle"/>
        <w:rPr>
          <w:lang w:val="fr-FR" w:eastAsia="ja-JP"/>
        </w:rPr>
      </w:pPr>
      <w:r w:rsidRPr="00D52B7C">
        <w:rPr>
          <w:lang w:val="fr-FR"/>
        </w:rPr>
        <w:t xml:space="preserve">Statistiques/rapports d'activité concernant les activités </w:t>
      </w:r>
      <w:r w:rsidRPr="00D52B7C">
        <w:rPr>
          <w:lang w:val="fr-FR"/>
        </w:rPr>
        <w:br/>
        <w:t>de normalisation de l'UIT</w:t>
      </w:r>
      <w:r w:rsidRPr="00D52B7C">
        <w:rPr>
          <w:lang w:val="fr-FR"/>
        </w:rPr>
        <w:noBreakHyphen/>
        <w:t>T</w:t>
      </w:r>
    </w:p>
    <w:tbl>
      <w:tblPr>
        <w:tblStyle w:val="TableGrid"/>
        <w:tblW w:w="10091" w:type="dxa"/>
        <w:jc w:val="center"/>
        <w:tblLayout w:type="fixed"/>
        <w:tblLook w:val="04A0" w:firstRow="1" w:lastRow="0" w:firstColumn="1" w:lastColumn="0" w:noHBand="0" w:noVBand="1"/>
      </w:tblPr>
      <w:tblGrid>
        <w:gridCol w:w="2069"/>
        <w:gridCol w:w="1786"/>
        <w:gridCol w:w="6236"/>
      </w:tblGrid>
      <w:tr w:rsidR="00A06550" w:rsidRPr="006E2BA9" w:rsidTr="00BE5C93">
        <w:trPr>
          <w:tblHeader/>
          <w:jc w:val="center"/>
        </w:trPr>
        <w:tc>
          <w:tcPr>
            <w:tcW w:w="2069" w:type="dxa"/>
            <w:shd w:val="clear" w:color="auto" w:fill="auto"/>
          </w:tcPr>
          <w:p w:rsidR="00A06550" w:rsidRPr="00D52B7C" w:rsidRDefault="00A06550" w:rsidP="00D409B4">
            <w:pPr>
              <w:pStyle w:val="Tablehead"/>
              <w:rPr>
                <w:lang w:val="fr-FR"/>
              </w:rPr>
            </w:pPr>
            <w:r w:rsidRPr="00D52B7C">
              <w:rPr>
                <w:lang w:val="fr-FR"/>
              </w:rPr>
              <w:t>Doc.</w:t>
            </w:r>
          </w:p>
        </w:tc>
        <w:tc>
          <w:tcPr>
            <w:tcW w:w="1786" w:type="dxa"/>
            <w:shd w:val="clear" w:color="auto" w:fill="auto"/>
          </w:tcPr>
          <w:p w:rsidR="00A06550" w:rsidRPr="00D52B7C" w:rsidRDefault="00BE5C93" w:rsidP="00C7505F">
            <w:pPr>
              <w:pStyle w:val="Tablehead"/>
              <w:rPr>
                <w:lang w:val="fr-FR"/>
              </w:rPr>
            </w:pPr>
            <w:r w:rsidRPr="00D52B7C">
              <w:rPr>
                <w:lang w:val="fr-FR"/>
              </w:rPr>
              <w:t>Auteur</w:t>
            </w:r>
          </w:p>
        </w:tc>
        <w:tc>
          <w:tcPr>
            <w:tcW w:w="6236" w:type="dxa"/>
            <w:shd w:val="clear" w:color="auto" w:fill="auto"/>
          </w:tcPr>
          <w:p w:rsidR="00A06550" w:rsidRPr="00D52B7C" w:rsidRDefault="00BE5C93" w:rsidP="00C7505F">
            <w:pPr>
              <w:pStyle w:val="Tablehead"/>
              <w:rPr>
                <w:lang w:val="fr-FR"/>
              </w:rPr>
            </w:pPr>
            <w:r w:rsidRPr="00D52B7C">
              <w:rPr>
                <w:lang w:val="fr-FR"/>
              </w:rPr>
              <w:t>Sujet</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rFonts w:asciiTheme="majorBidi" w:hAnsiTheme="majorBidi"/>
                <w:lang w:val="fr-FR"/>
              </w:rPr>
            </w:pPr>
            <w:hyperlink r:id="rId19" w:history="1">
              <w:r w:rsidR="00BE5C93" w:rsidRPr="00D52B7C">
                <w:rPr>
                  <w:rStyle w:val="Hyperlink"/>
                  <w:lang w:val="fr-FR"/>
                </w:rPr>
                <w:t>TD 237/</w:t>
              </w:r>
              <w:proofErr w:type="spellStart"/>
              <w:r w:rsidR="00BE5C93" w:rsidRPr="00D52B7C">
                <w:rPr>
                  <w:rStyle w:val="Hyperlink"/>
                  <w:lang w:val="fr-FR"/>
                </w:rPr>
                <w:t>RevCom</w:t>
              </w:r>
              <w:proofErr w:type="spellEnd"/>
            </w:hyperlink>
            <w:r w:rsidR="00BE5C93" w:rsidRPr="00D52B7C">
              <w:rPr>
                <w:lang w:val="fr-FR"/>
              </w:rPr>
              <w:t xml:space="preserve"> (juillet 2016)</w:t>
            </w:r>
          </w:p>
        </w:tc>
        <w:tc>
          <w:tcPr>
            <w:tcW w:w="1786" w:type="dxa"/>
            <w:shd w:val="clear" w:color="auto" w:fill="auto"/>
          </w:tcPr>
          <w:p w:rsidR="00BE5C93" w:rsidRPr="00D52B7C" w:rsidRDefault="00BE5C93" w:rsidP="00BE5C93">
            <w:pPr>
              <w:pStyle w:val="Tabletext"/>
              <w:rPr>
                <w:rFonts w:asciiTheme="majorBidi" w:hAnsiTheme="majorBidi"/>
                <w:lang w:val="fr-FR"/>
              </w:rPr>
            </w:pPr>
            <w:r w:rsidRPr="00D52B7C">
              <w:rPr>
                <w:lang w:val="fr-FR"/>
              </w:rPr>
              <w:t>TSB</w:t>
            </w:r>
          </w:p>
        </w:tc>
        <w:tc>
          <w:tcPr>
            <w:tcW w:w="6236" w:type="dxa"/>
            <w:shd w:val="clear" w:color="auto" w:fill="auto"/>
          </w:tcPr>
          <w:p w:rsidR="00BE5C93" w:rsidRPr="00D52B7C" w:rsidRDefault="00BE5C93" w:rsidP="00BE5C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lang w:val="fr-FR"/>
              </w:rPr>
            </w:pPr>
            <w:r w:rsidRPr="00D52B7C">
              <w:rPr>
                <w:lang w:val="fr-FR"/>
              </w:rPr>
              <w:t xml:space="preserve">Statistiques: téléchargement des Recommandations UIT-T (situation au 1er juillet 2016) </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rFonts w:asciiTheme="majorBidi" w:hAnsiTheme="majorBidi" w:cstheme="majorBidi"/>
                <w:szCs w:val="22"/>
                <w:lang w:val="fr-FR"/>
              </w:rPr>
            </w:pPr>
            <w:hyperlink r:id="rId20" w:history="1">
              <w:r w:rsidR="00BE5C93" w:rsidRPr="00D52B7C">
                <w:rPr>
                  <w:rStyle w:val="Hyperlink"/>
                  <w:lang w:val="fr-FR"/>
                </w:rPr>
                <w:t>TD 236/</w:t>
              </w:r>
              <w:proofErr w:type="spellStart"/>
              <w:r w:rsidR="00BE5C93" w:rsidRPr="00D52B7C">
                <w:rPr>
                  <w:rStyle w:val="Hyperlink"/>
                  <w:lang w:val="fr-FR"/>
                </w:rPr>
                <w:t>RevCom</w:t>
              </w:r>
              <w:proofErr w:type="spellEnd"/>
            </w:hyperlink>
            <w:r w:rsidR="00BE5C93" w:rsidRPr="00D52B7C">
              <w:rPr>
                <w:lang w:val="fr-FR"/>
              </w:rPr>
              <w:t xml:space="preserve"> (juillet 2016)</w:t>
            </w:r>
          </w:p>
        </w:tc>
        <w:tc>
          <w:tcPr>
            <w:tcW w:w="1786" w:type="dxa"/>
            <w:shd w:val="clear" w:color="auto" w:fill="auto"/>
          </w:tcPr>
          <w:p w:rsidR="00BE5C93" w:rsidRPr="00D52B7C" w:rsidRDefault="00BE5C93" w:rsidP="00BE5C93">
            <w:pPr>
              <w:pStyle w:val="Tabletext"/>
              <w:rPr>
                <w:rFonts w:asciiTheme="majorBidi" w:hAnsiTheme="majorBidi" w:cstheme="majorBidi"/>
                <w:szCs w:val="22"/>
                <w:lang w:val="fr-FR"/>
              </w:rPr>
            </w:pPr>
            <w:r w:rsidRPr="00D52B7C">
              <w:rPr>
                <w:lang w:val="fr-FR"/>
              </w:rPr>
              <w:t>TSB</w:t>
            </w:r>
          </w:p>
        </w:tc>
        <w:tc>
          <w:tcPr>
            <w:tcW w:w="6236" w:type="dxa"/>
            <w:shd w:val="clear" w:color="auto" w:fill="auto"/>
          </w:tcPr>
          <w:p w:rsidR="00BE5C93" w:rsidRPr="00D52B7C" w:rsidRDefault="00BE5C93" w:rsidP="009C228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lang w:val="fr-FR"/>
              </w:rPr>
            </w:pPr>
            <w:r w:rsidRPr="00D52B7C">
              <w:rPr>
                <w:lang w:val="fr-FR"/>
              </w:rPr>
              <w:t>Statistiques: liste des</w:t>
            </w:r>
            <w:r w:rsidR="009C2283" w:rsidRPr="00D52B7C">
              <w:rPr>
                <w:lang w:val="fr-FR"/>
              </w:rPr>
              <w:t xml:space="preserve"> sujets d</w:t>
            </w:r>
            <w:r w:rsidR="00FC0ACA" w:rsidRPr="00D52B7C">
              <w:rPr>
                <w:lang w:val="fr-FR"/>
              </w:rPr>
              <w:t>'</w:t>
            </w:r>
            <w:r w:rsidR="009C2283" w:rsidRPr="00D52B7C">
              <w:rPr>
                <w:lang w:val="fr-FR"/>
              </w:rPr>
              <w:t xml:space="preserve">études </w:t>
            </w:r>
            <w:r w:rsidRPr="00D52B7C">
              <w:rPr>
                <w:lang w:val="fr-FR"/>
              </w:rPr>
              <w:t>sans référence ou avec des textes de base de plus de 18 mois</w:t>
            </w:r>
            <w:r w:rsidRPr="00D52B7C">
              <w:rPr>
                <w:rFonts w:asciiTheme="majorBidi" w:hAnsiTheme="majorBidi" w:cstheme="majorBidi"/>
                <w:szCs w:val="22"/>
                <w:lang w:val="fr-FR"/>
              </w:rPr>
              <w:t xml:space="preserve"> (</w:t>
            </w:r>
            <w:r w:rsidRPr="00D52B7C">
              <w:rPr>
                <w:lang w:val="fr-FR"/>
              </w:rPr>
              <w:t>situation au 11 juillet 2016</w:t>
            </w:r>
            <w:r w:rsidRPr="00D52B7C">
              <w:rPr>
                <w:rFonts w:asciiTheme="majorBidi" w:hAnsiTheme="majorBidi" w:cstheme="majorBidi"/>
                <w:szCs w:val="22"/>
                <w:lang w:val="fr-FR"/>
              </w:rPr>
              <w:t>)</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rFonts w:asciiTheme="majorBidi" w:hAnsiTheme="majorBidi" w:cstheme="majorBidi"/>
                <w:szCs w:val="22"/>
                <w:lang w:val="fr-FR"/>
              </w:rPr>
            </w:pPr>
            <w:hyperlink r:id="rId21" w:history="1">
              <w:r w:rsidR="00BE5C93" w:rsidRPr="00D52B7C">
                <w:rPr>
                  <w:rStyle w:val="Hyperlink"/>
                  <w:lang w:val="fr-FR"/>
                </w:rPr>
                <w:t>TD 235/</w:t>
              </w:r>
              <w:proofErr w:type="spellStart"/>
              <w:r w:rsidR="00BE5C93" w:rsidRPr="00D52B7C">
                <w:rPr>
                  <w:rStyle w:val="Hyperlink"/>
                  <w:lang w:val="fr-FR"/>
                </w:rPr>
                <w:t>RevCom</w:t>
              </w:r>
              <w:proofErr w:type="spellEnd"/>
            </w:hyperlink>
            <w:r w:rsidR="00BE5C93" w:rsidRPr="00D52B7C">
              <w:rPr>
                <w:lang w:val="fr-FR"/>
              </w:rPr>
              <w:t xml:space="preserve"> (juillet 2016)</w:t>
            </w:r>
          </w:p>
        </w:tc>
        <w:tc>
          <w:tcPr>
            <w:tcW w:w="1786" w:type="dxa"/>
            <w:shd w:val="clear" w:color="auto" w:fill="auto"/>
          </w:tcPr>
          <w:p w:rsidR="00BE5C93" w:rsidRPr="00D52B7C" w:rsidRDefault="00BE5C93" w:rsidP="00BE5C93">
            <w:pPr>
              <w:pStyle w:val="Tabletext"/>
              <w:rPr>
                <w:rFonts w:asciiTheme="majorBidi" w:hAnsiTheme="majorBidi" w:cstheme="majorBidi"/>
                <w:szCs w:val="22"/>
                <w:lang w:val="fr-FR"/>
              </w:rPr>
            </w:pPr>
            <w:r w:rsidRPr="00D52B7C">
              <w:rPr>
                <w:lang w:val="fr-FR"/>
              </w:rPr>
              <w:t>TSB</w:t>
            </w:r>
          </w:p>
        </w:tc>
        <w:tc>
          <w:tcPr>
            <w:tcW w:w="6236" w:type="dxa"/>
            <w:shd w:val="clear" w:color="auto" w:fill="auto"/>
          </w:tcPr>
          <w:p w:rsidR="00BE5C93" w:rsidRPr="00D52B7C" w:rsidRDefault="00BE5C93" w:rsidP="00BE5C9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lang w:val="fr-FR"/>
              </w:rPr>
            </w:pPr>
            <w:r w:rsidRPr="00D52B7C">
              <w:rPr>
                <w:lang w:val="fr-FR"/>
              </w:rPr>
              <w:t>Statistiques sur les réunions des Groupes du Rapporteur des commissions d'études (janvier 2013 à juin 2016)</w:t>
            </w:r>
            <w:r w:rsidRPr="00D52B7C">
              <w:rPr>
                <w:rFonts w:asciiTheme="majorBidi" w:hAnsiTheme="majorBidi" w:cstheme="majorBidi"/>
                <w:szCs w:val="22"/>
                <w:lang w:val="fr-FR"/>
              </w:rPr>
              <w:t xml:space="preserve"> </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rFonts w:asciiTheme="majorBidi" w:hAnsiTheme="majorBidi" w:cstheme="majorBidi"/>
                <w:szCs w:val="22"/>
                <w:lang w:val="fr-FR"/>
              </w:rPr>
            </w:pPr>
            <w:hyperlink r:id="rId22" w:history="1">
              <w:r w:rsidR="00BE5C93" w:rsidRPr="00D52B7C">
                <w:rPr>
                  <w:rStyle w:val="Hyperlink"/>
                  <w:lang w:val="fr-FR"/>
                </w:rPr>
                <w:t>TD 234/</w:t>
              </w:r>
              <w:proofErr w:type="spellStart"/>
              <w:r w:rsidR="00BE5C93" w:rsidRPr="00D52B7C">
                <w:rPr>
                  <w:rStyle w:val="Hyperlink"/>
                  <w:lang w:val="fr-FR"/>
                </w:rPr>
                <w:t>RevCom</w:t>
              </w:r>
              <w:proofErr w:type="spellEnd"/>
            </w:hyperlink>
            <w:r w:rsidR="00BE5C93" w:rsidRPr="00D52B7C">
              <w:rPr>
                <w:lang w:val="fr-FR"/>
              </w:rPr>
              <w:t xml:space="preserve"> ((juillet 2016)</w:t>
            </w:r>
          </w:p>
        </w:tc>
        <w:tc>
          <w:tcPr>
            <w:tcW w:w="1786" w:type="dxa"/>
            <w:shd w:val="clear" w:color="auto" w:fill="auto"/>
          </w:tcPr>
          <w:p w:rsidR="00BE5C93" w:rsidRPr="00D52B7C" w:rsidRDefault="00BE5C93" w:rsidP="00BE5C93">
            <w:pPr>
              <w:pStyle w:val="Tabletext"/>
              <w:rPr>
                <w:rFonts w:asciiTheme="majorBidi" w:hAnsiTheme="majorBidi" w:cstheme="majorBidi"/>
                <w:szCs w:val="22"/>
                <w:lang w:val="fr-FR"/>
              </w:rPr>
            </w:pPr>
            <w:r w:rsidRPr="00D52B7C">
              <w:rPr>
                <w:lang w:val="fr-FR"/>
              </w:rPr>
              <w:t>TSB</w:t>
            </w:r>
          </w:p>
        </w:tc>
        <w:tc>
          <w:tcPr>
            <w:tcW w:w="6236" w:type="dxa"/>
            <w:shd w:val="clear" w:color="auto" w:fill="auto"/>
          </w:tcPr>
          <w:p w:rsidR="00BE5C93" w:rsidRPr="00D52B7C" w:rsidRDefault="00BE5C93" w:rsidP="001520A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szCs w:val="22"/>
                <w:lang w:val="fr-FR"/>
              </w:rPr>
            </w:pPr>
            <w:r w:rsidRPr="00D52B7C">
              <w:rPr>
                <w:lang w:val="fr-FR"/>
              </w:rPr>
              <w:t>Statistiques: activités des commissions d'études, par</w:t>
            </w:r>
            <w:r w:rsidR="00FC0ACA" w:rsidRPr="00D52B7C">
              <w:rPr>
                <w:lang w:val="fr-FR"/>
              </w:rPr>
              <w:t xml:space="preserve"> </w:t>
            </w:r>
            <w:r w:rsidRPr="00D52B7C">
              <w:rPr>
                <w:lang w:val="fr-FR"/>
              </w:rPr>
              <w:t>commission d'études de l'UIT-T, depuis janvier 2013 (mise à jour</w:t>
            </w:r>
            <w:r w:rsidR="001520AA" w:rsidRPr="00D52B7C">
              <w:rPr>
                <w:lang w:val="fr-FR"/>
              </w:rPr>
              <w:t>:</w:t>
            </w:r>
            <w:r w:rsidRPr="00D52B7C">
              <w:rPr>
                <w:lang w:val="fr-FR"/>
              </w:rPr>
              <w:t xml:space="preserve"> juillet 2016</w:t>
            </w:r>
            <w:r w:rsidRPr="00D52B7C">
              <w:rPr>
                <w:rFonts w:asciiTheme="majorBidi" w:hAnsiTheme="majorBidi" w:cstheme="majorBidi"/>
                <w:szCs w:val="22"/>
                <w:lang w:val="fr-FR"/>
              </w:rPr>
              <w:t>)</w:t>
            </w:r>
          </w:p>
        </w:tc>
      </w:tr>
    </w:tbl>
    <w:p w:rsidR="00CA36C8" w:rsidRPr="00D52B7C" w:rsidRDefault="003E7C15" w:rsidP="00CA36C8">
      <w:pPr>
        <w:pStyle w:val="TableNo"/>
        <w:rPr>
          <w:bCs/>
          <w:lang w:val="fr-FR" w:eastAsia="ja-JP"/>
        </w:rPr>
      </w:pPr>
      <w:r w:rsidRPr="00D52B7C">
        <w:rPr>
          <w:bCs/>
          <w:lang w:val="fr-FR" w:eastAsia="ja-JP"/>
        </w:rPr>
        <w:lastRenderedPageBreak/>
        <w:t xml:space="preserve">TABLEAU </w:t>
      </w:r>
      <w:r w:rsidR="00A06550" w:rsidRPr="00D52B7C">
        <w:rPr>
          <w:bCs/>
          <w:lang w:val="fr-FR" w:eastAsia="ja-JP"/>
        </w:rPr>
        <w:t>4</w:t>
      </w:r>
    </w:p>
    <w:p w:rsidR="00A06550" w:rsidRPr="00D52B7C" w:rsidRDefault="00BE5C93" w:rsidP="00CA36C8">
      <w:pPr>
        <w:pStyle w:val="Tabletitle"/>
        <w:rPr>
          <w:lang w:val="fr-FR" w:eastAsia="ja-JP"/>
        </w:rPr>
      </w:pPr>
      <w:r w:rsidRPr="00D52B7C">
        <w:rPr>
          <w:lang w:val="fr-FR"/>
        </w:rPr>
        <w:t>DT donnant une analyse détaillée des groupes et commissions de l'UIT-T</w:t>
      </w:r>
    </w:p>
    <w:tbl>
      <w:tblPr>
        <w:tblStyle w:val="TableGrid"/>
        <w:tblW w:w="10091" w:type="dxa"/>
        <w:jc w:val="center"/>
        <w:tblLayout w:type="fixed"/>
        <w:tblLook w:val="04A0" w:firstRow="1" w:lastRow="0" w:firstColumn="1" w:lastColumn="0" w:noHBand="0" w:noVBand="1"/>
      </w:tblPr>
      <w:tblGrid>
        <w:gridCol w:w="2069"/>
        <w:gridCol w:w="1786"/>
        <w:gridCol w:w="6236"/>
      </w:tblGrid>
      <w:tr w:rsidR="00A06550" w:rsidRPr="006E2BA9" w:rsidTr="00BE5C93">
        <w:trPr>
          <w:tblHeader/>
          <w:jc w:val="center"/>
        </w:trPr>
        <w:tc>
          <w:tcPr>
            <w:tcW w:w="2069" w:type="dxa"/>
            <w:shd w:val="clear" w:color="auto" w:fill="auto"/>
          </w:tcPr>
          <w:p w:rsidR="00A06550" w:rsidRPr="00D52B7C" w:rsidRDefault="00A06550" w:rsidP="00D409B4">
            <w:pPr>
              <w:pStyle w:val="Tablehead"/>
              <w:rPr>
                <w:lang w:val="fr-FR"/>
              </w:rPr>
            </w:pPr>
            <w:r w:rsidRPr="00D52B7C">
              <w:rPr>
                <w:lang w:val="fr-FR"/>
              </w:rPr>
              <w:t>Doc</w:t>
            </w:r>
            <w:r w:rsidR="009C2283" w:rsidRPr="00D52B7C">
              <w:rPr>
                <w:lang w:val="fr-FR"/>
              </w:rPr>
              <w:t>ument</w:t>
            </w:r>
            <w:r w:rsidRPr="00D52B7C">
              <w:rPr>
                <w:lang w:val="fr-FR"/>
              </w:rPr>
              <w:t>.</w:t>
            </w:r>
          </w:p>
        </w:tc>
        <w:tc>
          <w:tcPr>
            <w:tcW w:w="1786" w:type="dxa"/>
            <w:shd w:val="clear" w:color="auto" w:fill="auto"/>
          </w:tcPr>
          <w:p w:rsidR="00A06550" w:rsidRPr="00D52B7C" w:rsidRDefault="00BE5C93" w:rsidP="00C7505F">
            <w:pPr>
              <w:pStyle w:val="Tablehead"/>
              <w:rPr>
                <w:lang w:val="fr-FR"/>
              </w:rPr>
            </w:pPr>
            <w:r w:rsidRPr="00D52B7C">
              <w:rPr>
                <w:lang w:val="fr-FR"/>
              </w:rPr>
              <w:t>Auteur</w:t>
            </w:r>
          </w:p>
        </w:tc>
        <w:tc>
          <w:tcPr>
            <w:tcW w:w="6236" w:type="dxa"/>
            <w:shd w:val="clear" w:color="auto" w:fill="auto"/>
          </w:tcPr>
          <w:p w:rsidR="00A06550" w:rsidRPr="00D52B7C" w:rsidRDefault="00BE5C93" w:rsidP="00C7505F">
            <w:pPr>
              <w:pStyle w:val="Tablehead"/>
              <w:rPr>
                <w:lang w:val="fr-FR"/>
              </w:rPr>
            </w:pPr>
            <w:r w:rsidRPr="00D52B7C">
              <w:rPr>
                <w:lang w:val="fr-FR"/>
              </w:rPr>
              <w:t>Sujet</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3" w:history="1">
              <w:r w:rsidR="00BE5C93" w:rsidRPr="00D52B7C">
                <w:rPr>
                  <w:rStyle w:val="Hyperlink"/>
                  <w:rFonts w:asciiTheme="majorBidi" w:hAnsiTheme="majorBidi" w:cstheme="majorBidi"/>
                  <w:szCs w:val="22"/>
                  <w:lang w:val="fr-FR"/>
                </w:rPr>
                <w:t>TD 238/</w:t>
              </w:r>
              <w:proofErr w:type="spellStart"/>
              <w:r w:rsidR="00BE5C93" w:rsidRPr="00D52B7C">
                <w:rPr>
                  <w:rStyle w:val="Hyperlink"/>
                  <w:rFonts w:asciiTheme="majorBidi" w:hAnsiTheme="majorBidi" w:cstheme="majorBidi"/>
                  <w:szCs w:val="22"/>
                  <w:lang w:val="fr-FR"/>
                </w:rPr>
                <w:t>RevCom</w:t>
              </w:r>
              <w:proofErr w:type="spellEnd"/>
            </w:hyperlink>
            <w:r w:rsidR="00BE5C93" w:rsidRPr="00D52B7C">
              <w:rPr>
                <w:rFonts w:asciiTheme="majorBidi" w:hAnsiTheme="majorBidi" w:cstheme="majorBidi"/>
                <w:szCs w:val="22"/>
                <w:lang w:val="fr-FR"/>
              </w:rPr>
              <w:t xml:space="preserve"> (juin 2016)</w:t>
            </w:r>
          </w:p>
        </w:tc>
        <w:tc>
          <w:tcPr>
            <w:tcW w:w="1786" w:type="dxa"/>
            <w:shd w:val="clear" w:color="auto" w:fill="auto"/>
          </w:tcPr>
          <w:p w:rsidR="00BE5C93" w:rsidRPr="00D52B7C" w:rsidRDefault="00BE5C93" w:rsidP="00BE5C93">
            <w:pPr>
              <w:pStyle w:val="Tabletext"/>
              <w:rPr>
                <w:lang w:val="fr-FR"/>
              </w:rPr>
            </w:pPr>
            <w:r w:rsidRPr="00D52B7C">
              <w:rPr>
                <w:rFonts w:asciiTheme="majorBidi" w:hAnsiTheme="majorBidi" w:cstheme="majorBidi"/>
                <w:szCs w:val="22"/>
                <w:lang w:val="fr-FR"/>
              </w:rPr>
              <w:t>TSB</w:t>
            </w:r>
          </w:p>
        </w:tc>
        <w:tc>
          <w:tcPr>
            <w:tcW w:w="6236" w:type="dxa"/>
            <w:shd w:val="clear" w:color="auto" w:fill="auto"/>
          </w:tcPr>
          <w:p w:rsidR="00BE5C93" w:rsidRPr="00D52B7C" w:rsidRDefault="00BE5C93" w:rsidP="009C2283">
            <w:pPr>
              <w:pStyle w:val="Tabletext"/>
              <w:rPr>
                <w:lang w:val="fr-FR"/>
              </w:rPr>
            </w:pPr>
            <w:r w:rsidRPr="00D52B7C">
              <w:rPr>
                <w:rFonts w:asciiTheme="majorBidi" w:hAnsiTheme="majorBidi" w:cstheme="majorBidi"/>
                <w:szCs w:val="22"/>
                <w:lang w:val="fr-FR"/>
              </w:rPr>
              <w:t xml:space="preserve">Liste des mécanismes de collaboration </w:t>
            </w:r>
            <w:r w:rsidR="009C2283" w:rsidRPr="00D52B7C">
              <w:rPr>
                <w:rFonts w:asciiTheme="majorBidi" w:hAnsiTheme="majorBidi" w:cstheme="majorBidi"/>
                <w:szCs w:val="22"/>
                <w:lang w:val="fr-FR"/>
              </w:rPr>
              <w:t>de</w:t>
            </w:r>
            <w:r w:rsidR="00FC0ACA" w:rsidRPr="00D52B7C">
              <w:rPr>
                <w:rFonts w:asciiTheme="majorBidi" w:hAnsiTheme="majorBidi" w:cstheme="majorBidi"/>
                <w:szCs w:val="22"/>
                <w:lang w:val="fr-FR"/>
              </w:rPr>
              <w:t xml:space="preserve"> </w:t>
            </w:r>
            <w:r w:rsidRPr="00D52B7C">
              <w:rPr>
                <w:rFonts w:asciiTheme="majorBidi" w:hAnsiTheme="majorBidi" w:cstheme="majorBidi"/>
                <w:szCs w:val="22"/>
                <w:lang w:val="fr-FR"/>
              </w:rPr>
              <w:t>l'UIT-T: groupes spécialisés (FG), activités conjointes de coordination (JCA), initiatives sur des normes mondiales (GSI), Groupes du Rapporteur intersectoriels (IRG)</w:t>
            </w:r>
            <w:r w:rsidR="006E2BA9" w:rsidRPr="006E2BA9">
              <w:rPr>
                <w:rFonts w:asciiTheme="majorBidi" w:hAnsiTheme="majorBidi" w:cstheme="majorBidi"/>
                <w:szCs w:val="22"/>
                <w:lang w:val="fr-FR"/>
              </w:rPr>
              <w:t>, notamment</w:t>
            </w:r>
            <w:r w:rsidRPr="00D52B7C">
              <w:rPr>
                <w:rFonts w:asciiTheme="majorBidi" w:hAnsiTheme="majorBidi" w:cstheme="majorBidi"/>
                <w:szCs w:val="22"/>
                <w:lang w:val="fr-FR"/>
              </w:rPr>
              <w:t xml:space="preserve"> (situation au 20 juin 2016)</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4" w:history="1">
              <w:r w:rsidR="00BE5C93" w:rsidRPr="00D52B7C">
                <w:rPr>
                  <w:rStyle w:val="Hyperlink"/>
                  <w:lang w:val="fr-FR"/>
                </w:rPr>
                <w:t>TD 206R1/</w:t>
              </w:r>
              <w:proofErr w:type="spellStart"/>
              <w:r w:rsidR="00BE5C93" w:rsidRPr="00D52B7C">
                <w:rPr>
                  <w:rStyle w:val="Hyperlink"/>
                  <w:lang w:val="fr-FR"/>
                </w:rPr>
                <w:t>RevCom</w:t>
              </w:r>
              <w:proofErr w:type="spellEnd"/>
            </w:hyperlink>
            <w:r w:rsidR="00BE5C93" w:rsidRPr="00D52B7C">
              <w:rPr>
                <w:lang w:val="fr-FR"/>
              </w:rPr>
              <w:t xml:space="preserve"> (janvier 2016)</w:t>
            </w:r>
          </w:p>
        </w:tc>
        <w:tc>
          <w:tcPr>
            <w:tcW w:w="1786" w:type="dxa"/>
            <w:shd w:val="clear" w:color="auto" w:fill="auto"/>
          </w:tcPr>
          <w:p w:rsidR="00BE5C93" w:rsidRPr="00D52B7C" w:rsidRDefault="00BE5C93" w:rsidP="00BE5C93">
            <w:pPr>
              <w:pStyle w:val="Tabletext"/>
              <w:rPr>
                <w:lang w:val="fr-FR"/>
              </w:rPr>
            </w:pPr>
            <w:r w:rsidRPr="00D52B7C">
              <w:rPr>
                <w:lang w:val="fr-FR"/>
              </w:rPr>
              <w:t xml:space="preserve">TSB </w:t>
            </w:r>
          </w:p>
        </w:tc>
        <w:tc>
          <w:tcPr>
            <w:tcW w:w="6236" w:type="dxa"/>
            <w:shd w:val="clear" w:color="auto" w:fill="auto"/>
          </w:tcPr>
          <w:p w:rsidR="00BE5C93" w:rsidRPr="00D52B7C" w:rsidRDefault="00BE5C93" w:rsidP="00BE5C93">
            <w:pPr>
              <w:pStyle w:val="Tabletext"/>
              <w:rPr>
                <w:lang w:val="fr-FR"/>
              </w:rPr>
            </w:pPr>
            <w:r w:rsidRPr="00D52B7C">
              <w:rPr>
                <w:rFonts w:asciiTheme="majorBidi" w:hAnsiTheme="majorBidi" w:cstheme="majorBidi"/>
                <w:szCs w:val="22"/>
                <w:lang w:val="fr-FR"/>
              </w:rPr>
              <w:t xml:space="preserve">Liste des mécanismes de collaboration à l'UIT-T: groupes spécialisés (FG), activités conjointes de coordination (JCA), initiatives sur des normes mondiales (GSI), Groupes du Rapporteur intersectoriels (IRG) </w:t>
            </w:r>
            <w:r w:rsidRPr="00D52B7C">
              <w:rPr>
                <w:lang w:val="fr-FR"/>
              </w:rPr>
              <w:t>(</w:t>
            </w:r>
            <w:r w:rsidRPr="00D52B7C">
              <w:rPr>
                <w:rFonts w:asciiTheme="majorBidi" w:hAnsiTheme="majorBidi" w:cstheme="majorBidi"/>
                <w:szCs w:val="22"/>
                <w:lang w:val="fr-FR"/>
              </w:rPr>
              <w:t>situation au 18 janvier 2018</w:t>
            </w:r>
            <w:r w:rsidRPr="00D52B7C">
              <w:rPr>
                <w:lang w:val="fr-FR"/>
              </w:rPr>
              <w:t>)</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5" w:history="1">
              <w:r w:rsidR="00BE5C93" w:rsidRPr="00D52B7C">
                <w:rPr>
                  <w:rStyle w:val="Hyperlink"/>
                  <w:lang w:val="fr-FR"/>
                </w:rPr>
                <w:t>TD 185/</w:t>
              </w:r>
              <w:proofErr w:type="spellStart"/>
              <w:r w:rsidR="00BE5C93" w:rsidRPr="00D52B7C">
                <w:rPr>
                  <w:rStyle w:val="Hyperlink"/>
                  <w:lang w:val="fr-FR"/>
                </w:rPr>
                <w:t>RevCom</w:t>
              </w:r>
              <w:proofErr w:type="spellEnd"/>
            </w:hyperlink>
            <w:r w:rsidR="00BE5C93" w:rsidRPr="00D52B7C">
              <w:rPr>
                <w:rStyle w:val="Hyperlink"/>
                <w:lang w:val="fr-FR"/>
              </w:rPr>
              <w:t xml:space="preserve"> </w:t>
            </w:r>
            <w:r w:rsidR="00BE5C93" w:rsidRPr="00D52B7C">
              <w:rPr>
                <w:lang w:val="fr-FR"/>
              </w:rPr>
              <w:t>(mai 2015)</w:t>
            </w:r>
          </w:p>
        </w:tc>
        <w:tc>
          <w:tcPr>
            <w:tcW w:w="1786" w:type="dxa"/>
            <w:shd w:val="clear" w:color="auto" w:fill="auto"/>
          </w:tcPr>
          <w:p w:rsidR="00BE5C93" w:rsidRPr="00D52B7C" w:rsidRDefault="00BE5C93" w:rsidP="00BE5C93">
            <w:pPr>
              <w:pStyle w:val="Tabletext"/>
              <w:rPr>
                <w:lang w:val="fr-FR"/>
              </w:rPr>
            </w:pPr>
            <w:r w:rsidRPr="00D52B7C">
              <w:rPr>
                <w:lang w:val="fr-FR"/>
              </w:rPr>
              <w:t>Coprésident, CITS</w:t>
            </w:r>
          </w:p>
        </w:tc>
        <w:tc>
          <w:tcPr>
            <w:tcW w:w="6236" w:type="dxa"/>
            <w:shd w:val="clear" w:color="auto" w:fill="auto"/>
          </w:tcPr>
          <w:p w:rsidR="00BE5C93" w:rsidRPr="00D52B7C" w:rsidRDefault="00BE5C93" w:rsidP="00BE5C93">
            <w:pPr>
              <w:pStyle w:val="Tabletext"/>
              <w:rPr>
                <w:lang w:val="fr-FR"/>
              </w:rPr>
            </w:pPr>
            <w:r w:rsidRPr="00D52B7C">
              <w:rPr>
                <w:lang w:val="fr-FR"/>
              </w:rPr>
              <w:t>Considérations sur le nouveau type de mécanisme de collaboration multilatérale sur un pied d'égalité (projet expérimental CITS): "Collaboration sur XXX"</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6" w:history="1">
              <w:r w:rsidR="00BE5C93" w:rsidRPr="00D52B7C">
                <w:rPr>
                  <w:rStyle w:val="Hyperlink"/>
                  <w:lang w:val="fr-FR"/>
                </w:rPr>
                <w:t>TD 176/</w:t>
              </w:r>
              <w:proofErr w:type="spellStart"/>
              <w:r w:rsidR="00BE5C93" w:rsidRPr="00D52B7C">
                <w:rPr>
                  <w:rStyle w:val="Hyperlink"/>
                  <w:lang w:val="fr-FR"/>
                </w:rPr>
                <w:t>RevCom</w:t>
              </w:r>
              <w:proofErr w:type="spellEnd"/>
            </w:hyperlink>
            <w:r w:rsidR="00BE5C93" w:rsidRPr="00D52B7C">
              <w:rPr>
                <w:rStyle w:val="Hyperlink"/>
                <w:lang w:val="fr-FR"/>
              </w:rPr>
              <w:t xml:space="preserve"> </w:t>
            </w:r>
            <w:r w:rsidR="00BE5C93" w:rsidRPr="00D52B7C">
              <w:rPr>
                <w:lang w:val="fr-FR"/>
              </w:rPr>
              <w:t>(mai 2015)</w:t>
            </w:r>
          </w:p>
        </w:tc>
        <w:tc>
          <w:tcPr>
            <w:tcW w:w="1786" w:type="dxa"/>
            <w:shd w:val="clear" w:color="auto" w:fill="auto"/>
          </w:tcPr>
          <w:p w:rsidR="00BE5C93" w:rsidRPr="00D52B7C" w:rsidRDefault="00BE5C93" w:rsidP="00BE5C93">
            <w:pPr>
              <w:pStyle w:val="Tabletext"/>
              <w:rPr>
                <w:lang w:val="fr-FR"/>
              </w:rPr>
            </w:pPr>
            <w:r w:rsidRPr="00D52B7C">
              <w:rPr>
                <w:lang w:val="fr-FR"/>
              </w:rPr>
              <w:t>TSB</w:t>
            </w:r>
          </w:p>
        </w:tc>
        <w:tc>
          <w:tcPr>
            <w:tcW w:w="6236" w:type="dxa"/>
            <w:shd w:val="clear" w:color="auto" w:fill="auto"/>
          </w:tcPr>
          <w:p w:rsidR="00BE5C93" w:rsidRPr="00D52B7C" w:rsidRDefault="00BE5C93" w:rsidP="009C2283">
            <w:pPr>
              <w:pStyle w:val="Tabletext"/>
              <w:rPr>
                <w:lang w:val="fr-FR"/>
              </w:rPr>
            </w:pPr>
            <w:r w:rsidRPr="00D52B7C">
              <w:rPr>
                <w:rFonts w:asciiTheme="majorBidi" w:hAnsiTheme="majorBidi" w:cstheme="majorBidi"/>
                <w:szCs w:val="22"/>
                <w:lang w:val="fr-FR"/>
              </w:rPr>
              <w:t xml:space="preserve">Liste des mécanismes de collaboration </w:t>
            </w:r>
            <w:r w:rsidR="009C2283" w:rsidRPr="00D52B7C">
              <w:rPr>
                <w:rFonts w:asciiTheme="majorBidi" w:hAnsiTheme="majorBidi" w:cstheme="majorBidi"/>
                <w:szCs w:val="22"/>
                <w:lang w:val="fr-FR"/>
              </w:rPr>
              <w:t>de</w:t>
            </w:r>
            <w:r w:rsidR="00FC0ACA" w:rsidRPr="00D52B7C">
              <w:rPr>
                <w:rFonts w:asciiTheme="majorBidi" w:hAnsiTheme="majorBidi" w:cstheme="majorBidi"/>
                <w:szCs w:val="22"/>
                <w:lang w:val="fr-FR"/>
              </w:rPr>
              <w:t xml:space="preserve"> </w:t>
            </w:r>
            <w:r w:rsidRPr="00D52B7C">
              <w:rPr>
                <w:rFonts w:asciiTheme="majorBidi" w:hAnsiTheme="majorBidi" w:cstheme="majorBidi"/>
                <w:szCs w:val="22"/>
                <w:lang w:val="fr-FR"/>
              </w:rPr>
              <w:t>l'UIT-T: groupes spécialisés (FG), activités conjointes de coordination (JCA), initiatives sur des normes mondiales (GSI) et Groupes du Rapporteur intersectoriels (IRG)</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7" w:history="1">
              <w:r w:rsidR="00BE5C93" w:rsidRPr="00D52B7C">
                <w:rPr>
                  <w:rStyle w:val="Hyperlink"/>
                  <w:lang w:val="fr-FR"/>
                </w:rPr>
                <w:t>TD 168/</w:t>
              </w:r>
              <w:proofErr w:type="spellStart"/>
              <w:r w:rsidR="00BE5C93" w:rsidRPr="00D52B7C">
                <w:rPr>
                  <w:rStyle w:val="Hyperlink"/>
                  <w:lang w:val="fr-FR"/>
                </w:rPr>
                <w:t>RevCom</w:t>
              </w:r>
              <w:proofErr w:type="spellEnd"/>
            </w:hyperlink>
            <w:r w:rsidR="00BE5C93" w:rsidRPr="00D52B7C">
              <w:rPr>
                <w:rStyle w:val="Hyperlink"/>
                <w:lang w:val="fr-FR"/>
              </w:rPr>
              <w:t xml:space="preserve"> </w:t>
            </w:r>
            <w:r w:rsidR="00BE5C93" w:rsidRPr="00D52B7C">
              <w:rPr>
                <w:lang w:val="fr-FR"/>
              </w:rPr>
              <w:t>(mai 2015)</w:t>
            </w:r>
          </w:p>
        </w:tc>
        <w:tc>
          <w:tcPr>
            <w:tcW w:w="1786" w:type="dxa"/>
            <w:shd w:val="clear" w:color="auto" w:fill="auto"/>
          </w:tcPr>
          <w:p w:rsidR="00BE5C93" w:rsidRPr="00D52B7C" w:rsidRDefault="00BE5C93" w:rsidP="00BE5C93">
            <w:pPr>
              <w:pStyle w:val="Tabletext"/>
              <w:rPr>
                <w:lang w:val="fr-FR"/>
              </w:rPr>
            </w:pPr>
            <w:r w:rsidRPr="00D52B7C">
              <w:rPr>
                <w:lang w:val="fr-FR"/>
              </w:rPr>
              <w:t>TSB</w:t>
            </w:r>
          </w:p>
        </w:tc>
        <w:tc>
          <w:tcPr>
            <w:tcW w:w="6236" w:type="dxa"/>
            <w:shd w:val="clear" w:color="auto" w:fill="auto"/>
          </w:tcPr>
          <w:p w:rsidR="00BE5C93" w:rsidRPr="00D52B7C" w:rsidRDefault="00BE5C93" w:rsidP="00BE5C93">
            <w:pPr>
              <w:pStyle w:val="Tabletext"/>
              <w:rPr>
                <w:lang w:val="fr-FR"/>
              </w:rPr>
            </w:pPr>
            <w:r w:rsidRPr="00D52B7C">
              <w:rPr>
                <w:lang w:val="fr-FR"/>
              </w:rPr>
              <w:t xml:space="preserve">Résumé des caractéristiques des divers groupes et commissions de l'UIT-T </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8" w:history="1">
              <w:r w:rsidR="00BE5C93" w:rsidRPr="00D52B7C">
                <w:rPr>
                  <w:rStyle w:val="Hyperlink"/>
                  <w:lang w:val="fr-FR"/>
                </w:rPr>
                <w:t>TD 164R1/</w:t>
              </w:r>
              <w:proofErr w:type="spellStart"/>
              <w:r w:rsidR="00BE5C93" w:rsidRPr="00D52B7C">
                <w:rPr>
                  <w:rStyle w:val="Hyperlink"/>
                  <w:lang w:val="fr-FR"/>
                </w:rPr>
                <w:t>RevCom</w:t>
              </w:r>
              <w:proofErr w:type="spellEnd"/>
            </w:hyperlink>
            <w:r w:rsidR="00BE5C93" w:rsidRPr="00D52B7C">
              <w:rPr>
                <w:lang w:val="fr-FR"/>
              </w:rPr>
              <w:t xml:space="preserve"> (mai 2015)</w:t>
            </w:r>
          </w:p>
        </w:tc>
        <w:tc>
          <w:tcPr>
            <w:tcW w:w="1786" w:type="dxa"/>
            <w:shd w:val="clear" w:color="auto" w:fill="auto"/>
          </w:tcPr>
          <w:p w:rsidR="00BE5C93" w:rsidRPr="00D52B7C" w:rsidRDefault="00BE5C93" w:rsidP="00BE5C93">
            <w:pPr>
              <w:pStyle w:val="Tabletext"/>
              <w:rPr>
                <w:lang w:val="fr-FR"/>
              </w:rPr>
            </w:pPr>
            <w:r w:rsidRPr="00D52B7C">
              <w:rPr>
                <w:lang w:val="fr-FR"/>
              </w:rPr>
              <w:t>TSB</w:t>
            </w:r>
          </w:p>
        </w:tc>
        <w:tc>
          <w:tcPr>
            <w:tcW w:w="6236" w:type="dxa"/>
            <w:shd w:val="clear" w:color="auto" w:fill="auto"/>
          </w:tcPr>
          <w:p w:rsidR="00BE5C93" w:rsidRPr="00D52B7C" w:rsidRDefault="00BE5C93" w:rsidP="00BE5C93">
            <w:pPr>
              <w:pStyle w:val="Tabletext"/>
              <w:rPr>
                <w:lang w:val="fr-FR"/>
              </w:rPr>
            </w:pPr>
            <w:r w:rsidRPr="00D52B7C">
              <w:rPr>
                <w:lang w:val="fr-FR"/>
              </w:rPr>
              <w:t>Statistiques des activités des groupes spécialisés par commission d'études de l'UIT-T, depuis janvier 2013 (mise à jour</w:t>
            </w:r>
            <w:r w:rsidR="001520AA" w:rsidRPr="00D52B7C">
              <w:rPr>
                <w:lang w:val="fr-FR"/>
              </w:rPr>
              <w:t>:</w:t>
            </w:r>
            <w:r w:rsidRPr="00D52B7C">
              <w:rPr>
                <w:lang w:val="fr-FR"/>
              </w:rPr>
              <w:t xml:space="preserve"> mai 2015) </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29" w:history="1">
              <w:r w:rsidR="00BE5C93" w:rsidRPr="00D52B7C">
                <w:rPr>
                  <w:rStyle w:val="Hyperlink"/>
                  <w:lang w:val="fr-FR"/>
                </w:rPr>
                <w:t>TD 121/</w:t>
              </w:r>
              <w:proofErr w:type="spellStart"/>
              <w:r w:rsidR="00BE5C93" w:rsidRPr="00D52B7C">
                <w:rPr>
                  <w:rStyle w:val="Hyperlink"/>
                  <w:lang w:val="fr-FR"/>
                </w:rPr>
                <w:t>RevCom</w:t>
              </w:r>
              <w:proofErr w:type="spellEnd"/>
            </w:hyperlink>
            <w:r w:rsidR="00BE5C93" w:rsidRPr="00D52B7C">
              <w:rPr>
                <w:rStyle w:val="Hyperlink"/>
                <w:lang w:val="fr-FR"/>
              </w:rPr>
              <w:t xml:space="preserve"> </w:t>
            </w:r>
            <w:r w:rsidR="00BE5C93" w:rsidRPr="00D52B7C">
              <w:rPr>
                <w:lang w:val="fr-FR"/>
              </w:rPr>
              <w:t>(janvier 2015)</w:t>
            </w:r>
          </w:p>
        </w:tc>
        <w:tc>
          <w:tcPr>
            <w:tcW w:w="1786" w:type="dxa"/>
            <w:shd w:val="clear" w:color="auto" w:fill="auto"/>
          </w:tcPr>
          <w:p w:rsidR="00BE5C93" w:rsidRPr="00D52B7C" w:rsidRDefault="00BE5C93" w:rsidP="00BE5C93">
            <w:pPr>
              <w:pStyle w:val="Tabletext"/>
              <w:rPr>
                <w:lang w:val="fr-FR"/>
              </w:rPr>
            </w:pPr>
            <w:r w:rsidRPr="00D52B7C">
              <w:rPr>
                <w:lang w:val="fr-FR"/>
              </w:rPr>
              <w:t>TSB</w:t>
            </w:r>
          </w:p>
        </w:tc>
        <w:tc>
          <w:tcPr>
            <w:tcW w:w="6236" w:type="dxa"/>
            <w:shd w:val="clear" w:color="auto" w:fill="auto"/>
          </w:tcPr>
          <w:p w:rsidR="00BE5C93" w:rsidRPr="00D52B7C" w:rsidRDefault="00BE5C93" w:rsidP="00BE5C93">
            <w:pPr>
              <w:pStyle w:val="Tabletext"/>
              <w:rPr>
                <w:lang w:val="fr-FR"/>
              </w:rPr>
            </w:pPr>
            <w:r w:rsidRPr="00D52B7C">
              <w:rPr>
                <w:lang w:val="fr-FR"/>
              </w:rPr>
              <w:t xml:space="preserve">Groupes spécialisés de l'UIT-T </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30" w:history="1">
              <w:r w:rsidR="00BE5C93" w:rsidRPr="00D52B7C">
                <w:rPr>
                  <w:rStyle w:val="Hyperlink"/>
                  <w:lang w:val="fr-FR"/>
                </w:rPr>
                <w:t>TD 101R1/</w:t>
              </w:r>
              <w:proofErr w:type="spellStart"/>
              <w:r w:rsidR="00BE5C93" w:rsidRPr="00D52B7C">
                <w:rPr>
                  <w:rStyle w:val="Hyperlink"/>
                  <w:lang w:val="fr-FR"/>
                </w:rPr>
                <w:t>RevCom</w:t>
              </w:r>
              <w:proofErr w:type="spellEnd"/>
            </w:hyperlink>
            <w:r w:rsidR="00BE5C93" w:rsidRPr="00D52B7C">
              <w:rPr>
                <w:lang w:val="fr-FR"/>
              </w:rPr>
              <w:t xml:space="preserve"> (juin 2014)</w:t>
            </w:r>
          </w:p>
        </w:tc>
        <w:tc>
          <w:tcPr>
            <w:tcW w:w="1786" w:type="dxa"/>
            <w:shd w:val="clear" w:color="auto" w:fill="auto"/>
          </w:tcPr>
          <w:p w:rsidR="00BE5C93" w:rsidRPr="00D52B7C" w:rsidRDefault="00BE5C93" w:rsidP="00BE5C93">
            <w:pPr>
              <w:pStyle w:val="Tabletext"/>
              <w:rPr>
                <w:lang w:val="fr-FR"/>
              </w:rPr>
            </w:pPr>
            <w:r w:rsidRPr="00D52B7C">
              <w:rPr>
                <w:lang w:val="fr-FR"/>
              </w:rPr>
              <w:t>TSB</w:t>
            </w:r>
          </w:p>
        </w:tc>
        <w:tc>
          <w:tcPr>
            <w:tcW w:w="6236" w:type="dxa"/>
            <w:shd w:val="clear" w:color="auto" w:fill="auto"/>
          </w:tcPr>
          <w:p w:rsidR="00BE5C93" w:rsidRPr="00D52B7C" w:rsidRDefault="00BE5C93" w:rsidP="00BE5C93">
            <w:pPr>
              <w:pStyle w:val="Tabletext"/>
              <w:rPr>
                <w:lang w:val="fr-FR"/>
              </w:rPr>
            </w:pPr>
            <w:r w:rsidRPr="00D52B7C">
              <w:rPr>
                <w:lang w:val="fr-FR"/>
              </w:rPr>
              <w:t>Groupes spécialisés de l'UIT-T</w:t>
            </w:r>
          </w:p>
        </w:tc>
      </w:tr>
      <w:tr w:rsidR="00BE5C93" w:rsidRPr="00D409B4" w:rsidTr="00BE5C93">
        <w:trPr>
          <w:jc w:val="center"/>
        </w:trPr>
        <w:tc>
          <w:tcPr>
            <w:tcW w:w="2069" w:type="dxa"/>
            <w:shd w:val="clear" w:color="auto" w:fill="auto"/>
          </w:tcPr>
          <w:p w:rsidR="00BE5C93" w:rsidRPr="00D52B7C" w:rsidRDefault="00D409B4" w:rsidP="00D409B4">
            <w:pPr>
              <w:pStyle w:val="Tabletext"/>
              <w:jc w:val="center"/>
              <w:rPr>
                <w:lang w:val="fr-FR"/>
              </w:rPr>
            </w:pPr>
            <w:hyperlink r:id="rId31" w:history="1">
              <w:r w:rsidR="00BE5C93" w:rsidRPr="00D52B7C">
                <w:rPr>
                  <w:rStyle w:val="Hyperlink"/>
                  <w:lang w:val="fr-FR"/>
                </w:rPr>
                <w:t>TD 95R1/</w:t>
              </w:r>
              <w:proofErr w:type="spellStart"/>
              <w:r w:rsidR="00BE5C93" w:rsidRPr="00D52B7C">
                <w:rPr>
                  <w:rStyle w:val="Hyperlink"/>
                  <w:lang w:val="fr-FR"/>
                </w:rPr>
                <w:t>RevCom</w:t>
              </w:r>
              <w:proofErr w:type="spellEnd"/>
            </w:hyperlink>
            <w:r w:rsidR="00BE5C93" w:rsidRPr="00D52B7C">
              <w:rPr>
                <w:rStyle w:val="Hyperlink"/>
                <w:lang w:val="fr-FR"/>
              </w:rPr>
              <w:t xml:space="preserve"> </w:t>
            </w:r>
            <w:r w:rsidR="00BE5C93" w:rsidRPr="00D52B7C">
              <w:rPr>
                <w:lang w:val="fr-FR"/>
              </w:rPr>
              <w:t>(juin 2014)</w:t>
            </w:r>
          </w:p>
        </w:tc>
        <w:tc>
          <w:tcPr>
            <w:tcW w:w="1786" w:type="dxa"/>
            <w:shd w:val="clear" w:color="auto" w:fill="auto"/>
          </w:tcPr>
          <w:p w:rsidR="00BE5C93" w:rsidRPr="00D52B7C" w:rsidRDefault="00BE5C93" w:rsidP="00BE5C93">
            <w:pPr>
              <w:pStyle w:val="Tabletext"/>
              <w:rPr>
                <w:lang w:val="fr-FR"/>
              </w:rPr>
            </w:pPr>
            <w:r w:rsidRPr="00D52B7C">
              <w:rPr>
                <w:lang w:val="fr-FR"/>
              </w:rPr>
              <w:t xml:space="preserve">Président du Comité d'examen </w:t>
            </w:r>
          </w:p>
        </w:tc>
        <w:tc>
          <w:tcPr>
            <w:tcW w:w="6236" w:type="dxa"/>
            <w:shd w:val="clear" w:color="auto" w:fill="auto"/>
          </w:tcPr>
          <w:p w:rsidR="00BE5C93" w:rsidRPr="00D52B7C" w:rsidRDefault="00BE5C93" w:rsidP="00BE5C93">
            <w:pPr>
              <w:pStyle w:val="Tabletext"/>
              <w:rPr>
                <w:lang w:val="fr-FR"/>
              </w:rPr>
            </w:pPr>
            <w:r w:rsidRPr="00D52B7C">
              <w:rPr>
                <w:rFonts w:asciiTheme="majorBidi" w:hAnsiTheme="majorBidi" w:cstheme="majorBidi"/>
                <w:szCs w:val="22"/>
                <w:lang w:val="fr-FR"/>
              </w:rPr>
              <w:t>Liste des mécanismes de collaboration à l'UIT-T: groupes spécialisés (FG), activités conjointes de coordination (JCA), initiatives sur des normes mondiales (GSI) et Groupes du Rapporteur intersectoriels (IRG)</w:t>
            </w:r>
          </w:p>
        </w:tc>
      </w:tr>
    </w:tbl>
    <w:p w:rsidR="00CA36C8" w:rsidRPr="00D52B7C" w:rsidRDefault="003E7C15" w:rsidP="00CA36C8">
      <w:pPr>
        <w:pStyle w:val="TableNo"/>
        <w:rPr>
          <w:bCs/>
          <w:lang w:val="fr-FR" w:eastAsia="ja-JP"/>
        </w:rPr>
      </w:pPr>
      <w:r w:rsidRPr="00D52B7C">
        <w:rPr>
          <w:bCs/>
          <w:lang w:val="fr-FR" w:eastAsia="ja-JP"/>
        </w:rPr>
        <w:t xml:space="preserve">TABLEAU </w:t>
      </w:r>
      <w:r w:rsidR="00A06550" w:rsidRPr="00D52B7C">
        <w:rPr>
          <w:bCs/>
          <w:lang w:val="fr-FR" w:eastAsia="ja-JP"/>
        </w:rPr>
        <w:t>5</w:t>
      </w:r>
    </w:p>
    <w:p w:rsidR="00A06550" w:rsidRPr="00D52B7C" w:rsidRDefault="005E35C6" w:rsidP="009C2283">
      <w:pPr>
        <w:pStyle w:val="Tabletitle"/>
        <w:rPr>
          <w:lang w:val="fr-FR" w:eastAsia="ja-JP"/>
        </w:rPr>
      </w:pPr>
      <w:r w:rsidRPr="00D52B7C">
        <w:rPr>
          <w:lang w:val="fr-FR"/>
        </w:rPr>
        <w:t xml:space="preserve">Rapports </w:t>
      </w:r>
      <w:r w:rsidR="009C2283" w:rsidRPr="00D52B7C">
        <w:rPr>
          <w:lang w:val="fr-FR"/>
        </w:rPr>
        <w:t xml:space="preserve">sur la </w:t>
      </w:r>
      <w:r w:rsidRPr="00D52B7C">
        <w:rPr>
          <w:lang w:val="fr-FR"/>
        </w:rPr>
        <w:t>veille technologique de l'UIT-T</w:t>
      </w:r>
    </w:p>
    <w:tbl>
      <w:tblPr>
        <w:tblStyle w:val="TableGrid"/>
        <w:tblW w:w="10091" w:type="dxa"/>
        <w:jc w:val="center"/>
        <w:tblLayout w:type="fixed"/>
        <w:tblLook w:val="04A0" w:firstRow="1" w:lastRow="0" w:firstColumn="1" w:lastColumn="0" w:noHBand="0" w:noVBand="1"/>
      </w:tblPr>
      <w:tblGrid>
        <w:gridCol w:w="2069"/>
        <w:gridCol w:w="1786"/>
        <w:gridCol w:w="6236"/>
      </w:tblGrid>
      <w:tr w:rsidR="00A06550" w:rsidRPr="006E2BA9" w:rsidTr="00BE5C93">
        <w:trPr>
          <w:tblHeader/>
          <w:jc w:val="center"/>
        </w:trPr>
        <w:tc>
          <w:tcPr>
            <w:tcW w:w="2069" w:type="dxa"/>
            <w:shd w:val="clear" w:color="auto" w:fill="auto"/>
            <w:hideMark/>
          </w:tcPr>
          <w:p w:rsidR="00A06550" w:rsidRPr="00D52B7C" w:rsidRDefault="00A06550" w:rsidP="00D409B4">
            <w:pPr>
              <w:pStyle w:val="Tablehead"/>
              <w:rPr>
                <w:lang w:val="fr-FR"/>
              </w:rPr>
            </w:pPr>
            <w:r w:rsidRPr="00D52B7C">
              <w:rPr>
                <w:lang w:val="fr-FR"/>
              </w:rPr>
              <w:t>Doc.</w:t>
            </w:r>
          </w:p>
        </w:tc>
        <w:tc>
          <w:tcPr>
            <w:tcW w:w="1786" w:type="dxa"/>
            <w:shd w:val="clear" w:color="auto" w:fill="auto"/>
            <w:hideMark/>
          </w:tcPr>
          <w:p w:rsidR="00A06550" w:rsidRPr="00D52B7C" w:rsidRDefault="00BE5C93" w:rsidP="00C7505F">
            <w:pPr>
              <w:pStyle w:val="Tablehead"/>
              <w:rPr>
                <w:lang w:val="fr-FR"/>
              </w:rPr>
            </w:pPr>
            <w:r w:rsidRPr="00D52B7C">
              <w:rPr>
                <w:lang w:val="fr-FR"/>
              </w:rPr>
              <w:t>Auteur</w:t>
            </w:r>
          </w:p>
        </w:tc>
        <w:tc>
          <w:tcPr>
            <w:tcW w:w="6236" w:type="dxa"/>
            <w:shd w:val="clear" w:color="auto" w:fill="auto"/>
            <w:hideMark/>
          </w:tcPr>
          <w:p w:rsidR="00A06550" w:rsidRPr="00D52B7C" w:rsidRDefault="00BE5C93" w:rsidP="00C7505F">
            <w:pPr>
              <w:pStyle w:val="Tablehead"/>
              <w:rPr>
                <w:lang w:val="fr-FR"/>
              </w:rPr>
            </w:pPr>
            <w:r w:rsidRPr="00D52B7C">
              <w:rPr>
                <w:lang w:val="fr-FR"/>
              </w:rPr>
              <w:t>Sujet</w:t>
            </w:r>
          </w:p>
        </w:tc>
      </w:tr>
      <w:tr w:rsidR="005E35C6" w:rsidRPr="00D409B4" w:rsidTr="00BE5C93">
        <w:trPr>
          <w:jc w:val="center"/>
        </w:trPr>
        <w:tc>
          <w:tcPr>
            <w:tcW w:w="2069" w:type="dxa"/>
            <w:shd w:val="clear" w:color="auto" w:fill="auto"/>
          </w:tcPr>
          <w:p w:rsidR="005E35C6" w:rsidRPr="00D52B7C" w:rsidRDefault="00D409B4" w:rsidP="00D409B4">
            <w:pPr>
              <w:pStyle w:val="Tabletext"/>
              <w:jc w:val="center"/>
              <w:rPr>
                <w:lang w:val="fr-FR"/>
              </w:rPr>
            </w:pPr>
            <w:hyperlink r:id="rId32" w:history="1">
              <w:r w:rsidR="005E35C6" w:rsidRPr="00D52B7C">
                <w:rPr>
                  <w:rStyle w:val="Hyperlink"/>
                  <w:lang w:val="fr-FR"/>
                </w:rPr>
                <w:t>TD 135/</w:t>
              </w:r>
              <w:proofErr w:type="spellStart"/>
              <w:r w:rsidR="005E35C6" w:rsidRPr="00D52B7C">
                <w:rPr>
                  <w:rStyle w:val="Hyperlink"/>
                  <w:lang w:val="fr-FR"/>
                </w:rPr>
                <w:t>RevCom</w:t>
              </w:r>
              <w:proofErr w:type="spellEnd"/>
            </w:hyperlink>
            <w:r w:rsidR="005E35C6" w:rsidRPr="00D52B7C">
              <w:rPr>
                <w:lang w:val="fr-FR"/>
              </w:rPr>
              <w:t xml:space="preserve"> (janvier 2015)</w:t>
            </w:r>
          </w:p>
        </w:tc>
        <w:tc>
          <w:tcPr>
            <w:tcW w:w="1786" w:type="dxa"/>
            <w:shd w:val="clear" w:color="auto" w:fill="auto"/>
          </w:tcPr>
          <w:p w:rsidR="005E35C6" w:rsidRPr="00D52B7C" w:rsidRDefault="005E35C6" w:rsidP="005E35C6">
            <w:pPr>
              <w:pStyle w:val="Tabletext"/>
              <w:rPr>
                <w:lang w:val="fr-FR"/>
              </w:rPr>
            </w:pPr>
            <w:r w:rsidRPr="00D52B7C">
              <w:rPr>
                <w:lang w:val="fr-FR"/>
              </w:rPr>
              <w:t>TSB</w:t>
            </w:r>
          </w:p>
        </w:tc>
        <w:tc>
          <w:tcPr>
            <w:tcW w:w="6236" w:type="dxa"/>
            <w:shd w:val="clear" w:color="auto" w:fill="auto"/>
          </w:tcPr>
          <w:p w:rsidR="005E35C6" w:rsidRPr="00D52B7C" w:rsidRDefault="005E35C6" w:rsidP="005E35C6">
            <w:pPr>
              <w:pStyle w:val="Tabletext"/>
              <w:rPr>
                <w:lang w:val="fr-FR"/>
              </w:rPr>
            </w:pPr>
            <w:r w:rsidRPr="00D52B7C">
              <w:rPr>
                <w:lang w:val="fr-FR"/>
              </w:rPr>
              <w:t>Rapports</w:t>
            </w:r>
            <w:r w:rsidR="009C2283" w:rsidRPr="00D52B7C">
              <w:rPr>
                <w:lang w:val="fr-FR"/>
              </w:rPr>
              <w:t xml:space="preserve"> sur la </w:t>
            </w:r>
            <w:r w:rsidRPr="00D52B7C">
              <w:rPr>
                <w:lang w:val="fr-FR"/>
              </w:rPr>
              <w:t>veille technologique de l'UIT-T</w:t>
            </w:r>
          </w:p>
        </w:tc>
      </w:tr>
      <w:tr w:rsidR="005E35C6" w:rsidRPr="00D409B4" w:rsidTr="00BE5C93">
        <w:trPr>
          <w:jc w:val="center"/>
        </w:trPr>
        <w:tc>
          <w:tcPr>
            <w:tcW w:w="2069" w:type="dxa"/>
            <w:shd w:val="clear" w:color="auto" w:fill="auto"/>
          </w:tcPr>
          <w:p w:rsidR="005E35C6" w:rsidRPr="00D52B7C" w:rsidRDefault="00D409B4" w:rsidP="00D409B4">
            <w:pPr>
              <w:pStyle w:val="Tabletext"/>
              <w:jc w:val="center"/>
              <w:rPr>
                <w:lang w:val="fr-FR"/>
              </w:rPr>
            </w:pPr>
            <w:hyperlink r:id="rId33" w:history="1">
              <w:r w:rsidR="005E35C6" w:rsidRPr="00D52B7C">
                <w:rPr>
                  <w:rStyle w:val="Hyperlink"/>
                  <w:lang w:val="fr-FR"/>
                </w:rPr>
                <w:t>TD 101R1/</w:t>
              </w:r>
              <w:proofErr w:type="spellStart"/>
              <w:r w:rsidR="005E35C6" w:rsidRPr="00D52B7C">
                <w:rPr>
                  <w:rStyle w:val="Hyperlink"/>
                  <w:lang w:val="fr-FR"/>
                </w:rPr>
                <w:t>RevCom</w:t>
              </w:r>
              <w:proofErr w:type="spellEnd"/>
            </w:hyperlink>
            <w:r w:rsidR="005E35C6" w:rsidRPr="00D52B7C">
              <w:rPr>
                <w:rStyle w:val="Hyperlink"/>
                <w:lang w:val="fr-FR"/>
              </w:rPr>
              <w:t xml:space="preserve"> </w:t>
            </w:r>
            <w:r w:rsidR="005E35C6" w:rsidRPr="00D52B7C">
              <w:rPr>
                <w:lang w:val="fr-FR"/>
              </w:rPr>
              <w:t>(juin 2014)</w:t>
            </w:r>
          </w:p>
        </w:tc>
        <w:tc>
          <w:tcPr>
            <w:tcW w:w="1786" w:type="dxa"/>
            <w:shd w:val="clear" w:color="auto" w:fill="auto"/>
          </w:tcPr>
          <w:p w:rsidR="005E35C6" w:rsidRPr="00D52B7C" w:rsidRDefault="005E35C6" w:rsidP="005E35C6">
            <w:pPr>
              <w:pStyle w:val="Tabletext"/>
              <w:rPr>
                <w:lang w:val="fr-FR"/>
              </w:rPr>
            </w:pPr>
            <w:r w:rsidRPr="00D52B7C">
              <w:rPr>
                <w:lang w:val="fr-FR"/>
              </w:rPr>
              <w:t>TSB</w:t>
            </w:r>
          </w:p>
        </w:tc>
        <w:tc>
          <w:tcPr>
            <w:tcW w:w="6236" w:type="dxa"/>
            <w:shd w:val="clear" w:color="auto" w:fill="auto"/>
          </w:tcPr>
          <w:p w:rsidR="005E35C6" w:rsidRPr="00D52B7C" w:rsidRDefault="005E35C6" w:rsidP="005E35C6">
            <w:pPr>
              <w:pStyle w:val="Tabletext"/>
              <w:rPr>
                <w:lang w:val="fr-FR"/>
              </w:rPr>
            </w:pPr>
            <w:r w:rsidRPr="00D52B7C">
              <w:rPr>
                <w:lang w:val="fr-FR"/>
              </w:rPr>
              <w:t xml:space="preserve">Rapports </w:t>
            </w:r>
            <w:r w:rsidR="009C2283" w:rsidRPr="00D52B7C">
              <w:rPr>
                <w:lang w:val="fr-FR"/>
              </w:rPr>
              <w:t xml:space="preserve">sur la </w:t>
            </w:r>
            <w:r w:rsidRPr="00D52B7C">
              <w:rPr>
                <w:lang w:val="fr-FR"/>
              </w:rPr>
              <w:t>veille technologique de l'UIT-T</w:t>
            </w:r>
          </w:p>
        </w:tc>
      </w:tr>
      <w:tr w:rsidR="005E35C6" w:rsidRPr="00D409B4" w:rsidTr="00BE5C93">
        <w:trPr>
          <w:jc w:val="center"/>
        </w:trPr>
        <w:tc>
          <w:tcPr>
            <w:tcW w:w="2069" w:type="dxa"/>
            <w:shd w:val="clear" w:color="auto" w:fill="auto"/>
          </w:tcPr>
          <w:p w:rsidR="005E35C6" w:rsidRPr="00D52B7C" w:rsidRDefault="00D409B4" w:rsidP="00D409B4">
            <w:pPr>
              <w:pStyle w:val="Tabletext"/>
              <w:jc w:val="center"/>
              <w:rPr>
                <w:lang w:val="fr-FR"/>
              </w:rPr>
            </w:pPr>
            <w:hyperlink r:id="rId34" w:history="1">
              <w:r w:rsidR="005E35C6" w:rsidRPr="00D52B7C">
                <w:rPr>
                  <w:rStyle w:val="Hyperlink"/>
                  <w:lang w:val="fr-FR"/>
                </w:rPr>
                <w:t>TD 47/</w:t>
              </w:r>
              <w:proofErr w:type="spellStart"/>
              <w:r w:rsidR="005E35C6" w:rsidRPr="00D52B7C">
                <w:rPr>
                  <w:rStyle w:val="Hyperlink"/>
                  <w:lang w:val="fr-FR"/>
                </w:rPr>
                <w:t>RevCom</w:t>
              </w:r>
              <w:proofErr w:type="spellEnd"/>
            </w:hyperlink>
            <w:r w:rsidR="005E35C6" w:rsidRPr="00D52B7C">
              <w:rPr>
                <w:rStyle w:val="Hyperlink"/>
                <w:lang w:val="fr-FR"/>
              </w:rPr>
              <w:t xml:space="preserve"> </w:t>
            </w:r>
            <w:r w:rsidR="005E35C6" w:rsidRPr="00D52B7C">
              <w:rPr>
                <w:lang w:val="fr-FR"/>
              </w:rPr>
              <w:t>(décembre 2013)</w:t>
            </w:r>
          </w:p>
        </w:tc>
        <w:tc>
          <w:tcPr>
            <w:tcW w:w="1786" w:type="dxa"/>
            <w:shd w:val="clear" w:color="auto" w:fill="auto"/>
          </w:tcPr>
          <w:p w:rsidR="005E35C6" w:rsidRPr="00D52B7C" w:rsidRDefault="005E35C6" w:rsidP="005E35C6">
            <w:pPr>
              <w:pStyle w:val="Tabletext"/>
              <w:rPr>
                <w:lang w:val="fr-FR"/>
              </w:rPr>
            </w:pPr>
            <w:r w:rsidRPr="00D52B7C">
              <w:rPr>
                <w:lang w:val="fr-FR"/>
              </w:rPr>
              <w:t>TSB</w:t>
            </w:r>
          </w:p>
        </w:tc>
        <w:tc>
          <w:tcPr>
            <w:tcW w:w="6236" w:type="dxa"/>
            <w:shd w:val="clear" w:color="auto" w:fill="auto"/>
          </w:tcPr>
          <w:p w:rsidR="005E35C6" w:rsidRPr="00D52B7C" w:rsidRDefault="005E35C6" w:rsidP="005E35C6">
            <w:pPr>
              <w:pStyle w:val="Tabletext"/>
              <w:rPr>
                <w:lang w:val="fr-FR"/>
              </w:rPr>
            </w:pPr>
            <w:r w:rsidRPr="00D52B7C">
              <w:rPr>
                <w:lang w:val="fr-FR"/>
              </w:rPr>
              <w:t xml:space="preserve">Aperçu des activités de veille technologique </w:t>
            </w:r>
          </w:p>
        </w:tc>
      </w:tr>
      <w:tr w:rsidR="005E35C6" w:rsidRPr="00D409B4" w:rsidTr="00BE5C93">
        <w:trPr>
          <w:jc w:val="center"/>
        </w:trPr>
        <w:tc>
          <w:tcPr>
            <w:tcW w:w="2069" w:type="dxa"/>
            <w:shd w:val="clear" w:color="auto" w:fill="auto"/>
          </w:tcPr>
          <w:p w:rsidR="005E35C6" w:rsidRPr="00D52B7C" w:rsidRDefault="00D409B4" w:rsidP="00D409B4">
            <w:pPr>
              <w:pStyle w:val="Tabletext"/>
              <w:jc w:val="center"/>
              <w:rPr>
                <w:lang w:val="fr-FR"/>
              </w:rPr>
            </w:pPr>
            <w:hyperlink r:id="rId35" w:history="1">
              <w:r w:rsidR="005E35C6" w:rsidRPr="00D52B7C">
                <w:rPr>
                  <w:rStyle w:val="Hyperlink"/>
                  <w:lang w:val="fr-FR"/>
                </w:rPr>
                <w:t>TD 28/</w:t>
              </w:r>
              <w:proofErr w:type="spellStart"/>
              <w:r w:rsidR="005E35C6" w:rsidRPr="00D52B7C">
                <w:rPr>
                  <w:rStyle w:val="Hyperlink"/>
                  <w:lang w:val="fr-FR"/>
                </w:rPr>
                <w:t>RevCom</w:t>
              </w:r>
              <w:proofErr w:type="spellEnd"/>
            </w:hyperlink>
            <w:r w:rsidR="005E35C6" w:rsidRPr="00D52B7C">
              <w:rPr>
                <w:rStyle w:val="Hyperlink"/>
                <w:lang w:val="fr-FR"/>
              </w:rPr>
              <w:t xml:space="preserve"> </w:t>
            </w:r>
            <w:r w:rsidR="005E35C6" w:rsidRPr="00D52B7C">
              <w:rPr>
                <w:lang w:val="fr-FR"/>
              </w:rPr>
              <w:t>(décembre 2013)</w:t>
            </w:r>
          </w:p>
        </w:tc>
        <w:tc>
          <w:tcPr>
            <w:tcW w:w="1786" w:type="dxa"/>
            <w:shd w:val="clear" w:color="auto" w:fill="auto"/>
          </w:tcPr>
          <w:p w:rsidR="005E35C6" w:rsidRPr="00D52B7C" w:rsidRDefault="005E35C6" w:rsidP="005E35C6">
            <w:pPr>
              <w:pStyle w:val="Tabletext"/>
              <w:rPr>
                <w:lang w:val="fr-FR"/>
              </w:rPr>
            </w:pPr>
            <w:r w:rsidRPr="00D52B7C">
              <w:rPr>
                <w:lang w:val="fr-FR"/>
              </w:rPr>
              <w:t>Président du Comité d'examen</w:t>
            </w:r>
          </w:p>
        </w:tc>
        <w:tc>
          <w:tcPr>
            <w:tcW w:w="6236" w:type="dxa"/>
            <w:shd w:val="clear" w:color="auto" w:fill="auto"/>
          </w:tcPr>
          <w:p w:rsidR="005E35C6" w:rsidRPr="00D52B7C" w:rsidRDefault="005E35C6" w:rsidP="005E35C6">
            <w:pPr>
              <w:pStyle w:val="Tabletext"/>
              <w:rPr>
                <w:lang w:val="fr-FR"/>
              </w:rPr>
            </w:pPr>
            <w:r w:rsidRPr="00D52B7C">
              <w:rPr>
                <w:lang w:val="fr-FR"/>
              </w:rPr>
              <w:t xml:space="preserve">Création d'un </w:t>
            </w:r>
            <w:r w:rsidR="001520AA" w:rsidRPr="00D52B7C">
              <w:rPr>
                <w:lang w:val="fr-FR"/>
              </w:rPr>
              <w:t>C</w:t>
            </w:r>
            <w:r w:rsidRPr="00D52B7C">
              <w:rPr>
                <w:lang w:val="fr-FR"/>
              </w:rPr>
              <w:t xml:space="preserve">omité de direction des activités de veille technologique </w:t>
            </w:r>
          </w:p>
        </w:tc>
      </w:tr>
    </w:tbl>
    <w:p w:rsidR="00A06550" w:rsidRPr="00D52B7C" w:rsidRDefault="00A06550" w:rsidP="00A06550">
      <w:pPr>
        <w:tabs>
          <w:tab w:val="clear" w:pos="1134"/>
          <w:tab w:val="clear" w:pos="1871"/>
          <w:tab w:val="clear" w:pos="2268"/>
        </w:tabs>
        <w:overflowPunct/>
        <w:autoSpaceDE/>
        <w:autoSpaceDN/>
        <w:adjustRightInd/>
        <w:spacing w:before="0"/>
        <w:jc w:val="center"/>
        <w:textAlignment w:val="auto"/>
        <w:rPr>
          <w:szCs w:val="24"/>
          <w:lang w:val="fr-FR" w:eastAsia="ja-JP"/>
        </w:rPr>
      </w:pPr>
    </w:p>
    <w:p w:rsidR="00CA36C8" w:rsidRPr="00D52B7C" w:rsidRDefault="003E7C15" w:rsidP="00CA36C8">
      <w:pPr>
        <w:pStyle w:val="TableNo"/>
        <w:rPr>
          <w:bCs/>
          <w:lang w:val="fr-FR" w:eastAsia="ja-JP"/>
        </w:rPr>
      </w:pPr>
      <w:r w:rsidRPr="00D52B7C">
        <w:rPr>
          <w:bCs/>
          <w:lang w:val="fr-FR" w:eastAsia="ja-JP"/>
        </w:rPr>
        <w:lastRenderedPageBreak/>
        <w:t xml:space="preserve">TABLEAU </w:t>
      </w:r>
      <w:r w:rsidR="00A06550" w:rsidRPr="00D52B7C">
        <w:rPr>
          <w:bCs/>
          <w:lang w:val="fr-FR" w:eastAsia="ja-JP"/>
        </w:rPr>
        <w:t>6</w:t>
      </w:r>
    </w:p>
    <w:p w:rsidR="00A06550" w:rsidRPr="00D52B7C" w:rsidRDefault="008545EC" w:rsidP="00CA36C8">
      <w:pPr>
        <w:pStyle w:val="Tabletitle"/>
        <w:rPr>
          <w:lang w:val="fr-FR" w:eastAsia="ja-JP"/>
        </w:rPr>
      </w:pPr>
      <w:r w:rsidRPr="00D52B7C">
        <w:rPr>
          <w:lang w:val="fr-FR"/>
        </w:rPr>
        <w:t>Résultats des réunions des directeurs techniques</w:t>
      </w:r>
    </w:p>
    <w:tbl>
      <w:tblPr>
        <w:tblStyle w:val="TableGrid"/>
        <w:tblW w:w="10091" w:type="dxa"/>
        <w:jc w:val="center"/>
        <w:tblLayout w:type="fixed"/>
        <w:tblLook w:val="04A0" w:firstRow="1" w:lastRow="0" w:firstColumn="1" w:lastColumn="0" w:noHBand="0" w:noVBand="1"/>
      </w:tblPr>
      <w:tblGrid>
        <w:gridCol w:w="2069"/>
        <w:gridCol w:w="1786"/>
        <w:gridCol w:w="6236"/>
      </w:tblGrid>
      <w:tr w:rsidR="00A06550" w:rsidRPr="006E2BA9" w:rsidTr="00BE5C93">
        <w:trPr>
          <w:tblHeader/>
          <w:jc w:val="center"/>
        </w:trPr>
        <w:tc>
          <w:tcPr>
            <w:tcW w:w="2069" w:type="dxa"/>
            <w:shd w:val="clear" w:color="auto" w:fill="auto"/>
          </w:tcPr>
          <w:p w:rsidR="00A06550" w:rsidRPr="00D52B7C" w:rsidRDefault="00A06550" w:rsidP="00D409B4">
            <w:pPr>
              <w:pStyle w:val="Tablehead"/>
              <w:rPr>
                <w:lang w:val="fr-FR"/>
              </w:rPr>
            </w:pPr>
            <w:r w:rsidRPr="00D52B7C">
              <w:rPr>
                <w:lang w:val="fr-FR"/>
              </w:rPr>
              <w:t>Doc</w:t>
            </w:r>
            <w:r w:rsidR="009C2283" w:rsidRPr="00D52B7C">
              <w:rPr>
                <w:lang w:val="fr-FR"/>
              </w:rPr>
              <w:t>ument</w:t>
            </w:r>
            <w:r w:rsidRPr="00D52B7C">
              <w:rPr>
                <w:lang w:val="fr-FR"/>
              </w:rPr>
              <w:t>.</w:t>
            </w:r>
          </w:p>
        </w:tc>
        <w:tc>
          <w:tcPr>
            <w:tcW w:w="1786" w:type="dxa"/>
            <w:shd w:val="clear" w:color="auto" w:fill="auto"/>
          </w:tcPr>
          <w:p w:rsidR="00A06550" w:rsidRPr="00D52B7C" w:rsidRDefault="00BE5C93" w:rsidP="00C7505F">
            <w:pPr>
              <w:pStyle w:val="Tablehead"/>
              <w:rPr>
                <w:lang w:val="fr-FR"/>
              </w:rPr>
            </w:pPr>
            <w:r w:rsidRPr="00D52B7C">
              <w:rPr>
                <w:lang w:val="fr-FR"/>
              </w:rPr>
              <w:t>Auteur</w:t>
            </w:r>
          </w:p>
        </w:tc>
        <w:tc>
          <w:tcPr>
            <w:tcW w:w="6236" w:type="dxa"/>
            <w:shd w:val="clear" w:color="auto" w:fill="auto"/>
          </w:tcPr>
          <w:p w:rsidR="00A06550" w:rsidRPr="00D52B7C" w:rsidRDefault="00BE5C93" w:rsidP="00C7505F">
            <w:pPr>
              <w:pStyle w:val="Tablehead"/>
              <w:rPr>
                <w:lang w:val="fr-FR"/>
              </w:rPr>
            </w:pPr>
            <w:r w:rsidRPr="00D52B7C">
              <w:rPr>
                <w:lang w:val="fr-FR"/>
              </w:rPr>
              <w:t>Sujet</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36" w:history="1">
              <w:r w:rsidR="008545EC" w:rsidRPr="00D52B7C">
                <w:rPr>
                  <w:rStyle w:val="Hyperlink"/>
                  <w:lang w:val="fr-FR"/>
                </w:rPr>
                <w:t>TD 231/</w:t>
              </w:r>
              <w:proofErr w:type="spellStart"/>
              <w:r w:rsidR="008545EC" w:rsidRPr="00D52B7C">
                <w:rPr>
                  <w:rStyle w:val="Hyperlink"/>
                  <w:lang w:val="fr-FR"/>
                </w:rPr>
                <w:t>RevCom</w:t>
              </w:r>
              <w:proofErr w:type="spellEnd"/>
            </w:hyperlink>
            <w:r w:rsidR="008545EC" w:rsidRPr="00D52B7C">
              <w:rPr>
                <w:lang w:val="fr-FR"/>
              </w:rPr>
              <w:t xml:space="preserve"> (juillet 2016)</w:t>
            </w:r>
          </w:p>
        </w:tc>
        <w:tc>
          <w:tcPr>
            <w:tcW w:w="1786" w:type="dxa"/>
            <w:shd w:val="clear" w:color="auto" w:fill="auto"/>
          </w:tcPr>
          <w:p w:rsidR="008545EC" w:rsidRPr="00D52B7C" w:rsidRDefault="008545EC" w:rsidP="008545EC">
            <w:pPr>
              <w:pStyle w:val="Tabletext"/>
              <w:rPr>
                <w:lang w:val="fr-FR"/>
              </w:rPr>
            </w:pPr>
            <w:r w:rsidRPr="00D52B7C">
              <w:rPr>
                <w:lang w:val="fr-FR"/>
              </w:rPr>
              <w:t>TSB</w:t>
            </w:r>
          </w:p>
        </w:tc>
        <w:tc>
          <w:tcPr>
            <w:tcW w:w="6236" w:type="dxa"/>
            <w:shd w:val="clear" w:color="auto" w:fill="auto"/>
          </w:tcPr>
          <w:p w:rsidR="008545EC" w:rsidRPr="00D52B7C" w:rsidRDefault="008545EC" w:rsidP="008545EC">
            <w:pPr>
              <w:pStyle w:val="Tabletext"/>
              <w:rPr>
                <w:lang w:val="fr-FR"/>
              </w:rPr>
            </w:pPr>
            <w:r w:rsidRPr="00D52B7C">
              <w:rPr>
                <w:lang w:val="fr-FR"/>
              </w:rPr>
              <w:t>Communiqué de la réunion de consult</w:t>
            </w:r>
            <w:r w:rsidR="006E2BA9">
              <w:rPr>
                <w:lang w:val="fr-FR"/>
              </w:rPr>
              <w:t>ation CJK CTO (Séoul, Corée, 21 </w:t>
            </w:r>
            <w:r w:rsidRPr="00D52B7C">
              <w:rPr>
                <w:lang w:val="fr-FR"/>
              </w:rPr>
              <w:t>mars 2016) organisée par le Directeur du TSB</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37" w:history="1">
              <w:r w:rsidR="008545EC" w:rsidRPr="00D52B7C">
                <w:rPr>
                  <w:rStyle w:val="Hyperlink"/>
                  <w:lang w:val="fr-FR"/>
                </w:rPr>
                <w:t>TD 200/</w:t>
              </w:r>
              <w:proofErr w:type="spellStart"/>
              <w:r w:rsidR="008545EC" w:rsidRPr="00D52B7C">
                <w:rPr>
                  <w:rStyle w:val="Hyperlink"/>
                  <w:lang w:val="fr-FR"/>
                </w:rPr>
                <w:t>RevCom</w:t>
              </w:r>
              <w:proofErr w:type="spellEnd"/>
            </w:hyperlink>
            <w:r w:rsidR="008545EC" w:rsidRPr="00D52B7C">
              <w:rPr>
                <w:rStyle w:val="Hyperlink"/>
                <w:lang w:val="fr-FR"/>
              </w:rPr>
              <w:t xml:space="preserve"> </w:t>
            </w:r>
            <w:r w:rsidR="008545EC" w:rsidRPr="00D52B7C">
              <w:rPr>
                <w:lang w:val="fr-FR"/>
              </w:rPr>
              <w:t>(mai 2015)</w:t>
            </w:r>
          </w:p>
        </w:tc>
        <w:tc>
          <w:tcPr>
            <w:tcW w:w="1786" w:type="dxa"/>
            <w:shd w:val="clear" w:color="auto" w:fill="auto"/>
          </w:tcPr>
          <w:p w:rsidR="008545EC" w:rsidRPr="00D52B7C" w:rsidRDefault="008545EC" w:rsidP="008545EC">
            <w:pPr>
              <w:pStyle w:val="Tabletext"/>
              <w:rPr>
                <w:lang w:val="fr-FR"/>
              </w:rPr>
            </w:pPr>
            <w:r w:rsidRPr="00D52B7C">
              <w:rPr>
                <w:lang w:val="fr-FR"/>
              </w:rPr>
              <w:t>TSB</w:t>
            </w:r>
          </w:p>
        </w:tc>
        <w:tc>
          <w:tcPr>
            <w:tcW w:w="6236" w:type="dxa"/>
            <w:shd w:val="clear" w:color="auto" w:fill="auto"/>
          </w:tcPr>
          <w:p w:rsidR="008545EC" w:rsidRPr="00D52B7C" w:rsidRDefault="008545EC" w:rsidP="008545EC">
            <w:pPr>
              <w:pStyle w:val="Tabletext"/>
              <w:rPr>
                <w:lang w:val="fr-FR"/>
              </w:rPr>
            </w:pPr>
            <w:r w:rsidRPr="00D52B7C">
              <w:rPr>
                <w:lang w:val="fr-FR"/>
              </w:rPr>
              <w:t>Communiqué de la réunion des directeurs techniques (Budap</w:t>
            </w:r>
            <w:r w:rsidR="00A123E9">
              <w:rPr>
                <w:lang w:val="fr-FR"/>
              </w:rPr>
              <w:t>est, 11 </w:t>
            </w:r>
            <w:r w:rsidRPr="00D52B7C">
              <w:rPr>
                <w:lang w:val="fr-FR"/>
              </w:rPr>
              <w:t>octobre 2015)</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38" w:history="1">
              <w:r w:rsidR="008545EC" w:rsidRPr="00D52B7C">
                <w:rPr>
                  <w:rStyle w:val="Hyperlink"/>
                  <w:lang w:val="fr-FR"/>
                </w:rPr>
                <w:t>TD 173/</w:t>
              </w:r>
              <w:proofErr w:type="spellStart"/>
              <w:r w:rsidR="008545EC" w:rsidRPr="00D52B7C">
                <w:rPr>
                  <w:rStyle w:val="Hyperlink"/>
                  <w:lang w:val="fr-FR"/>
                </w:rPr>
                <w:t>RevCom</w:t>
              </w:r>
              <w:proofErr w:type="spellEnd"/>
            </w:hyperlink>
            <w:r w:rsidR="008545EC" w:rsidRPr="00D52B7C">
              <w:rPr>
                <w:rStyle w:val="Hyperlink"/>
                <w:lang w:val="fr-FR"/>
              </w:rPr>
              <w:t xml:space="preserve"> </w:t>
            </w:r>
            <w:r w:rsidR="008545EC" w:rsidRPr="00D52B7C">
              <w:rPr>
                <w:lang w:val="fr-FR"/>
              </w:rPr>
              <w:t>(mai 2015)</w:t>
            </w:r>
          </w:p>
        </w:tc>
        <w:tc>
          <w:tcPr>
            <w:tcW w:w="1786" w:type="dxa"/>
            <w:shd w:val="clear" w:color="auto" w:fill="auto"/>
          </w:tcPr>
          <w:p w:rsidR="008545EC" w:rsidRPr="00D52B7C" w:rsidRDefault="008545EC" w:rsidP="008545EC">
            <w:pPr>
              <w:pStyle w:val="Tabletext"/>
              <w:rPr>
                <w:lang w:val="fr-FR"/>
              </w:rPr>
            </w:pPr>
            <w:r w:rsidRPr="00D52B7C">
              <w:rPr>
                <w:lang w:val="fr-FR"/>
              </w:rPr>
              <w:t>TSB</w:t>
            </w:r>
          </w:p>
        </w:tc>
        <w:tc>
          <w:tcPr>
            <w:tcW w:w="6236" w:type="dxa"/>
            <w:shd w:val="clear" w:color="auto" w:fill="auto"/>
          </w:tcPr>
          <w:p w:rsidR="008545EC" w:rsidRPr="00D52B7C" w:rsidRDefault="008545EC" w:rsidP="009C2283">
            <w:pPr>
              <w:pStyle w:val="Tabletext"/>
              <w:rPr>
                <w:lang w:val="fr-FR"/>
              </w:rPr>
            </w:pPr>
            <w:r w:rsidRPr="00D52B7C">
              <w:rPr>
                <w:lang w:val="fr-FR"/>
              </w:rPr>
              <w:t>Rapport</w:t>
            </w:r>
            <w:r w:rsidR="009C2283" w:rsidRPr="00D52B7C">
              <w:rPr>
                <w:lang w:val="fr-FR"/>
              </w:rPr>
              <w:t xml:space="preserve"> d</w:t>
            </w:r>
            <w:r w:rsidR="00FC0ACA" w:rsidRPr="00D52B7C">
              <w:rPr>
                <w:lang w:val="fr-FR"/>
              </w:rPr>
              <w:t>'</w:t>
            </w:r>
            <w:r w:rsidR="009C2283" w:rsidRPr="00D52B7C">
              <w:rPr>
                <w:lang w:val="fr-FR"/>
              </w:rPr>
              <w:t xml:space="preserve">activité </w:t>
            </w:r>
            <w:r w:rsidRPr="00D52B7C">
              <w:rPr>
                <w:lang w:val="fr-FR"/>
              </w:rPr>
              <w:t>sur les réunions des directeurs techniques organisées par le Directeur du TSB</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39" w:tgtFrame="_parent" w:history="1">
              <w:r w:rsidR="008545EC" w:rsidRPr="00D52B7C">
                <w:rPr>
                  <w:rStyle w:val="Hyperlink"/>
                  <w:lang w:val="fr-FR"/>
                </w:rPr>
                <w:t>RevCom-SR-016</w:t>
              </w:r>
            </w:hyperlink>
            <w:r w:rsidR="008545EC" w:rsidRPr="00D52B7C">
              <w:rPr>
                <w:lang w:val="fr-FR"/>
              </w:rPr>
              <w:t xml:space="preserve"> (avril 2015)</w:t>
            </w:r>
          </w:p>
        </w:tc>
        <w:tc>
          <w:tcPr>
            <w:tcW w:w="1786" w:type="dxa"/>
            <w:shd w:val="clear" w:color="auto" w:fill="auto"/>
          </w:tcPr>
          <w:p w:rsidR="008545EC" w:rsidRPr="00D52B7C" w:rsidRDefault="008545EC" w:rsidP="008545EC">
            <w:pPr>
              <w:pStyle w:val="Tabletext"/>
              <w:rPr>
                <w:lang w:val="fr-FR"/>
              </w:rPr>
            </w:pPr>
            <w:r w:rsidRPr="00D52B7C">
              <w:rPr>
                <w:lang w:val="fr-FR"/>
              </w:rPr>
              <w:t>TSB</w:t>
            </w:r>
          </w:p>
        </w:tc>
        <w:tc>
          <w:tcPr>
            <w:tcW w:w="6236" w:type="dxa"/>
            <w:shd w:val="clear" w:color="auto" w:fill="auto"/>
          </w:tcPr>
          <w:p w:rsidR="008545EC" w:rsidRPr="00D52B7C" w:rsidRDefault="008545EC" w:rsidP="008545EC">
            <w:pPr>
              <w:pStyle w:val="Tabletext"/>
              <w:rPr>
                <w:lang w:val="fr-FR"/>
              </w:rPr>
            </w:pPr>
            <w:r w:rsidRPr="00D52B7C">
              <w:rPr>
                <w:lang w:val="fr-FR"/>
              </w:rPr>
              <w:t>Communiqué de la réunion de consultation CJK CTO organisée par le Directeur du TSB (Séoul, Corée, 14 avril 2015)</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40" w:history="1">
              <w:r w:rsidR="008545EC" w:rsidRPr="00D52B7C">
                <w:rPr>
                  <w:rStyle w:val="Hyperlink"/>
                  <w:lang w:val="fr-FR"/>
                </w:rPr>
                <w:t>TD 113/</w:t>
              </w:r>
              <w:proofErr w:type="spellStart"/>
              <w:r w:rsidR="008545EC" w:rsidRPr="00D52B7C">
                <w:rPr>
                  <w:rStyle w:val="Hyperlink"/>
                  <w:lang w:val="fr-FR"/>
                </w:rPr>
                <w:t>RevCom</w:t>
              </w:r>
              <w:proofErr w:type="spellEnd"/>
            </w:hyperlink>
            <w:r w:rsidR="008545EC" w:rsidRPr="00D52B7C">
              <w:rPr>
                <w:rStyle w:val="Hyperlink"/>
                <w:lang w:val="fr-FR"/>
              </w:rPr>
              <w:t xml:space="preserve"> </w:t>
            </w:r>
            <w:r w:rsidR="008545EC" w:rsidRPr="00D52B7C">
              <w:rPr>
                <w:lang w:val="fr-FR"/>
              </w:rPr>
              <w:t>(janvier 2015)</w:t>
            </w:r>
          </w:p>
        </w:tc>
        <w:tc>
          <w:tcPr>
            <w:tcW w:w="1786" w:type="dxa"/>
            <w:shd w:val="clear" w:color="auto" w:fill="auto"/>
          </w:tcPr>
          <w:p w:rsidR="008545EC" w:rsidRPr="00D52B7C" w:rsidRDefault="008545EC" w:rsidP="008545EC">
            <w:pPr>
              <w:pStyle w:val="Tabletext"/>
              <w:rPr>
                <w:lang w:val="fr-FR"/>
              </w:rPr>
            </w:pPr>
            <w:r w:rsidRPr="00D52B7C">
              <w:rPr>
                <w:lang w:val="fr-FR"/>
              </w:rPr>
              <w:t xml:space="preserve">Président du Comité d'examen </w:t>
            </w:r>
          </w:p>
        </w:tc>
        <w:tc>
          <w:tcPr>
            <w:tcW w:w="6236" w:type="dxa"/>
            <w:shd w:val="clear" w:color="auto" w:fill="auto"/>
          </w:tcPr>
          <w:p w:rsidR="008545EC" w:rsidRPr="00D52B7C" w:rsidRDefault="008545EC" w:rsidP="008545EC">
            <w:pPr>
              <w:pStyle w:val="Tabletext"/>
              <w:rPr>
                <w:lang w:val="fr-FR"/>
              </w:rPr>
            </w:pPr>
            <w:r w:rsidRPr="00D52B7C">
              <w:rPr>
                <w:lang w:val="fr-FR"/>
              </w:rPr>
              <w:t xml:space="preserve">Rapport de la réunion des directeurs techniques (Doha, </w:t>
            </w:r>
            <w:r w:rsidR="006E2BA9">
              <w:rPr>
                <w:lang w:val="fr-FR"/>
              </w:rPr>
              <w:t>Qatar, décembre </w:t>
            </w:r>
            <w:r w:rsidRPr="00D52B7C">
              <w:rPr>
                <w:lang w:val="fr-FR"/>
              </w:rPr>
              <w:t>2014)</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41" w:history="1">
              <w:r w:rsidR="008545EC" w:rsidRPr="00D52B7C">
                <w:rPr>
                  <w:rStyle w:val="Hyperlink"/>
                  <w:lang w:val="fr-FR"/>
                </w:rPr>
                <w:t>TD 134/</w:t>
              </w:r>
              <w:proofErr w:type="spellStart"/>
              <w:r w:rsidR="008545EC" w:rsidRPr="00D52B7C">
                <w:rPr>
                  <w:rStyle w:val="Hyperlink"/>
                  <w:lang w:val="fr-FR"/>
                </w:rPr>
                <w:t>RevCom</w:t>
              </w:r>
              <w:proofErr w:type="spellEnd"/>
            </w:hyperlink>
            <w:r w:rsidR="008545EC" w:rsidRPr="00D52B7C">
              <w:rPr>
                <w:rStyle w:val="Hyperlink"/>
                <w:lang w:val="fr-FR"/>
              </w:rPr>
              <w:t xml:space="preserve"> </w:t>
            </w:r>
            <w:r w:rsidR="008545EC" w:rsidRPr="00D52B7C">
              <w:rPr>
                <w:lang w:val="fr-FR"/>
              </w:rPr>
              <w:t>(janvier 2015)</w:t>
            </w:r>
          </w:p>
        </w:tc>
        <w:tc>
          <w:tcPr>
            <w:tcW w:w="1786" w:type="dxa"/>
            <w:shd w:val="clear" w:color="auto" w:fill="auto"/>
          </w:tcPr>
          <w:p w:rsidR="008545EC" w:rsidRPr="00D52B7C" w:rsidRDefault="008545EC" w:rsidP="008545EC">
            <w:pPr>
              <w:pStyle w:val="Tabletext"/>
              <w:rPr>
                <w:lang w:val="fr-FR"/>
              </w:rPr>
            </w:pPr>
            <w:r w:rsidRPr="00D52B7C">
              <w:rPr>
                <w:lang w:val="fr-FR"/>
              </w:rPr>
              <w:t>Président du Comité d'examen</w:t>
            </w:r>
          </w:p>
        </w:tc>
        <w:tc>
          <w:tcPr>
            <w:tcW w:w="6236" w:type="dxa"/>
            <w:shd w:val="clear" w:color="auto" w:fill="auto"/>
          </w:tcPr>
          <w:p w:rsidR="008545EC" w:rsidRPr="00D52B7C" w:rsidRDefault="008545EC" w:rsidP="009C2283">
            <w:pPr>
              <w:pStyle w:val="Tabletext"/>
              <w:rPr>
                <w:lang w:val="fr-FR"/>
              </w:rPr>
            </w:pPr>
            <w:r w:rsidRPr="00D52B7C">
              <w:rPr>
                <w:lang w:val="fr-FR"/>
              </w:rPr>
              <w:t>Mesures</w:t>
            </w:r>
            <w:r w:rsidR="009C2283" w:rsidRPr="00D52B7C">
              <w:rPr>
                <w:lang w:val="fr-FR"/>
              </w:rPr>
              <w:t xml:space="preserve"> proposées par </w:t>
            </w:r>
            <w:r w:rsidRPr="00D52B7C">
              <w:rPr>
                <w:lang w:val="fr-FR"/>
              </w:rPr>
              <w:t>le Comité d'examen</w:t>
            </w:r>
            <w:r w:rsidR="009C2283" w:rsidRPr="00D52B7C">
              <w:rPr>
                <w:lang w:val="fr-FR"/>
              </w:rPr>
              <w:t xml:space="preserve"> compte tenu des </w:t>
            </w:r>
            <w:r w:rsidRPr="00D52B7C">
              <w:rPr>
                <w:lang w:val="fr-FR"/>
              </w:rPr>
              <w:t xml:space="preserve">résultats des réunions des directeurs techniques </w:t>
            </w:r>
          </w:p>
        </w:tc>
      </w:tr>
      <w:tr w:rsidR="008545EC" w:rsidRPr="00D409B4" w:rsidTr="00BE5C93">
        <w:trPr>
          <w:jc w:val="center"/>
        </w:trPr>
        <w:tc>
          <w:tcPr>
            <w:tcW w:w="2069" w:type="dxa"/>
            <w:shd w:val="clear" w:color="auto" w:fill="auto"/>
          </w:tcPr>
          <w:p w:rsidR="008545EC" w:rsidRPr="00D52B7C" w:rsidRDefault="00D409B4" w:rsidP="00D409B4">
            <w:pPr>
              <w:pStyle w:val="Tabletext"/>
              <w:jc w:val="center"/>
              <w:rPr>
                <w:lang w:val="fr-FR"/>
              </w:rPr>
            </w:pPr>
            <w:hyperlink r:id="rId42" w:history="1">
              <w:r w:rsidR="008545EC" w:rsidRPr="00D52B7C">
                <w:rPr>
                  <w:rStyle w:val="Hyperlink"/>
                  <w:lang w:val="fr-FR"/>
                </w:rPr>
                <w:t>TD 46/</w:t>
              </w:r>
              <w:proofErr w:type="spellStart"/>
              <w:r w:rsidR="008545EC" w:rsidRPr="00D52B7C">
                <w:rPr>
                  <w:rStyle w:val="Hyperlink"/>
                  <w:lang w:val="fr-FR"/>
                </w:rPr>
                <w:t>RevCom</w:t>
              </w:r>
              <w:proofErr w:type="spellEnd"/>
            </w:hyperlink>
            <w:r w:rsidR="008545EC" w:rsidRPr="00D52B7C">
              <w:rPr>
                <w:rStyle w:val="Hyperlink"/>
                <w:lang w:val="fr-FR"/>
              </w:rPr>
              <w:t xml:space="preserve"> </w:t>
            </w:r>
            <w:r w:rsidR="008545EC" w:rsidRPr="00D52B7C">
              <w:rPr>
                <w:lang w:val="fr-FR"/>
              </w:rPr>
              <w:t>(janvier 2014)</w:t>
            </w:r>
          </w:p>
        </w:tc>
        <w:tc>
          <w:tcPr>
            <w:tcW w:w="1786" w:type="dxa"/>
            <w:shd w:val="clear" w:color="auto" w:fill="auto"/>
          </w:tcPr>
          <w:p w:rsidR="008545EC" w:rsidRPr="00D52B7C" w:rsidRDefault="008545EC" w:rsidP="008545EC">
            <w:pPr>
              <w:pStyle w:val="Tabletext"/>
              <w:rPr>
                <w:lang w:val="fr-FR"/>
              </w:rPr>
            </w:pPr>
            <w:r w:rsidRPr="00D52B7C">
              <w:rPr>
                <w:lang w:val="fr-FR"/>
              </w:rPr>
              <w:t>Président du Comité d'examen</w:t>
            </w:r>
          </w:p>
        </w:tc>
        <w:tc>
          <w:tcPr>
            <w:tcW w:w="6236" w:type="dxa"/>
            <w:shd w:val="clear" w:color="auto" w:fill="auto"/>
          </w:tcPr>
          <w:p w:rsidR="008545EC" w:rsidRPr="00D52B7C" w:rsidRDefault="008545EC" w:rsidP="008545EC">
            <w:pPr>
              <w:pStyle w:val="Tabletext"/>
              <w:rPr>
                <w:lang w:val="fr-FR"/>
              </w:rPr>
            </w:pPr>
            <w:r w:rsidRPr="00D52B7C">
              <w:rPr>
                <w:lang w:val="fr-FR"/>
              </w:rPr>
              <w:t xml:space="preserve">Rapport du Président du </w:t>
            </w:r>
            <w:r w:rsidR="00127A6C" w:rsidRPr="00D52B7C">
              <w:rPr>
                <w:lang w:val="fr-FR"/>
              </w:rPr>
              <w:t>C</w:t>
            </w:r>
            <w:r w:rsidRPr="00D52B7C">
              <w:rPr>
                <w:lang w:val="fr-FR"/>
              </w:rPr>
              <w:t xml:space="preserve">omité d'examen concernant la réunion des directeurs techniques de 2013 </w:t>
            </w:r>
          </w:p>
        </w:tc>
      </w:tr>
    </w:tbl>
    <w:p w:rsidR="00CA36C8" w:rsidRPr="00D52B7C" w:rsidRDefault="003E7C15" w:rsidP="00CA36C8">
      <w:pPr>
        <w:pStyle w:val="TableNo"/>
        <w:rPr>
          <w:bCs/>
          <w:lang w:val="fr-FR" w:eastAsia="ja-JP"/>
        </w:rPr>
      </w:pPr>
      <w:r w:rsidRPr="00D52B7C">
        <w:rPr>
          <w:bCs/>
          <w:lang w:val="fr-FR" w:eastAsia="ja-JP"/>
        </w:rPr>
        <w:t xml:space="preserve">TABLEAU </w:t>
      </w:r>
      <w:r w:rsidR="00A06550" w:rsidRPr="00D52B7C">
        <w:rPr>
          <w:bCs/>
          <w:lang w:val="fr-FR" w:eastAsia="ja-JP"/>
        </w:rPr>
        <w:t>7</w:t>
      </w:r>
    </w:p>
    <w:p w:rsidR="00A06550" w:rsidRPr="00D52B7C" w:rsidRDefault="0060770B" w:rsidP="0060770B">
      <w:pPr>
        <w:pStyle w:val="Tabletitle"/>
        <w:rPr>
          <w:lang w:val="fr-FR" w:eastAsia="ja-JP"/>
        </w:rPr>
      </w:pPr>
      <w:r w:rsidRPr="00D52B7C">
        <w:rPr>
          <w:lang w:val="fr-FR"/>
        </w:rPr>
        <w:t>Références</w:t>
      </w:r>
      <w:r w:rsidR="00127A6C" w:rsidRPr="00D52B7C">
        <w:rPr>
          <w:lang w:val="fr-FR" w:eastAsia="ja-JP"/>
        </w:rPr>
        <w:t xml:space="preserve"> </w:t>
      </w:r>
      <w:r w:rsidR="009C2283" w:rsidRPr="00D52B7C">
        <w:rPr>
          <w:lang w:val="fr-FR" w:eastAsia="ja-JP"/>
        </w:rPr>
        <w:t>à l</w:t>
      </w:r>
      <w:r w:rsidR="00FC0ACA" w:rsidRPr="00D52B7C">
        <w:rPr>
          <w:lang w:val="fr-FR" w:eastAsia="ja-JP"/>
        </w:rPr>
        <w:t>'</w:t>
      </w:r>
      <w:r w:rsidR="009C2283" w:rsidRPr="00D52B7C">
        <w:rPr>
          <w:lang w:val="fr-FR" w:eastAsia="ja-JP"/>
        </w:rPr>
        <w:t>Appendic</w:t>
      </w:r>
      <w:r w:rsidRPr="00D52B7C">
        <w:rPr>
          <w:lang w:val="fr-FR" w:eastAsia="ja-JP"/>
        </w:rPr>
        <w:t xml:space="preserve">e </w:t>
      </w:r>
      <w:r w:rsidR="00A06550" w:rsidRPr="00D52B7C">
        <w:rPr>
          <w:lang w:val="fr-FR" w:eastAsia="ja-JP"/>
        </w:rPr>
        <w:t>A.7</w:t>
      </w:r>
    </w:p>
    <w:tbl>
      <w:tblPr>
        <w:tblStyle w:val="TableGrid"/>
        <w:tblW w:w="10091" w:type="dxa"/>
        <w:jc w:val="center"/>
        <w:tblLayout w:type="fixed"/>
        <w:tblLook w:val="04A0" w:firstRow="1" w:lastRow="0" w:firstColumn="1" w:lastColumn="0" w:noHBand="0" w:noVBand="1"/>
      </w:tblPr>
      <w:tblGrid>
        <w:gridCol w:w="2069"/>
        <w:gridCol w:w="2410"/>
        <w:gridCol w:w="5612"/>
      </w:tblGrid>
      <w:tr w:rsidR="00A06550" w:rsidRPr="006E2BA9" w:rsidTr="00BE5C93">
        <w:trPr>
          <w:cantSplit/>
          <w:tblHeader/>
          <w:jc w:val="center"/>
        </w:trPr>
        <w:tc>
          <w:tcPr>
            <w:tcW w:w="2069" w:type="dxa"/>
            <w:shd w:val="clear" w:color="auto" w:fill="auto"/>
          </w:tcPr>
          <w:p w:rsidR="00A06550" w:rsidRPr="00D52B7C" w:rsidRDefault="00A06550" w:rsidP="00C7505F">
            <w:pPr>
              <w:pStyle w:val="Tablehead"/>
              <w:rPr>
                <w:lang w:val="fr-FR"/>
              </w:rPr>
            </w:pPr>
            <w:r w:rsidRPr="00D52B7C">
              <w:rPr>
                <w:lang w:val="fr-FR"/>
              </w:rPr>
              <w:t>Doc.</w:t>
            </w:r>
          </w:p>
        </w:tc>
        <w:tc>
          <w:tcPr>
            <w:tcW w:w="2410" w:type="dxa"/>
            <w:shd w:val="clear" w:color="auto" w:fill="auto"/>
          </w:tcPr>
          <w:p w:rsidR="00A06550" w:rsidRPr="00D52B7C" w:rsidRDefault="00BE5C93" w:rsidP="00C7505F">
            <w:pPr>
              <w:pStyle w:val="Tablehead"/>
              <w:rPr>
                <w:lang w:val="fr-FR"/>
              </w:rPr>
            </w:pPr>
            <w:r w:rsidRPr="00D52B7C">
              <w:rPr>
                <w:lang w:val="fr-FR"/>
              </w:rPr>
              <w:t>Auteur</w:t>
            </w:r>
          </w:p>
        </w:tc>
        <w:tc>
          <w:tcPr>
            <w:tcW w:w="5612" w:type="dxa"/>
            <w:shd w:val="clear" w:color="auto" w:fill="auto"/>
          </w:tcPr>
          <w:p w:rsidR="00A06550" w:rsidRPr="00D52B7C" w:rsidRDefault="00BE5C93" w:rsidP="00C7505F">
            <w:pPr>
              <w:pStyle w:val="Tablehead"/>
              <w:rPr>
                <w:lang w:val="fr-FR"/>
              </w:rPr>
            </w:pPr>
            <w:r w:rsidRPr="00D52B7C">
              <w:rPr>
                <w:lang w:val="fr-FR"/>
              </w:rPr>
              <w:t>Sujet</w:t>
            </w:r>
          </w:p>
        </w:tc>
      </w:tr>
      <w:tr w:rsidR="0060770B" w:rsidRPr="00D409B4" w:rsidTr="00BE5C93">
        <w:trPr>
          <w:cantSplit/>
          <w:jc w:val="center"/>
        </w:trPr>
        <w:tc>
          <w:tcPr>
            <w:tcW w:w="2069" w:type="dxa"/>
            <w:shd w:val="clear" w:color="auto" w:fill="auto"/>
          </w:tcPr>
          <w:p w:rsidR="0060770B" w:rsidRPr="00D52B7C" w:rsidRDefault="0060770B" w:rsidP="0060770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D52B7C">
              <w:rPr>
                <w:color w:val="0000FF"/>
                <w:sz w:val="20"/>
                <w:u w:val="single"/>
                <w:lang w:val="fr-FR"/>
              </w:rPr>
              <w:t xml:space="preserve">A.7 Amd.1 </w:t>
            </w:r>
            <w:r w:rsidRPr="00D52B7C">
              <w:rPr>
                <w:color w:val="0000FF"/>
                <w:sz w:val="20"/>
                <w:u w:val="single"/>
                <w:lang w:val="fr-FR"/>
              </w:rPr>
              <w:br/>
            </w:r>
            <w:r w:rsidRPr="00D52B7C">
              <w:rPr>
                <w:sz w:val="20"/>
                <w:lang w:val="fr-FR"/>
              </w:rPr>
              <w:t>(juin 2015)</w:t>
            </w:r>
          </w:p>
        </w:tc>
        <w:tc>
          <w:tcPr>
            <w:tcW w:w="2410" w:type="dxa"/>
            <w:shd w:val="clear" w:color="auto" w:fill="auto"/>
          </w:tcPr>
          <w:p w:rsidR="0060770B" w:rsidRPr="00D52B7C" w:rsidRDefault="0060770B" w:rsidP="0060770B">
            <w:pPr>
              <w:pStyle w:val="Tabletext"/>
              <w:rPr>
                <w:lang w:val="fr-FR"/>
              </w:rPr>
            </w:pPr>
            <w:r w:rsidRPr="00D52B7C">
              <w:rPr>
                <w:lang w:val="fr-FR"/>
              </w:rPr>
              <w:t>GCNT</w:t>
            </w:r>
          </w:p>
        </w:tc>
        <w:tc>
          <w:tcPr>
            <w:tcW w:w="5612" w:type="dxa"/>
            <w:shd w:val="clear" w:color="auto" w:fill="auto"/>
          </w:tcPr>
          <w:p w:rsidR="0060770B" w:rsidRPr="00D52B7C" w:rsidRDefault="0060770B" w:rsidP="00127A6C">
            <w:pPr>
              <w:pStyle w:val="Tabletext"/>
              <w:rPr>
                <w:lang w:val="fr-FR"/>
              </w:rPr>
            </w:pPr>
            <w:r w:rsidRPr="00D52B7C">
              <w:rPr>
                <w:lang w:val="fr-FR"/>
              </w:rPr>
              <w:t xml:space="preserve">Appendice I – </w:t>
            </w:r>
            <w:r w:rsidRPr="00D52B7C">
              <w:rPr>
                <w:color w:val="000000"/>
                <w:lang w:val="fr-FR"/>
              </w:rPr>
              <w:t xml:space="preserve">Lignes directrices pour </w:t>
            </w:r>
            <w:r w:rsidR="009C2283" w:rsidRPr="00D52B7C">
              <w:rPr>
                <w:color w:val="000000"/>
                <w:lang w:val="fr-FR"/>
              </w:rPr>
              <w:t>le</w:t>
            </w:r>
            <w:r w:rsidRPr="00D52B7C">
              <w:rPr>
                <w:color w:val="000000"/>
                <w:lang w:val="fr-FR"/>
              </w:rPr>
              <w:t xml:space="preserve"> transfert efficace des </w:t>
            </w:r>
            <w:r w:rsidR="00127A6C" w:rsidRPr="00D52B7C">
              <w:rPr>
                <w:color w:val="000000"/>
                <w:lang w:val="fr-FR"/>
              </w:rPr>
              <w:t xml:space="preserve">produits </w:t>
            </w:r>
            <w:r w:rsidRPr="00D52B7C">
              <w:rPr>
                <w:color w:val="000000"/>
                <w:lang w:val="fr-FR"/>
              </w:rPr>
              <w:t>élaborés par les groupes spécialisés à leur entité de rattachement</w:t>
            </w:r>
          </w:p>
        </w:tc>
      </w:tr>
      <w:tr w:rsidR="0060770B" w:rsidRPr="00D409B4" w:rsidTr="00BE5C93">
        <w:trPr>
          <w:cantSplit/>
          <w:jc w:val="center"/>
        </w:trPr>
        <w:tc>
          <w:tcPr>
            <w:tcW w:w="2069" w:type="dxa"/>
            <w:shd w:val="clear" w:color="auto" w:fill="auto"/>
          </w:tcPr>
          <w:p w:rsidR="0060770B" w:rsidRPr="00D52B7C" w:rsidRDefault="00D409B4" w:rsidP="0080536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43" w:history="1">
              <w:r w:rsidR="0060770B" w:rsidRPr="00D52B7C">
                <w:rPr>
                  <w:color w:val="0000FF"/>
                  <w:sz w:val="20"/>
                  <w:u w:val="single"/>
                  <w:lang w:val="fr-FR"/>
                </w:rPr>
                <w:t>TD 167/</w:t>
              </w:r>
              <w:proofErr w:type="spellStart"/>
              <w:r w:rsidR="0060770B" w:rsidRPr="00D52B7C">
                <w:rPr>
                  <w:color w:val="0000FF"/>
                  <w:sz w:val="20"/>
                  <w:u w:val="single"/>
                  <w:lang w:val="fr-FR"/>
                </w:rPr>
                <w:t>RevCom</w:t>
              </w:r>
              <w:proofErr w:type="spellEnd"/>
            </w:hyperlink>
            <w:r w:rsidR="0060770B" w:rsidRPr="00D52B7C">
              <w:rPr>
                <w:sz w:val="20"/>
                <w:lang w:val="fr-FR"/>
              </w:rPr>
              <w:t xml:space="preserve"> (</w:t>
            </w:r>
            <w:r w:rsidR="00127A6C" w:rsidRPr="00D52B7C">
              <w:rPr>
                <w:sz w:val="20"/>
                <w:lang w:val="fr-FR"/>
              </w:rPr>
              <w:t>mai</w:t>
            </w:r>
            <w:r w:rsidR="0080536B">
              <w:rPr>
                <w:sz w:val="20"/>
                <w:lang w:val="fr-FR"/>
              </w:rPr>
              <w:t> </w:t>
            </w:r>
            <w:r w:rsidR="0060770B" w:rsidRPr="00D52B7C">
              <w:rPr>
                <w:sz w:val="20"/>
                <w:lang w:val="fr-FR"/>
              </w:rPr>
              <w:t>2015)</w:t>
            </w:r>
          </w:p>
        </w:tc>
        <w:tc>
          <w:tcPr>
            <w:tcW w:w="2410" w:type="dxa"/>
            <w:shd w:val="clear" w:color="auto" w:fill="auto"/>
          </w:tcPr>
          <w:p w:rsidR="0060770B" w:rsidRPr="00D52B7C" w:rsidRDefault="0060770B" w:rsidP="0060770B">
            <w:pPr>
              <w:pStyle w:val="Tabletext"/>
              <w:rPr>
                <w:lang w:val="fr-FR"/>
              </w:rPr>
            </w:pPr>
            <w:r w:rsidRPr="00D52B7C">
              <w:rPr>
                <w:lang w:val="fr-FR"/>
              </w:rPr>
              <w:t xml:space="preserve">Rapporteur, Groupe du Rapporteur sur la restructuration de l'UIT-T </w:t>
            </w:r>
          </w:p>
        </w:tc>
        <w:tc>
          <w:tcPr>
            <w:tcW w:w="5612" w:type="dxa"/>
            <w:shd w:val="clear" w:color="auto" w:fill="auto"/>
          </w:tcPr>
          <w:p w:rsidR="0060770B" w:rsidRPr="00D52B7C" w:rsidRDefault="0060770B" w:rsidP="0060770B">
            <w:pPr>
              <w:pStyle w:val="Tabletext"/>
              <w:rPr>
                <w:lang w:val="fr-FR"/>
              </w:rPr>
            </w:pPr>
            <w:r w:rsidRPr="00D52B7C">
              <w:rPr>
                <w:lang w:val="fr-FR"/>
              </w:rPr>
              <w:t>Lignes directrices proposées pour l'amélioration des méthodes de travail des groupes spécialisés</w:t>
            </w:r>
          </w:p>
        </w:tc>
      </w:tr>
      <w:tr w:rsidR="0060770B" w:rsidRPr="00D409B4" w:rsidTr="00BE5C93">
        <w:trPr>
          <w:cantSplit/>
          <w:jc w:val="center"/>
        </w:trPr>
        <w:tc>
          <w:tcPr>
            <w:tcW w:w="2069" w:type="dxa"/>
            <w:shd w:val="clear" w:color="auto" w:fill="auto"/>
          </w:tcPr>
          <w:p w:rsidR="0060770B" w:rsidRPr="00D52B7C" w:rsidRDefault="00D409B4" w:rsidP="0060770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44" w:history="1">
              <w:r w:rsidR="0060770B" w:rsidRPr="00D52B7C">
                <w:rPr>
                  <w:color w:val="0000FF"/>
                  <w:sz w:val="20"/>
                  <w:u w:val="single"/>
                  <w:lang w:val="fr-FR"/>
                </w:rPr>
                <w:t>TD 187r2/</w:t>
              </w:r>
              <w:proofErr w:type="spellStart"/>
              <w:r w:rsidR="0060770B" w:rsidRPr="00D52B7C">
                <w:rPr>
                  <w:color w:val="0000FF"/>
                  <w:sz w:val="20"/>
                  <w:u w:val="single"/>
                  <w:lang w:val="fr-FR"/>
                </w:rPr>
                <w:t>RevCom</w:t>
              </w:r>
              <w:proofErr w:type="spellEnd"/>
            </w:hyperlink>
            <w:r w:rsidR="0060770B" w:rsidRPr="00D52B7C">
              <w:rPr>
                <w:sz w:val="20"/>
                <w:lang w:val="fr-FR"/>
              </w:rPr>
              <w:t xml:space="preserve"> (</w:t>
            </w:r>
            <w:r w:rsidR="00127A6C" w:rsidRPr="00D52B7C">
              <w:rPr>
                <w:sz w:val="20"/>
                <w:lang w:val="fr-FR"/>
              </w:rPr>
              <w:t>mai 2015</w:t>
            </w:r>
            <w:r w:rsidR="0060770B" w:rsidRPr="00D52B7C">
              <w:rPr>
                <w:sz w:val="20"/>
                <w:lang w:val="fr-FR"/>
              </w:rPr>
              <w:t>)</w:t>
            </w:r>
          </w:p>
        </w:tc>
        <w:tc>
          <w:tcPr>
            <w:tcW w:w="2410" w:type="dxa"/>
            <w:shd w:val="clear" w:color="auto" w:fill="auto"/>
          </w:tcPr>
          <w:p w:rsidR="0060770B" w:rsidRPr="00D52B7C" w:rsidRDefault="0060770B" w:rsidP="008E1AD2">
            <w:pPr>
              <w:pStyle w:val="Tabletext"/>
              <w:rPr>
                <w:lang w:val="fr-FR"/>
              </w:rPr>
            </w:pPr>
            <w:r w:rsidRPr="00D52B7C">
              <w:rPr>
                <w:lang w:val="fr-FR"/>
              </w:rPr>
              <w:t>Rapporteur, Groupe du Rapporteur sur la restructuration de l'UIT-T (</w:t>
            </w:r>
            <w:proofErr w:type="spellStart"/>
            <w:r w:rsidR="008E1AD2" w:rsidRPr="00D52B7C">
              <w:rPr>
                <w:lang w:val="fr-FR"/>
              </w:rPr>
              <w:t>a.i</w:t>
            </w:r>
            <w:proofErr w:type="spellEnd"/>
            <w:r w:rsidR="008E1AD2" w:rsidRPr="00D52B7C">
              <w:rPr>
                <w:lang w:val="fr-FR"/>
              </w:rPr>
              <w:t>.</w:t>
            </w:r>
            <w:r w:rsidRPr="00D52B7C">
              <w:rPr>
                <w:lang w:val="fr-FR"/>
              </w:rPr>
              <w:t>)</w:t>
            </w:r>
          </w:p>
        </w:tc>
        <w:tc>
          <w:tcPr>
            <w:tcW w:w="5612" w:type="dxa"/>
            <w:shd w:val="clear" w:color="auto" w:fill="auto"/>
          </w:tcPr>
          <w:p w:rsidR="0060770B" w:rsidRPr="00D52B7C" w:rsidRDefault="0060770B" w:rsidP="00127A6C">
            <w:pPr>
              <w:pStyle w:val="Tabletext"/>
              <w:rPr>
                <w:sz w:val="22"/>
                <w:lang w:val="fr-FR"/>
              </w:rPr>
            </w:pPr>
            <w:r w:rsidRPr="00D52B7C">
              <w:rPr>
                <w:lang w:val="fr-FR"/>
              </w:rPr>
              <w:t>Projet mis à jour: "</w:t>
            </w:r>
            <w:r w:rsidRPr="00D52B7C">
              <w:rPr>
                <w:color w:val="000000"/>
                <w:lang w:val="fr-FR"/>
              </w:rPr>
              <w:t xml:space="preserve">Lignes directrices pour </w:t>
            </w:r>
            <w:r w:rsidR="008E1AD2" w:rsidRPr="00D52B7C">
              <w:rPr>
                <w:color w:val="000000"/>
                <w:lang w:val="fr-FR"/>
              </w:rPr>
              <w:t>le</w:t>
            </w:r>
            <w:r w:rsidRPr="00D52B7C">
              <w:rPr>
                <w:color w:val="000000"/>
                <w:lang w:val="fr-FR"/>
              </w:rPr>
              <w:t xml:space="preserve"> transfert efficace des </w:t>
            </w:r>
            <w:r w:rsidR="00127A6C" w:rsidRPr="00D52B7C">
              <w:rPr>
                <w:color w:val="000000"/>
                <w:lang w:val="fr-FR"/>
              </w:rPr>
              <w:t xml:space="preserve">produits </w:t>
            </w:r>
            <w:r w:rsidRPr="00D52B7C">
              <w:rPr>
                <w:color w:val="000000"/>
                <w:lang w:val="fr-FR"/>
              </w:rPr>
              <w:t>élaborés par les groupes spécialisés à leur entité de rattachement"</w:t>
            </w:r>
            <w:r w:rsidRPr="00D52B7C">
              <w:rPr>
                <w:lang w:val="fr-FR"/>
              </w:rPr>
              <w:t xml:space="preserve"> (Supplément de la Série A</w:t>
            </w:r>
            <w:r w:rsidRPr="00D52B7C">
              <w:rPr>
                <w:sz w:val="22"/>
                <w:lang w:val="fr-FR"/>
              </w:rPr>
              <w:br/>
              <w:t xml:space="preserve">NOTE – </w:t>
            </w:r>
            <w:r w:rsidR="008E1AD2" w:rsidRPr="00D52B7C">
              <w:rPr>
                <w:sz w:val="22"/>
                <w:lang w:val="fr-FR"/>
              </w:rPr>
              <w:t>vu par le GCNT dans le document</w:t>
            </w:r>
            <w:r w:rsidR="00FC0ACA" w:rsidRPr="00D52B7C">
              <w:rPr>
                <w:sz w:val="22"/>
                <w:lang w:val="fr-FR"/>
              </w:rPr>
              <w:t xml:space="preserve"> </w:t>
            </w:r>
            <w:hyperlink r:id="rId45" w:history="1">
              <w:r w:rsidRPr="00D52B7C">
                <w:rPr>
                  <w:color w:val="0000FF"/>
                  <w:sz w:val="22"/>
                  <w:u w:val="single"/>
                  <w:lang w:val="fr-FR"/>
                </w:rPr>
                <w:t>TD 309/TSAG</w:t>
              </w:r>
            </w:hyperlink>
            <w:r w:rsidRPr="00D52B7C">
              <w:rPr>
                <w:sz w:val="22"/>
                <w:lang w:val="fr-FR"/>
              </w:rPr>
              <w:t xml:space="preserve"> (juin 2015).</w:t>
            </w:r>
          </w:p>
        </w:tc>
      </w:tr>
    </w:tbl>
    <w:p w:rsidR="00CA36C8" w:rsidRPr="00D52B7C" w:rsidRDefault="003E7C15" w:rsidP="00CA36C8">
      <w:pPr>
        <w:pStyle w:val="TableNo"/>
        <w:rPr>
          <w:bCs/>
          <w:lang w:val="fr-FR" w:eastAsia="ja-JP"/>
        </w:rPr>
      </w:pPr>
      <w:r w:rsidRPr="00D52B7C">
        <w:rPr>
          <w:bCs/>
          <w:lang w:val="fr-FR" w:eastAsia="ja-JP"/>
        </w:rPr>
        <w:t xml:space="preserve">TABLEAU </w:t>
      </w:r>
      <w:r w:rsidR="00A06550" w:rsidRPr="00D52B7C">
        <w:rPr>
          <w:bCs/>
          <w:lang w:val="fr-FR" w:eastAsia="ja-JP"/>
        </w:rPr>
        <w:t>8</w:t>
      </w:r>
    </w:p>
    <w:p w:rsidR="00A06550" w:rsidRPr="00D52B7C" w:rsidRDefault="00127A6C" w:rsidP="00127A6C">
      <w:pPr>
        <w:pStyle w:val="Tabletitle"/>
        <w:rPr>
          <w:lang w:val="fr-FR" w:eastAsia="ja-JP"/>
        </w:rPr>
      </w:pPr>
      <w:r w:rsidRPr="00D52B7C">
        <w:rPr>
          <w:lang w:val="fr-FR" w:eastAsia="ja-JP"/>
        </w:rPr>
        <w:t>Ré</w:t>
      </w:r>
      <w:r w:rsidR="00A06550" w:rsidRPr="00D52B7C">
        <w:rPr>
          <w:lang w:val="fr-FR" w:eastAsia="ja-JP"/>
        </w:rPr>
        <w:t>f</w:t>
      </w:r>
      <w:r w:rsidRPr="00D52B7C">
        <w:rPr>
          <w:lang w:val="fr-FR" w:eastAsia="ja-JP"/>
        </w:rPr>
        <w:t>é</w:t>
      </w:r>
      <w:r w:rsidR="00A06550" w:rsidRPr="00D52B7C">
        <w:rPr>
          <w:lang w:val="fr-FR" w:eastAsia="ja-JP"/>
        </w:rPr>
        <w:t>rences</w:t>
      </w:r>
      <w:r w:rsidR="008E1AD2" w:rsidRPr="00D52B7C">
        <w:rPr>
          <w:lang w:val="fr-FR" w:eastAsia="ja-JP"/>
        </w:rPr>
        <w:t xml:space="preserve"> à la</w:t>
      </w:r>
      <w:r w:rsidRPr="00D52B7C">
        <w:rPr>
          <w:lang w:val="fr-FR" w:eastAsia="ja-JP"/>
        </w:rPr>
        <w:t xml:space="preserve"> </w:t>
      </w:r>
      <w:r w:rsidR="008E1AD2" w:rsidRPr="00D52B7C">
        <w:rPr>
          <w:lang w:val="fr-FR"/>
        </w:rPr>
        <w:t>s</w:t>
      </w:r>
      <w:r w:rsidR="0060770B" w:rsidRPr="00D52B7C">
        <w:rPr>
          <w:lang w:val="fr-FR"/>
        </w:rPr>
        <w:t>tratégie en matière de normalisation</w:t>
      </w:r>
    </w:p>
    <w:tbl>
      <w:tblPr>
        <w:tblStyle w:val="TableGrid"/>
        <w:tblW w:w="10091" w:type="dxa"/>
        <w:jc w:val="center"/>
        <w:tblLayout w:type="fixed"/>
        <w:tblLook w:val="04A0" w:firstRow="1" w:lastRow="0" w:firstColumn="1" w:lastColumn="0" w:noHBand="0" w:noVBand="1"/>
      </w:tblPr>
      <w:tblGrid>
        <w:gridCol w:w="2069"/>
        <w:gridCol w:w="2410"/>
        <w:gridCol w:w="5612"/>
      </w:tblGrid>
      <w:tr w:rsidR="00A06550" w:rsidRPr="006E2BA9" w:rsidTr="00BE5C93">
        <w:trPr>
          <w:tblHeader/>
          <w:jc w:val="center"/>
        </w:trPr>
        <w:tc>
          <w:tcPr>
            <w:tcW w:w="2069" w:type="dxa"/>
            <w:shd w:val="clear" w:color="auto" w:fill="auto"/>
          </w:tcPr>
          <w:p w:rsidR="00A06550" w:rsidRPr="00D52B7C" w:rsidRDefault="00A06550" w:rsidP="00D409B4">
            <w:pPr>
              <w:pStyle w:val="Tablehead"/>
              <w:rPr>
                <w:lang w:val="fr-FR"/>
              </w:rPr>
            </w:pPr>
            <w:r w:rsidRPr="00D52B7C">
              <w:rPr>
                <w:lang w:val="fr-FR"/>
              </w:rPr>
              <w:t>Doc</w:t>
            </w:r>
            <w:r w:rsidR="008E1AD2" w:rsidRPr="00D52B7C">
              <w:rPr>
                <w:lang w:val="fr-FR"/>
              </w:rPr>
              <w:t>ument</w:t>
            </w:r>
            <w:r w:rsidRPr="00D52B7C">
              <w:rPr>
                <w:lang w:val="fr-FR"/>
              </w:rPr>
              <w:t>.</w:t>
            </w:r>
          </w:p>
        </w:tc>
        <w:tc>
          <w:tcPr>
            <w:tcW w:w="2410" w:type="dxa"/>
            <w:shd w:val="clear" w:color="auto" w:fill="auto"/>
          </w:tcPr>
          <w:p w:rsidR="00A06550" w:rsidRPr="00D52B7C" w:rsidRDefault="00BE5C93" w:rsidP="00C7505F">
            <w:pPr>
              <w:pStyle w:val="Tablehead"/>
              <w:rPr>
                <w:lang w:val="fr-FR"/>
              </w:rPr>
            </w:pPr>
            <w:r w:rsidRPr="00D52B7C">
              <w:rPr>
                <w:lang w:val="fr-FR"/>
              </w:rPr>
              <w:t>Auteur</w:t>
            </w:r>
          </w:p>
        </w:tc>
        <w:tc>
          <w:tcPr>
            <w:tcW w:w="5612" w:type="dxa"/>
            <w:shd w:val="clear" w:color="auto" w:fill="auto"/>
          </w:tcPr>
          <w:p w:rsidR="00A06550" w:rsidRPr="00D52B7C" w:rsidRDefault="00BE5C93" w:rsidP="00C7505F">
            <w:pPr>
              <w:pStyle w:val="Tablehead"/>
              <w:rPr>
                <w:lang w:val="fr-FR"/>
              </w:rPr>
            </w:pPr>
            <w:r w:rsidRPr="00D52B7C">
              <w:rPr>
                <w:lang w:val="fr-FR"/>
              </w:rPr>
              <w:t>Sujet</w:t>
            </w:r>
          </w:p>
        </w:tc>
      </w:tr>
      <w:tr w:rsidR="0060770B" w:rsidRPr="00D409B4" w:rsidTr="00BE5C93">
        <w:trPr>
          <w:jc w:val="center"/>
        </w:trPr>
        <w:tc>
          <w:tcPr>
            <w:tcW w:w="2069" w:type="dxa"/>
            <w:shd w:val="clear" w:color="auto" w:fill="auto"/>
          </w:tcPr>
          <w:p w:rsidR="0060770B" w:rsidRPr="00D52B7C" w:rsidRDefault="00D409B4" w:rsidP="00D409B4">
            <w:pPr>
              <w:pStyle w:val="Tabletext"/>
              <w:jc w:val="center"/>
              <w:rPr>
                <w:lang w:val="fr-FR"/>
              </w:rPr>
            </w:pPr>
            <w:hyperlink r:id="rId46" w:history="1">
              <w:r w:rsidR="0060770B" w:rsidRPr="00D52B7C">
                <w:rPr>
                  <w:rStyle w:val="Hyperlink"/>
                  <w:lang w:val="fr-FR"/>
                </w:rPr>
                <w:t>TD 166/</w:t>
              </w:r>
              <w:proofErr w:type="spellStart"/>
              <w:r w:rsidR="0060770B" w:rsidRPr="00D52B7C">
                <w:rPr>
                  <w:rStyle w:val="Hyperlink"/>
                  <w:lang w:val="fr-FR"/>
                </w:rPr>
                <w:t>RevCom</w:t>
              </w:r>
              <w:proofErr w:type="spellEnd"/>
            </w:hyperlink>
            <w:r w:rsidR="0060770B" w:rsidRPr="00D52B7C">
              <w:rPr>
                <w:lang w:val="fr-FR"/>
              </w:rPr>
              <w:t xml:space="preserve"> (mai 2015)</w:t>
            </w:r>
          </w:p>
        </w:tc>
        <w:tc>
          <w:tcPr>
            <w:tcW w:w="2410" w:type="dxa"/>
            <w:shd w:val="clear" w:color="auto" w:fill="auto"/>
          </w:tcPr>
          <w:p w:rsidR="0060770B" w:rsidRPr="00D52B7C" w:rsidRDefault="0060770B" w:rsidP="0060770B">
            <w:pPr>
              <w:pStyle w:val="Tabletext"/>
              <w:rPr>
                <w:lang w:val="fr-FR"/>
              </w:rPr>
            </w:pPr>
            <w:r w:rsidRPr="00D52B7C">
              <w:rPr>
                <w:lang w:val="fr-FR"/>
              </w:rPr>
              <w:t>Rapporteur, Groupe du Rapporteur sur la restructuration de l'UIT-T</w:t>
            </w:r>
          </w:p>
        </w:tc>
        <w:tc>
          <w:tcPr>
            <w:tcW w:w="5612" w:type="dxa"/>
            <w:shd w:val="clear" w:color="auto" w:fill="auto"/>
          </w:tcPr>
          <w:p w:rsidR="0060770B" w:rsidRPr="00D52B7C" w:rsidRDefault="0060770B" w:rsidP="0060770B">
            <w:pPr>
              <w:pStyle w:val="Tabletext"/>
              <w:rPr>
                <w:lang w:val="fr-FR"/>
              </w:rPr>
            </w:pPr>
            <w:r w:rsidRPr="00D52B7C">
              <w:rPr>
                <w:lang w:val="fr-FR"/>
              </w:rPr>
              <w:t xml:space="preserve">Création d'une fonction </w:t>
            </w:r>
            <w:r w:rsidR="00127A6C" w:rsidRPr="00D52B7C">
              <w:rPr>
                <w:lang w:val="fr-FR"/>
              </w:rPr>
              <w:t>S</w:t>
            </w:r>
            <w:r w:rsidRPr="00D52B7C">
              <w:rPr>
                <w:lang w:val="fr-FR"/>
              </w:rPr>
              <w:t xml:space="preserve">tratégie en matière de normalisation à l'UIT-T </w:t>
            </w:r>
          </w:p>
        </w:tc>
      </w:tr>
      <w:tr w:rsidR="0060770B" w:rsidRPr="00D409B4" w:rsidTr="00BE5C93">
        <w:trPr>
          <w:jc w:val="center"/>
        </w:trPr>
        <w:tc>
          <w:tcPr>
            <w:tcW w:w="2069" w:type="dxa"/>
            <w:shd w:val="clear" w:color="auto" w:fill="auto"/>
          </w:tcPr>
          <w:p w:rsidR="0060770B" w:rsidRPr="00D52B7C" w:rsidRDefault="00D409B4" w:rsidP="00D409B4">
            <w:pPr>
              <w:pStyle w:val="Tabletext"/>
              <w:jc w:val="center"/>
              <w:rPr>
                <w:lang w:val="fr-FR"/>
              </w:rPr>
            </w:pPr>
            <w:hyperlink r:id="rId47" w:history="1">
              <w:r w:rsidR="0060770B" w:rsidRPr="00D52B7C">
                <w:rPr>
                  <w:rStyle w:val="Hyperlink"/>
                  <w:lang w:val="fr-FR"/>
                </w:rPr>
                <w:t>TD 186R2/</w:t>
              </w:r>
              <w:proofErr w:type="spellStart"/>
              <w:r w:rsidR="0060770B" w:rsidRPr="00D52B7C">
                <w:rPr>
                  <w:rStyle w:val="Hyperlink"/>
                  <w:lang w:val="fr-FR"/>
                </w:rPr>
                <w:t>RevCom</w:t>
              </w:r>
              <w:proofErr w:type="spellEnd"/>
            </w:hyperlink>
            <w:r w:rsidR="0060770B" w:rsidRPr="00D52B7C">
              <w:rPr>
                <w:lang w:val="fr-FR"/>
              </w:rPr>
              <w:t xml:space="preserve"> (mai 2015)</w:t>
            </w:r>
          </w:p>
        </w:tc>
        <w:tc>
          <w:tcPr>
            <w:tcW w:w="2410" w:type="dxa"/>
            <w:shd w:val="clear" w:color="auto" w:fill="auto"/>
          </w:tcPr>
          <w:p w:rsidR="0060770B" w:rsidRPr="00D52B7C" w:rsidRDefault="0060770B" w:rsidP="008E1AD2">
            <w:pPr>
              <w:pStyle w:val="Tabletext"/>
              <w:rPr>
                <w:lang w:val="fr-FR"/>
              </w:rPr>
            </w:pPr>
            <w:r w:rsidRPr="00D52B7C">
              <w:rPr>
                <w:lang w:val="fr-FR"/>
              </w:rPr>
              <w:t>Rapporteur, Groupe du Rapporteur sur la restructuration de l'UIT-T (</w:t>
            </w:r>
            <w:proofErr w:type="spellStart"/>
            <w:r w:rsidR="008E1AD2" w:rsidRPr="00D52B7C">
              <w:rPr>
                <w:lang w:val="fr-FR"/>
              </w:rPr>
              <w:t>a.i</w:t>
            </w:r>
            <w:proofErr w:type="spellEnd"/>
            <w:r w:rsidR="008E1AD2" w:rsidRPr="00D52B7C">
              <w:rPr>
                <w:lang w:val="fr-FR"/>
              </w:rPr>
              <w:t>.</w:t>
            </w:r>
            <w:r w:rsidRPr="00D52B7C">
              <w:rPr>
                <w:lang w:val="fr-FR"/>
              </w:rPr>
              <w:t>)</w:t>
            </w:r>
          </w:p>
        </w:tc>
        <w:tc>
          <w:tcPr>
            <w:tcW w:w="5612" w:type="dxa"/>
            <w:shd w:val="clear" w:color="auto" w:fill="auto"/>
          </w:tcPr>
          <w:p w:rsidR="0060770B" w:rsidRPr="00D52B7C" w:rsidRDefault="0060770B" w:rsidP="00127A6C">
            <w:pPr>
              <w:pStyle w:val="Tabletext"/>
              <w:rPr>
                <w:lang w:val="fr-FR"/>
              </w:rPr>
            </w:pPr>
            <w:r w:rsidRPr="00D52B7C">
              <w:rPr>
                <w:lang w:val="fr-FR"/>
              </w:rPr>
              <w:t xml:space="preserve">Proposition d'amélioration du rôle de la fonction </w:t>
            </w:r>
            <w:r w:rsidR="00127A6C" w:rsidRPr="00D52B7C">
              <w:rPr>
                <w:lang w:val="fr-FR"/>
              </w:rPr>
              <w:t>S</w:t>
            </w:r>
            <w:r w:rsidRPr="00D52B7C">
              <w:rPr>
                <w:lang w:val="fr-FR"/>
              </w:rPr>
              <w:t>tratégie en matière de normalisation (SFF) et mandat proposé</w:t>
            </w:r>
          </w:p>
        </w:tc>
      </w:tr>
      <w:tr w:rsidR="0060770B" w:rsidRPr="00D409B4" w:rsidTr="00BE5C93">
        <w:trPr>
          <w:jc w:val="center"/>
        </w:trPr>
        <w:tc>
          <w:tcPr>
            <w:tcW w:w="2069" w:type="dxa"/>
            <w:shd w:val="clear" w:color="auto" w:fill="auto"/>
          </w:tcPr>
          <w:p w:rsidR="0060770B" w:rsidRPr="00D52B7C" w:rsidRDefault="00D409B4" w:rsidP="00D409B4">
            <w:pPr>
              <w:pStyle w:val="Tabletext"/>
              <w:jc w:val="center"/>
              <w:rPr>
                <w:lang w:val="fr-FR"/>
              </w:rPr>
            </w:pPr>
            <w:hyperlink r:id="rId48" w:history="1">
              <w:r w:rsidR="0060770B" w:rsidRPr="00D52B7C">
                <w:rPr>
                  <w:rStyle w:val="Hyperlink"/>
                  <w:lang w:val="fr-FR"/>
                </w:rPr>
                <w:t>TD 221R1/</w:t>
              </w:r>
              <w:proofErr w:type="spellStart"/>
              <w:r w:rsidR="0060770B" w:rsidRPr="00D52B7C">
                <w:rPr>
                  <w:rStyle w:val="Hyperlink"/>
                  <w:lang w:val="fr-FR"/>
                </w:rPr>
                <w:t>RevCom</w:t>
              </w:r>
              <w:proofErr w:type="spellEnd"/>
            </w:hyperlink>
            <w:r w:rsidR="0060770B" w:rsidRPr="00D52B7C">
              <w:rPr>
                <w:lang w:val="fr-FR"/>
              </w:rPr>
              <w:t xml:space="preserve"> (janvier 2016)</w:t>
            </w:r>
          </w:p>
        </w:tc>
        <w:tc>
          <w:tcPr>
            <w:tcW w:w="2410" w:type="dxa"/>
            <w:shd w:val="clear" w:color="auto" w:fill="auto"/>
          </w:tcPr>
          <w:p w:rsidR="0060770B" w:rsidRPr="00D52B7C" w:rsidRDefault="0060770B" w:rsidP="0060770B">
            <w:pPr>
              <w:pStyle w:val="Tabletext"/>
              <w:rPr>
                <w:lang w:val="fr-FR"/>
              </w:rPr>
            </w:pPr>
            <w:r w:rsidRPr="00D52B7C">
              <w:rPr>
                <w:lang w:val="fr-FR"/>
              </w:rPr>
              <w:t>Rapporteur, Groupe du Rapporteur sur la restructuration de l'UIT-T</w:t>
            </w:r>
          </w:p>
        </w:tc>
        <w:tc>
          <w:tcPr>
            <w:tcW w:w="5612" w:type="dxa"/>
            <w:shd w:val="clear" w:color="auto" w:fill="auto"/>
          </w:tcPr>
          <w:p w:rsidR="0060770B" w:rsidRPr="00D52B7C" w:rsidRDefault="0060770B" w:rsidP="0060770B">
            <w:pPr>
              <w:pStyle w:val="Tabletext"/>
              <w:rPr>
                <w:lang w:val="fr-FR"/>
              </w:rPr>
            </w:pPr>
            <w:r w:rsidRPr="00D52B7C">
              <w:rPr>
                <w:lang w:val="fr-FR"/>
              </w:rPr>
              <w:t>Groupe du Rapporteur sur la restructuration de l'UIT</w:t>
            </w:r>
            <w:r w:rsidRPr="00D52B7C">
              <w:rPr>
                <w:lang w:val="fr-FR"/>
              </w:rPr>
              <w:noBreakHyphen/>
              <w:t xml:space="preserve">T: Recommandation sur la fonction </w:t>
            </w:r>
            <w:r w:rsidR="00127A6C" w:rsidRPr="00D52B7C">
              <w:rPr>
                <w:lang w:val="fr-FR"/>
              </w:rPr>
              <w:t>S</w:t>
            </w:r>
            <w:r w:rsidRPr="00D52B7C">
              <w:rPr>
                <w:lang w:val="fr-FR"/>
              </w:rPr>
              <w:t>tratégie en matière de normalisation (SSF) (29 janvier 2016)</w:t>
            </w:r>
          </w:p>
        </w:tc>
      </w:tr>
    </w:tbl>
    <w:p w:rsidR="00CA36C8" w:rsidRPr="00D52B7C" w:rsidRDefault="00CA36C8" w:rsidP="00CA36C8">
      <w:pPr>
        <w:pStyle w:val="Tabletitle"/>
        <w:rPr>
          <w:lang w:val="fr-FR"/>
        </w:rPr>
      </w:pPr>
      <w:bookmarkStart w:id="18" w:name="AnnexB"/>
      <w:bookmarkStart w:id="19" w:name="_Toc456366816"/>
      <w:r w:rsidRPr="00D52B7C">
        <w:rPr>
          <w:lang w:val="fr-FR"/>
        </w:rPr>
        <w:br w:type="page"/>
      </w:r>
    </w:p>
    <w:p w:rsidR="00A06550" w:rsidRPr="00D52B7C" w:rsidRDefault="00A06550" w:rsidP="008E1AD2">
      <w:pPr>
        <w:pStyle w:val="Annextitle"/>
        <w:rPr>
          <w:lang w:val="fr-FR"/>
        </w:rPr>
      </w:pPr>
      <w:r w:rsidRPr="00D52B7C">
        <w:rPr>
          <w:lang w:val="fr-FR"/>
        </w:rPr>
        <w:lastRenderedPageBreak/>
        <w:t>Annex</w:t>
      </w:r>
      <w:r w:rsidR="002C35E6" w:rsidRPr="00D52B7C">
        <w:rPr>
          <w:lang w:val="fr-FR"/>
        </w:rPr>
        <w:t>e</w:t>
      </w:r>
      <w:r w:rsidRPr="00D52B7C">
        <w:rPr>
          <w:lang w:val="fr-FR"/>
        </w:rPr>
        <w:t xml:space="preserve"> B</w:t>
      </w:r>
      <w:bookmarkEnd w:id="18"/>
      <w:r w:rsidR="002C35E6" w:rsidRPr="00D52B7C">
        <w:rPr>
          <w:lang w:val="fr-FR"/>
        </w:rPr>
        <w:br/>
      </w:r>
      <w:r w:rsidRPr="00D52B7C">
        <w:rPr>
          <w:lang w:val="fr-FR"/>
        </w:rPr>
        <w:br/>
        <w:t xml:space="preserve">Contributions </w:t>
      </w:r>
      <w:r w:rsidR="008E1AD2" w:rsidRPr="00D52B7C">
        <w:rPr>
          <w:lang w:val="fr-FR"/>
        </w:rPr>
        <w:t>reçues par le Comité d</w:t>
      </w:r>
      <w:r w:rsidR="00FC0ACA" w:rsidRPr="00D52B7C">
        <w:rPr>
          <w:lang w:val="fr-FR"/>
        </w:rPr>
        <w:t>'</w:t>
      </w:r>
      <w:r w:rsidR="008E1AD2" w:rsidRPr="00D52B7C">
        <w:rPr>
          <w:lang w:val="fr-FR"/>
        </w:rPr>
        <w:t xml:space="preserve">examen pendant </w:t>
      </w:r>
      <w:r w:rsidR="00A140BA" w:rsidRPr="00D52B7C">
        <w:rPr>
          <w:lang w:val="fr-FR"/>
        </w:rPr>
        <w:br/>
      </w:r>
      <w:r w:rsidR="008E1AD2" w:rsidRPr="00D52B7C">
        <w:rPr>
          <w:lang w:val="fr-FR"/>
        </w:rPr>
        <w:t>la période d</w:t>
      </w:r>
      <w:r w:rsidR="00FC0ACA" w:rsidRPr="00D52B7C">
        <w:rPr>
          <w:lang w:val="fr-FR"/>
        </w:rPr>
        <w:t>'</w:t>
      </w:r>
      <w:r w:rsidR="008E1AD2" w:rsidRPr="00D52B7C">
        <w:rPr>
          <w:lang w:val="fr-FR"/>
        </w:rPr>
        <w:t>études</w:t>
      </w:r>
      <w:r w:rsidR="00FC0ACA" w:rsidRPr="00D52B7C">
        <w:rPr>
          <w:lang w:val="fr-FR"/>
        </w:rPr>
        <w:t xml:space="preserve"> </w:t>
      </w:r>
      <w:r w:rsidRPr="00D52B7C">
        <w:rPr>
          <w:lang w:val="fr-FR"/>
        </w:rPr>
        <w:t>2013-2016</w:t>
      </w:r>
      <w:bookmarkEnd w:id="19"/>
      <w:r w:rsidR="00FC0ACA" w:rsidRPr="00D52B7C">
        <w:rPr>
          <w:lang w:val="fr-FR"/>
        </w:rPr>
        <w:t xml:space="preserve"> </w:t>
      </w:r>
    </w:p>
    <w:p w:rsidR="00A06550" w:rsidRPr="00D52B7C" w:rsidRDefault="00A06550" w:rsidP="00A06550">
      <w:pPr>
        <w:tabs>
          <w:tab w:val="clear" w:pos="1134"/>
          <w:tab w:val="clear" w:pos="1871"/>
          <w:tab w:val="clear" w:pos="2268"/>
        </w:tabs>
        <w:overflowPunct/>
        <w:autoSpaceDE/>
        <w:autoSpaceDN/>
        <w:adjustRightInd/>
        <w:textAlignment w:val="auto"/>
        <w:rPr>
          <w:szCs w:val="24"/>
          <w:lang w:val="fr-FR" w:eastAsia="ja-JP"/>
        </w:rPr>
      </w:pPr>
    </w:p>
    <w:tbl>
      <w:tblPr>
        <w:tblStyle w:val="TableGrid"/>
        <w:tblW w:w="5000" w:type="pct"/>
        <w:jc w:val="center"/>
        <w:tblLook w:val="04A0" w:firstRow="1" w:lastRow="0" w:firstColumn="1" w:lastColumn="0" w:noHBand="0" w:noVBand="1"/>
      </w:tblPr>
      <w:tblGrid>
        <w:gridCol w:w="2038"/>
        <w:gridCol w:w="2222"/>
        <w:gridCol w:w="5369"/>
      </w:tblGrid>
      <w:tr w:rsidR="00A06550" w:rsidRPr="006E2BA9" w:rsidTr="00174C31">
        <w:trPr>
          <w:cantSplit/>
          <w:tblHeader/>
          <w:jc w:val="center"/>
        </w:trPr>
        <w:tc>
          <w:tcPr>
            <w:tcW w:w="1058" w:type="pct"/>
            <w:shd w:val="clear" w:color="auto" w:fill="auto"/>
            <w:noWrap/>
          </w:tcPr>
          <w:p w:rsidR="00A06550" w:rsidRPr="00D52B7C" w:rsidRDefault="00A06550" w:rsidP="00C7505F">
            <w:pPr>
              <w:pStyle w:val="Tablehead"/>
              <w:rPr>
                <w:lang w:val="fr-FR"/>
              </w:rPr>
            </w:pPr>
            <w:r w:rsidRPr="00D52B7C">
              <w:rPr>
                <w:lang w:val="fr-FR"/>
              </w:rPr>
              <w:t>Contribution</w:t>
            </w:r>
          </w:p>
        </w:tc>
        <w:tc>
          <w:tcPr>
            <w:tcW w:w="1154" w:type="pct"/>
            <w:shd w:val="clear" w:color="auto" w:fill="auto"/>
            <w:noWrap/>
          </w:tcPr>
          <w:p w:rsidR="00A06550" w:rsidRPr="00D52B7C" w:rsidRDefault="008E1AD2" w:rsidP="008E1AD2">
            <w:pPr>
              <w:pStyle w:val="Tablehead"/>
              <w:rPr>
                <w:lang w:val="fr-FR"/>
              </w:rPr>
            </w:pPr>
            <w:r w:rsidRPr="00D52B7C">
              <w:rPr>
                <w:lang w:val="fr-FR"/>
              </w:rPr>
              <w:t>Origine</w:t>
            </w:r>
            <w:r w:rsidR="00FC0ACA" w:rsidRPr="00D52B7C">
              <w:rPr>
                <w:lang w:val="fr-FR"/>
              </w:rPr>
              <w:t xml:space="preserve"> </w:t>
            </w:r>
          </w:p>
        </w:tc>
        <w:tc>
          <w:tcPr>
            <w:tcW w:w="2788" w:type="pct"/>
            <w:shd w:val="clear" w:color="auto" w:fill="auto"/>
            <w:noWrap/>
          </w:tcPr>
          <w:p w:rsidR="00A06550" w:rsidRPr="00D52B7C" w:rsidRDefault="008E1AD2" w:rsidP="008E1AD2">
            <w:pPr>
              <w:pStyle w:val="Tablehead"/>
              <w:rPr>
                <w:lang w:val="fr-FR"/>
              </w:rPr>
            </w:pPr>
            <w:r w:rsidRPr="00D52B7C">
              <w:rPr>
                <w:lang w:val="fr-FR"/>
              </w:rPr>
              <w:t xml:space="preserve">Titre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49" w:history="1">
              <w:r w:rsidR="00A06550" w:rsidRPr="00D52B7C">
                <w:rPr>
                  <w:color w:val="0000FF"/>
                  <w:sz w:val="20"/>
                  <w:u w:val="single"/>
                  <w:lang w:val="fr-FR"/>
                </w:rPr>
                <w:t>RevCom-C.1</w:t>
              </w:r>
            </w:hyperlink>
          </w:p>
        </w:tc>
        <w:tc>
          <w:tcPr>
            <w:tcW w:w="1154" w:type="pct"/>
            <w:shd w:val="clear" w:color="auto" w:fill="auto"/>
          </w:tcPr>
          <w:p w:rsidR="00A06550" w:rsidRPr="00D52B7C" w:rsidRDefault="00725A40" w:rsidP="00725A40">
            <w:pPr>
              <w:pStyle w:val="Tabletext"/>
              <w:rPr>
                <w:lang w:val="fr-FR"/>
              </w:rPr>
            </w:pPr>
            <w:r w:rsidRPr="00D52B7C">
              <w:rPr>
                <w:lang w:val="fr-FR"/>
              </w:rPr>
              <w:t>Allemagne</w:t>
            </w:r>
          </w:p>
        </w:tc>
        <w:tc>
          <w:tcPr>
            <w:tcW w:w="2788" w:type="pct"/>
            <w:shd w:val="clear" w:color="auto" w:fill="auto"/>
          </w:tcPr>
          <w:p w:rsidR="00A06550" w:rsidRPr="00D52B7C" w:rsidRDefault="008E1AD2" w:rsidP="008E1AD2">
            <w:pPr>
              <w:pStyle w:val="Tabletext"/>
              <w:rPr>
                <w:lang w:val="fr-FR"/>
              </w:rPr>
            </w:pPr>
            <w:r w:rsidRPr="00D52B7C">
              <w:rPr>
                <w:lang w:val="fr-FR"/>
              </w:rPr>
              <w:t>Principes à appliquer dans les travaux du Comité</w:t>
            </w:r>
            <w:r w:rsidR="00FC0ACA" w:rsidRPr="00D52B7C">
              <w:rPr>
                <w:lang w:val="fr-FR"/>
              </w:rPr>
              <w:t xml:space="preserve"> </w:t>
            </w:r>
            <w:r w:rsidRPr="00D52B7C">
              <w:rPr>
                <w:lang w:val="fr-FR"/>
              </w:rPr>
              <w:t>d</w:t>
            </w:r>
            <w:r w:rsidR="00FC0ACA" w:rsidRPr="00D52B7C">
              <w:rPr>
                <w:lang w:val="fr-FR"/>
              </w:rPr>
              <w:t>'</w:t>
            </w:r>
            <w:r w:rsidRPr="00D52B7C">
              <w:rPr>
                <w:lang w:val="fr-FR"/>
              </w:rPr>
              <w:t>examen de l</w:t>
            </w:r>
            <w:r w:rsidR="00FC0ACA" w:rsidRPr="00D52B7C">
              <w:rPr>
                <w:lang w:val="fr-FR"/>
              </w:rPr>
              <w:t>'</w:t>
            </w:r>
            <w:r w:rsidRPr="00D52B7C">
              <w:rPr>
                <w:lang w:val="fr-FR"/>
              </w:rPr>
              <w:t>UIT-T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0" w:history="1">
              <w:r w:rsidR="00A06550" w:rsidRPr="00D52B7C">
                <w:rPr>
                  <w:color w:val="0000FF"/>
                  <w:sz w:val="20"/>
                  <w:u w:val="single"/>
                  <w:lang w:val="fr-FR"/>
                </w:rPr>
                <w:t>RevCom-C.2R1</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1631D3" w:rsidP="001631D3">
            <w:pPr>
              <w:pStyle w:val="Tabletext"/>
              <w:rPr>
                <w:lang w:val="fr-FR"/>
              </w:rPr>
            </w:pPr>
            <w:r w:rsidRPr="00D52B7C">
              <w:rPr>
                <w:lang w:val="fr-FR"/>
              </w:rPr>
              <w:t>Propositions relatives aux échéances et aux réunions intérimaires concernant le Comité d</w:t>
            </w:r>
            <w:r w:rsidR="00FC0ACA" w:rsidRPr="00D52B7C">
              <w:rPr>
                <w:lang w:val="fr-FR"/>
              </w:rPr>
              <w:t>'</w:t>
            </w:r>
            <w:r w:rsidRPr="00D52B7C">
              <w:rPr>
                <w:lang w:val="fr-FR"/>
              </w:rPr>
              <w:t>examen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1" w:history="1">
              <w:r w:rsidR="00A06550" w:rsidRPr="00D52B7C">
                <w:rPr>
                  <w:color w:val="0000FF"/>
                  <w:sz w:val="20"/>
                  <w:u w:val="single"/>
                  <w:lang w:val="fr-FR"/>
                </w:rPr>
                <w:t>RevCom-C.3R2</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1631D3" w:rsidP="001631D3">
            <w:pPr>
              <w:pStyle w:val="Tabletext"/>
              <w:rPr>
                <w:lang w:val="fr-FR"/>
              </w:rPr>
            </w:pPr>
            <w:r w:rsidRPr="00D52B7C">
              <w:rPr>
                <w:lang w:val="fr-FR"/>
              </w:rPr>
              <w:t>Proposition</w:t>
            </w:r>
            <w:r w:rsidR="00FC0ACA" w:rsidRPr="00D52B7C">
              <w:rPr>
                <w:lang w:val="fr-FR"/>
              </w:rPr>
              <w:t xml:space="preserve"> </w:t>
            </w:r>
            <w:r w:rsidRPr="00D52B7C">
              <w:rPr>
                <w:lang w:val="fr-FR"/>
              </w:rPr>
              <w:t>relative</w:t>
            </w:r>
            <w:r w:rsidR="00FC0ACA" w:rsidRPr="00D52B7C">
              <w:rPr>
                <w:lang w:val="fr-FR"/>
              </w:rPr>
              <w:t xml:space="preserve"> </w:t>
            </w:r>
            <w:r w:rsidRPr="00D52B7C">
              <w:rPr>
                <w:lang w:val="fr-FR"/>
              </w:rPr>
              <w:t>aux moyens d</w:t>
            </w:r>
            <w:r w:rsidR="00FC0ACA" w:rsidRPr="00D52B7C">
              <w:rPr>
                <w:lang w:val="fr-FR"/>
              </w:rPr>
              <w:t>'</w:t>
            </w:r>
            <w:r w:rsidRPr="00D52B7C">
              <w:rPr>
                <w:lang w:val="fr-FR"/>
              </w:rPr>
              <w:t>analyse pratique</w:t>
            </w:r>
            <w:r w:rsidR="00A140BA" w:rsidRPr="00D52B7C">
              <w:rPr>
                <w:lang w:val="fr-FR"/>
              </w:rPr>
              <w:t>s</w:t>
            </w:r>
            <w:r w:rsidRPr="00D52B7C">
              <w:rPr>
                <w:lang w:val="fr-FR"/>
              </w:rPr>
              <w:t xml:space="preserve"> des organisations de normalisation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2" w:history="1">
              <w:r w:rsidR="00A06550" w:rsidRPr="00D52B7C">
                <w:rPr>
                  <w:color w:val="0000FF"/>
                  <w:sz w:val="20"/>
                  <w:u w:val="single"/>
                  <w:lang w:val="fr-FR"/>
                </w:rPr>
                <w:t>RevCom-C.4R1</w:t>
              </w:r>
            </w:hyperlink>
          </w:p>
        </w:tc>
        <w:tc>
          <w:tcPr>
            <w:tcW w:w="1154" w:type="pct"/>
            <w:shd w:val="clear" w:color="auto" w:fill="auto"/>
          </w:tcPr>
          <w:p w:rsidR="00A06550" w:rsidRPr="00D52B7C" w:rsidRDefault="00725A40" w:rsidP="00725A40">
            <w:pPr>
              <w:pStyle w:val="Tabletext"/>
              <w:rPr>
                <w:lang w:val="fr-FR"/>
              </w:rPr>
            </w:pPr>
            <w:r w:rsidRPr="00D52B7C">
              <w:rPr>
                <w:lang w:val="fr-FR"/>
              </w:rPr>
              <w:t>Etats-Unis</w:t>
            </w:r>
          </w:p>
        </w:tc>
        <w:tc>
          <w:tcPr>
            <w:tcW w:w="2788" w:type="pct"/>
            <w:shd w:val="clear" w:color="auto" w:fill="auto"/>
          </w:tcPr>
          <w:p w:rsidR="00A06550" w:rsidRPr="00D52B7C" w:rsidRDefault="00A140BA" w:rsidP="00A140BA">
            <w:pPr>
              <w:pStyle w:val="Tabletext"/>
              <w:rPr>
                <w:lang w:val="fr-FR"/>
              </w:rPr>
            </w:pPr>
            <w:r w:rsidRPr="00D52B7C">
              <w:rPr>
                <w:lang w:val="fr-FR"/>
              </w:rPr>
              <w:t xml:space="preserve">Approches préliminaires </w:t>
            </w:r>
            <w:r w:rsidR="001631D3" w:rsidRPr="00D52B7C">
              <w:rPr>
                <w:lang w:val="fr-FR"/>
              </w:rPr>
              <w:t>visant à faire évoluer le processus de normalisation</w:t>
            </w:r>
            <w:r w:rsidR="00FC0ACA" w:rsidRPr="00D52B7C">
              <w:rPr>
                <w:lang w:val="fr-FR"/>
              </w:rPr>
              <w:t xml:space="preserve"> </w:t>
            </w:r>
          </w:p>
        </w:tc>
      </w:tr>
      <w:tr w:rsidR="00A06550" w:rsidRPr="006E2BA9"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3" w:history="1">
              <w:r w:rsidR="00A06550" w:rsidRPr="00D52B7C">
                <w:rPr>
                  <w:color w:val="0000FF"/>
                  <w:sz w:val="20"/>
                  <w:u w:val="single"/>
                  <w:lang w:val="fr-FR"/>
                </w:rPr>
                <w:t>RevCom-C.5</w:t>
              </w:r>
            </w:hyperlink>
          </w:p>
        </w:tc>
        <w:tc>
          <w:tcPr>
            <w:tcW w:w="1154" w:type="pct"/>
            <w:shd w:val="clear" w:color="auto" w:fill="auto"/>
          </w:tcPr>
          <w:p w:rsidR="00A06550" w:rsidRPr="00D52B7C" w:rsidRDefault="00A06550" w:rsidP="00725A40">
            <w:pPr>
              <w:pStyle w:val="Tabletext"/>
              <w:rPr>
                <w:lang w:val="fr-FR"/>
              </w:rPr>
            </w:pPr>
            <w:r w:rsidRPr="00D52B7C">
              <w:rPr>
                <w:lang w:val="fr-FR"/>
              </w:rPr>
              <w:t>Canada</w:t>
            </w:r>
          </w:p>
        </w:tc>
        <w:tc>
          <w:tcPr>
            <w:tcW w:w="2788" w:type="pct"/>
            <w:shd w:val="clear" w:color="auto" w:fill="auto"/>
          </w:tcPr>
          <w:p w:rsidR="00A06550" w:rsidRPr="00D52B7C" w:rsidRDefault="008E1AD2" w:rsidP="00A140BA">
            <w:pPr>
              <w:pStyle w:val="Tabletext"/>
              <w:rPr>
                <w:lang w:val="fr-FR"/>
              </w:rPr>
            </w:pPr>
            <w:r w:rsidRPr="00D52B7C">
              <w:rPr>
                <w:lang w:val="fr-FR"/>
              </w:rPr>
              <w:t>Fréquence des réunions</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4" w:history="1">
              <w:r w:rsidR="00A06550" w:rsidRPr="00D52B7C">
                <w:rPr>
                  <w:color w:val="0000FF"/>
                  <w:sz w:val="20"/>
                  <w:u w:val="single"/>
                  <w:lang w:val="fr-FR"/>
                </w:rPr>
                <w:t>RevCom-C.6</w:t>
              </w:r>
            </w:hyperlink>
          </w:p>
        </w:tc>
        <w:tc>
          <w:tcPr>
            <w:tcW w:w="1154" w:type="pct"/>
            <w:shd w:val="clear" w:color="auto" w:fill="auto"/>
          </w:tcPr>
          <w:p w:rsidR="00A06550" w:rsidRPr="00D52B7C" w:rsidRDefault="00A06550" w:rsidP="00725A40">
            <w:pPr>
              <w:pStyle w:val="Tabletext"/>
              <w:rPr>
                <w:lang w:val="fr-FR"/>
              </w:rPr>
            </w:pPr>
            <w:r w:rsidRPr="00D52B7C">
              <w:rPr>
                <w:lang w:val="fr-FR"/>
              </w:rPr>
              <w:t>Canada</w:t>
            </w:r>
          </w:p>
        </w:tc>
        <w:tc>
          <w:tcPr>
            <w:tcW w:w="2788" w:type="pct"/>
            <w:shd w:val="clear" w:color="auto" w:fill="auto"/>
          </w:tcPr>
          <w:p w:rsidR="00A06550" w:rsidRPr="00D52B7C" w:rsidRDefault="008E1AD2" w:rsidP="00A140BA">
            <w:pPr>
              <w:pStyle w:val="Tabletext"/>
              <w:rPr>
                <w:lang w:val="fr-FR"/>
              </w:rPr>
            </w:pPr>
            <w:r w:rsidRPr="00D52B7C">
              <w:rPr>
                <w:lang w:val="fr-FR"/>
              </w:rPr>
              <w:t>Principes régissant la coopération et la collaboration</w:t>
            </w:r>
          </w:p>
        </w:tc>
      </w:tr>
      <w:tr w:rsidR="00A06550" w:rsidRPr="006E2BA9"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5" w:history="1">
              <w:r w:rsidR="00A06550" w:rsidRPr="00D52B7C">
                <w:rPr>
                  <w:color w:val="0000FF"/>
                  <w:sz w:val="20"/>
                  <w:u w:val="single"/>
                  <w:lang w:val="fr-FR"/>
                </w:rPr>
                <w:t>RevCom-C.7</w:t>
              </w:r>
            </w:hyperlink>
          </w:p>
        </w:tc>
        <w:tc>
          <w:tcPr>
            <w:tcW w:w="1154" w:type="pct"/>
            <w:shd w:val="clear" w:color="auto" w:fill="auto"/>
          </w:tcPr>
          <w:p w:rsidR="00A06550" w:rsidRPr="00D52B7C" w:rsidRDefault="00A06550" w:rsidP="00725A40">
            <w:pPr>
              <w:pStyle w:val="Tabletext"/>
              <w:rPr>
                <w:lang w:val="fr-FR"/>
              </w:rPr>
            </w:pPr>
            <w:r w:rsidRPr="00D52B7C">
              <w:rPr>
                <w:lang w:val="fr-FR"/>
              </w:rPr>
              <w:t>Canada</w:t>
            </w:r>
          </w:p>
        </w:tc>
        <w:tc>
          <w:tcPr>
            <w:tcW w:w="2788" w:type="pct"/>
            <w:shd w:val="clear" w:color="auto" w:fill="auto"/>
          </w:tcPr>
          <w:p w:rsidR="00A06550" w:rsidRPr="00D52B7C" w:rsidRDefault="008E1AD2" w:rsidP="008E1AD2">
            <w:pPr>
              <w:pStyle w:val="Tabletext"/>
              <w:rPr>
                <w:lang w:val="fr-FR"/>
              </w:rPr>
            </w:pPr>
            <w:r w:rsidRPr="00D52B7C">
              <w:rPr>
                <w:lang w:val="fr-FR"/>
              </w:rPr>
              <w:t>Restructuration des commissions d</w:t>
            </w:r>
            <w:r w:rsidR="00FC0ACA" w:rsidRPr="00D52B7C">
              <w:rPr>
                <w:lang w:val="fr-FR"/>
              </w:rPr>
              <w:t>'</w:t>
            </w:r>
            <w:r w:rsidRPr="00D52B7C">
              <w:rPr>
                <w:lang w:val="fr-FR"/>
              </w:rPr>
              <w:t xml:space="preserve">études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6" w:history="1">
              <w:r w:rsidR="00A06550" w:rsidRPr="00D52B7C">
                <w:rPr>
                  <w:color w:val="0000FF"/>
                  <w:sz w:val="20"/>
                  <w:u w:val="single"/>
                  <w:lang w:val="fr-FR"/>
                </w:rPr>
                <w:t>RevCom-C.8</w:t>
              </w:r>
            </w:hyperlink>
          </w:p>
        </w:tc>
        <w:tc>
          <w:tcPr>
            <w:tcW w:w="1154" w:type="pct"/>
            <w:shd w:val="clear" w:color="auto" w:fill="auto"/>
          </w:tcPr>
          <w:p w:rsidR="00A06550" w:rsidRPr="00D52B7C" w:rsidRDefault="00A06550" w:rsidP="00725A40">
            <w:pPr>
              <w:pStyle w:val="Tabletext"/>
              <w:rPr>
                <w:lang w:val="fr-FR"/>
              </w:rPr>
            </w:pPr>
            <w:r w:rsidRPr="00D52B7C">
              <w:rPr>
                <w:lang w:val="fr-FR"/>
              </w:rPr>
              <w:t>CITEL</w:t>
            </w:r>
          </w:p>
        </w:tc>
        <w:tc>
          <w:tcPr>
            <w:tcW w:w="2788" w:type="pct"/>
            <w:shd w:val="clear" w:color="auto" w:fill="auto"/>
          </w:tcPr>
          <w:p w:rsidR="00A06550" w:rsidRPr="00D52B7C" w:rsidRDefault="008E1AD2" w:rsidP="008E1AD2">
            <w:pPr>
              <w:pStyle w:val="Tabletext"/>
              <w:rPr>
                <w:lang w:val="fr-FR"/>
              </w:rPr>
            </w:pPr>
            <w:r w:rsidRPr="00D52B7C">
              <w:rPr>
                <w:lang w:val="fr-FR"/>
              </w:rPr>
              <w:t>Principes régissant la coopération et la collaboration</w:t>
            </w:r>
            <w:r w:rsidR="00FC0ACA" w:rsidRPr="00D52B7C">
              <w:rPr>
                <w:lang w:val="fr-FR"/>
              </w:rPr>
              <w:t xml:space="preserve"> </w:t>
            </w:r>
          </w:p>
        </w:tc>
      </w:tr>
      <w:tr w:rsidR="00A06550" w:rsidRPr="006E2BA9"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7" w:history="1">
              <w:r w:rsidR="00A06550" w:rsidRPr="00D52B7C">
                <w:rPr>
                  <w:color w:val="0000FF"/>
                  <w:sz w:val="20"/>
                  <w:u w:val="single"/>
                  <w:lang w:val="fr-FR"/>
                </w:rPr>
                <w:t>RevCom-C.9</w:t>
              </w:r>
            </w:hyperlink>
          </w:p>
        </w:tc>
        <w:tc>
          <w:tcPr>
            <w:tcW w:w="1154" w:type="pct"/>
            <w:shd w:val="clear" w:color="auto" w:fill="auto"/>
          </w:tcPr>
          <w:p w:rsidR="00A06550" w:rsidRPr="00D52B7C" w:rsidRDefault="00A06550" w:rsidP="00725A40">
            <w:pPr>
              <w:pStyle w:val="Tabletext"/>
              <w:rPr>
                <w:lang w:val="fr-FR"/>
              </w:rPr>
            </w:pPr>
            <w:r w:rsidRPr="00D52B7C">
              <w:rPr>
                <w:lang w:val="fr-FR"/>
              </w:rPr>
              <w:t>CITEL</w:t>
            </w:r>
          </w:p>
        </w:tc>
        <w:tc>
          <w:tcPr>
            <w:tcW w:w="2788" w:type="pct"/>
            <w:shd w:val="clear" w:color="auto" w:fill="auto"/>
          </w:tcPr>
          <w:p w:rsidR="00A06550" w:rsidRPr="00D52B7C" w:rsidRDefault="00FC0ACA" w:rsidP="008E1AD2">
            <w:pPr>
              <w:pStyle w:val="Tabletext"/>
              <w:rPr>
                <w:lang w:val="fr-FR"/>
              </w:rPr>
            </w:pPr>
            <w:r w:rsidRPr="00D52B7C">
              <w:rPr>
                <w:lang w:val="fr-FR"/>
              </w:rPr>
              <w:t xml:space="preserve"> </w:t>
            </w:r>
            <w:r w:rsidR="008E1AD2" w:rsidRPr="00D52B7C">
              <w:rPr>
                <w:lang w:val="fr-FR"/>
              </w:rPr>
              <w:t>restructuration des commissions d</w:t>
            </w:r>
            <w:r w:rsidRPr="00D52B7C">
              <w:rPr>
                <w:lang w:val="fr-FR"/>
              </w:rPr>
              <w:t>'</w:t>
            </w:r>
            <w:r w:rsidR="008E1AD2" w:rsidRPr="00D52B7C">
              <w:rPr>
                <w:lang w:val="fr-FR"/>
              </w:rPr>
              <w:t>études</w:t>
            </w:r>
            <w:r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8" w:history="1">
              <w:r w:rsidR="00A06550" w:rsidRPr="00D52B7C">
                <w:rPr>
                  <w:color w:val="0000FF"/>
                  <w:sz w:val="20"/>
                  <w:u w:val="single"/>
                  <w:lang w:val="fr-FR"/>
                </w:rPr>
                <w:t>RevCom-C.10</w:t>
              </w:r>
            </w:hyperlink>
          </w:p>
        </w:tc>
        <w:tc>
          <w:tcPr>
            <w:tcW w:w="1154" w:type="pct"/>
            <w:shd w:val="clear" w:color="auto" w:fill="auto"/>
          </w:tcPr>
          <w:p w:rsidR="00A06550" w:rsidRPr="00D52B7C" w:rsidRDefault="00A06550" w:rsidP="00725A40">
            <w:pPr>
              <w:pStyle w:val="Tabletext"/>
              <w:rPr>
                <w:lang w:val="fr-FR"/>
              </w:rPr>
            </w:pPr>
            <w:r w:rsidRPr="00D52B7C">
              <w:rPr>
                <w:lang w:val="fr-FR"/>
              </w:rPr>
              <w:t>Universit</w:t>
            </w:r>
            <w:r w:rsidR="00725A40" w:rsidRPr="00D52B7C">
              <w:rPr>
                <w:lang w:val="fr-FR"/>
              </w:rPr>
              <w:t xml:space="preserve">é de </w:t>
            </w:r>
            <w:r w:rsidRPr="00D52B7C">
              <w:rPr>
                <w:lang w:val="fr-FR"/>
              </w:rPr>
              <w:t>Zuric</w:t>
            </w:r>
            <w:r w:rsidR="00725A40" w:rsidRPr="00D52B7C">
              <w:rPr>
                <w:lang w:val="fr-FR"/>
              </w:rPr>
              <w:t>h</w:t>
            </w:r>
            <w:r w:rsidRPr="00D52B7C">
              <w:rPr>
                <w:lang w:val="fr-FR"/>
              </w:rPr>
              <w:t xml:space="preserve"> (UZH)</w:t>
            </w:r>
          </w:p>
        </w:tc>
        <w:tc>
          <w:tcPr>
            <w:tcW w:w="2788" w:type="pct"/>
            <w:shd w:val="clear" w:color="auto" w:fill="auto"/>
          </w:tcPr>
          <w:p w:rsidR="00A06550" w:rsidRPr="00D52B7C" w:rsidRDefault="00A06550" w:rsidP="00A123E9">
            <w:pPr>
              <w:pStyle w:val="Tabletext"/>
              <w:rPr>
                <w:lang w:val="fr-FR"/>
              </w:rPr>
            </w:pPr>
            <w:r w:rsidRPr="00D52B7C">
              <w:rPr>
                <w:lang w:val="fr-FR"/>
              </w:rPr>
              <w:t>Int</w:t>
            </w:r>
            <w:r w:rsidR="00A123E9">
              <w:rPr>
                <w:lang w:val="fr-FR"/>
              </w:rPr>
              <w:t>é</w:t>
            </w:r>
            <w:r w:rsidRPr="00D52B7C">
              <w:rPr>
                <w:lang w:val="fr-FR"/>
              </w:rPr>
              <w:t xml:space="preserve">gration </w:t>
            </w:r>
            <w:r w:rsidR="001631D3" w:rsidRPr="00D52B7C">
              <w:rPr>
                <w:lang w:val="fr-FR"/>
              </w:rPr>
              <w:t>de l</w:t>
            </w:r>
            <w:r w:rsidR="00FC0ACA" w:rsidRPr="00D52B7C">
              <w:rPr>
                <w:lang w:val="fr-FR"/>
              </w:rPr>
              <w:t>'</w:t>
            </w:r>
            <w:r w:rsidR="001631D3" w:rsidRPr="00D52B7C">
              <w:rPr>
                <w:lang w:val="fr-FR"/>
              </w:rPr>
              <w:t>analyse des différends dans l</w:t>
            </w:r>
            <w:r w:rsidR="00FC0ACA" w:rsidRPr="00D52B7C">
              <w:rPr>
                <w:lang w:val="fr-FR"/>
              </w:rPr>
              <w:t>'</w:t>
            </w:r>
            <w:r w:rsidR="001631D3" w:rsidRPr="00D52B7C">
              <w:rPr>
                <w:lang w:val="fr-FR"/>
              </w:rPr>
              <w:t>élaboration des Recommandations</w:t>
            </w:r>
            <w:r w:rsidR="00FC0ACA" w:rsidRPr="00D52B7C">
              <w:rPr>
                <w:lang w:val="fr-FR"/>
              </w:rPr>
              <w:t xml:space="preserve"> </w:t>
            </w:r>
            <w:r w:rsidR="001631D3" w:rsidRPr="00D52B7C">
              <w:rPr>
                <w:lang w:val="fr-FR"/>
              </w:rPr>
              <w:t>de l</w:t>
            </w:r>
            <w:r w:rsidR="00FC0ACA" w:rsidRPr="00D52B7C">
              <w:rPr>
                <w:lang w:val="fr-FR"/>
              </w:rPr>
              <w:t>'</w:t>
            </w:r>
            <w:r w:rsidR="001631D3" w:rsidRPr="00D52B7C">
              <w:rPr>
                <w:lang w:val="fr-FR"/>
              </w:rPr>
              <w:t>UIT-T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59" w:history="1">
              <w:r w:rsidR="00A06550" w:rsidRPr="00D52B7C">
                <w:rPr>
                  <w:color w:val="0000FF"/>
                  <w:sz w:val="20"/>
                  <w:u w:val="single"/>
                  <w:lang w:val="fr-FR"/>
                </w:rPr>
                <w:t>RevCom-C.11</w:t>
              </w:r>
            </w:hyperlink>
          </w:p>
        </w:tc>
        <w:tc>
          <w:tcPr>
            <w:tcW w:w="1154" w:type="pct"/>
            <w:shd w:val="clear" w:color="auto" w:fill="auto"/>
          </w:tcPr>
          <w:p w:rsidR="00A06550" w:rsidRPr="00D52B7C" w:rsidRDefault="00A06550" w:rsidP="00725A40">
            <w:pPr>
              <w:pStyle w:val="Tabletext"/>
              <w:rPr>
                <w:lang w:val="fr-FR"/>
              </w:rPr>
            </w:pPr>
            <w:r w:rsidRPr="00D52B7C">
              <w:rPr>
                <w:lang w:val="fr-FR"/>
              </w:rPr>
              <w:t>Canada</w:t>
            </w:r>
          </w:p>
        </w:tc>
        <w:tc>
          <w:tcPr>
            <w:tcW w:w="2788" w:type="pct"/>
            <w:shd w:val="clear" w:color="auto" w:fill="auto"/>
          </w:tcPr>
          <w:p w:rsidR="00A06550" w:rsidRPr="00D52B7C" w:rsidRDefault="001631D3" w:rsidP="001631D3">
            <w:pPr>
              <w:pStyle w:val="Tabletext"/>
              <w:rPr>
                <w:lang w:val="fr-FR"/>
              </w:rPr>
            </w:pPr>
            <w:r w:rsidRPr="00D52B7C">
              <w:rPr>
                <w:lang w:val="fr-FR"/>
              </w:rPr>
              <w:t xml:space="preserve">Options en matière de coopération </w:t>
            </w:r>
            <w:r w:rsidR="00A140BA" w:rsidRPr="00D52B7C">
              <w:rPr>
                <w:lang w:val="fr-FR"/>
              </w:rPr>
              <w:t xml:space="preserve">et de </w:t>
            </w:r>
            <w:r w:rsidRPr="00D52B7C">
              <w:rPr>
                <w:lang w:val="fr-FR"/>
              </w:rPr>
              <w:t>collaboration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0" w:history="1">
              <w:r w:rsidR="00A06550" w:rsidRPr="00D52B7C">
                <w:rPr>
                  <w:color w:val="0000FF"/>
                  <w:sz w:val="20"/>
                  <w:u w:val="single"/>
                  <w:lang w:val="fr-FR"/>
                </w:rPr>
                <w:t>RevCom-C.12R1</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1631D3" w:rsidP="001631D3">
            <w:pPr>
              <w:pStyle w:val="Tabletext"/>
              <w:rPr>
                <w:lang w:val="fr-FR"/>
              </w:rPr>
            </w:pPr>
            <w:r w:rsidRPr="00D52B7C">
              <w:rPr>
                <w:lang w:val="fr-FR"/>
              </w:rPr>
              <w:t>Examen de la structure future des commissions d</w:t>
            </w:r>
            <w:r w:rsidR="00FC0ACA" w:rsidRPr="00D52B7C">
              <w:rPr>
                <w:lang w:val="fr-FR"/>
              </w:rPr>
              <w:t>'</w:t>
            </w:r>
            <w:r w:rsidRPr="00D52B7C">
              <w:rPr>
                <w:lang w:val="fr-FR"/>
              </w:rPr>
              <w:t>études, notamment des tâches incombant à d</w:t>
            </w:r>
            <w:r w:rsidR="00FC0ACA" w:rsidRPr="00D52B7C">
              <w:rPr>
                <w:lang w:val="fr-FR"/>
              </w:rPr>
              <w:t>'</w:t>
            </w:r>
            <w:r w:rsidRPr="00D52B7C">
              <w:rPr>
                <w:lang w:val="fr-FR"/>
              </w:rPr>
              <w:t>autres groupes tels que les groupes spécialisés</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1" w:history="1">
              <w:r w:rsidR="00A06550" w:rsidRPr="00D52B7C">
                <w:rPr>
                  <w:color w:val="0000FF"/>
                  <w:sz w:val="20"/>
                  <w:u w:val="single"/>
                  <w:lang w:val="fr-FR"/>
                </w:rPr>
                <w:t>RevCom-C.13R1</w:t>
              </w:r>
            </w:hyperlink>
          </w:p>
        </w:tc>
        <w:tc>
          <w:tcPr>
            <w:tcW w:w="1154" w:type="pct"/>
            <w:shd w:val="clear" w:color="auto" w:fill="auto"/>
          </w:tcPr>
          <w:p w:rsidR="00A06550" w:rsidRPr="00D52B7C" w:rsidRDefault="00725A40" w:rsidP="00725A40">
            <w:pPr>
              <w:pStyle w:val="Tabletext"/>
              <w:rPr>
                <w:lang w:val="fr-FR"/>
              </w:rPr>
            </w:pPr>
            <w:r w:rsidRPr="00D52B7C">
              <w:rPr>
                <w:lang w:val="fr-FR"/>
              </w:rPr>
              <w:t>Corée (</w:t>
            </w:r>
            <w:proofErr w:type="spellStart"/>
            <w:r w:rsidRPr="00D52B7C">
              <w:rPr>
                <w:lang w:val="fr-FR"/>
              </w:rPr>
              <w:t>Rép</w:t>
            </w:r>
            <w:proofErr w:type="spellEnd"/>
            <w:r w:rsidRPr="00D52B7C">
              <w:rPr>
                <w:lang w:val="fr-FR"/>
              </w:rPr>
              <w:t>. de)</w:t>
            </w:r>
          </w:p>
        </w:tc>
        <w:tc>
          <w:tcPr>
            <w:tcW w:w="2788" w:type="pct"/>
            <w:shd w:val="clear" w:color="auto" w:fill="auto"/>
          </w:tcPr>
          <w:p w:rsidR="00A06550" w:rsidRPr="00D52B7C" w:rsidRDefault="001631D3" w:rsidP="001631D3">
            <w:pPr>
              <w:pStyle w:val="Tabletext"/>
              <w:rPr>
                <w:lang w:val="fr-FR"/>
              </w:rPr>
            </w:pPr>
            <w:r w:rsidRPr="00D52B7C">
              <w:rPr>
                <w:lang w:val="fr-FR"/>
              </w:rPr>
              <w:t>Proposition relative à l</w:t>
            </w:r>
            <w:r w:rsidR="00FC0ACA" w:rsidRPr="00D52B7C">
              <w:rPr>
                <w:lang w:val="fr-FR"/>
              </w:rPr>
              <w:t>'</w:t>
            </w:r>
            <w:r w:rsidRPr="00D52B7C">
              <w:rPr>
                <w:lang w:val="fr-FR"/>
              </w:rPr>
              <w:t>examen des principes fondamentaux régissant la restructuration des commissions d</w:t>
            </w:r>
            <w:r w:rsidR="00FC0ACA" w:rsidRPr="00D52B7C">
              <w:rPr>
                <w:lang w:val="fr-FR"/>
              </w:rPr>
              <w:t>'</w:t>
            </w:r>
            <w:r w:rsidRPr="00D52B7C">
              <w:rPr>
                <w:lang w:val="fr-FR"/>
              </w:rPr>
              <w:t>études de l</w:t>
            </w:r>
            <w:r w:rsidR="00FC0ACA" w:rsidRPr="00D52B7C">
              <w:rPr>
                <w:lang w:val="fr-FR"/>
              </w:rPr>
              <w:t>'</w:t>
            </w:r>
            <w:r w:rsidRPr="00D52B7C">
              <w:rPr>
                <w:lang w:val="fr-FR"/>
              </w:rPr>
              <w:t>UIT-T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2" w:history="1">
              <w:r w:rsidR="00A06550" w:rsidRPr="00D52B7C">
                <w:rPr>
                  <w:color w:val="0000FF"/>
                  <w:sz w:val="20"/>
                  <w:u w:val="single"/>
                  <w:lang w:val="fr-FR"/>
                </w:rPr>
                <w:t>RevCom-C.14</w:t>
              </w:r>
            </w:hyperlink>
          </w:p>
        </w:tc>
        <w:tc>
          <w:tcPr>
            <w:tcW w:w="1154" w:type="pct"/>
            <w:shd w:val="clear" w:color="auto" w:fill="auto"/>
          </w:tcPr>
          <w:p w:rsidR="00A06550" w:rsidRPr="00D52B7C" w:rsidRDefault="00A06550" w:rsidP="00725A40">
            <w:pPr>
              <w:pStyle w:val="Tabletext"/>
              <w:rPr>
                <w:lang w:val="fr-FR"/>
              </w:rPr>
            </w:pPr>
            <w:r w:rsidRPr="00D52B7C">
              <w:rPr>
                <w:lang w:val="fr-FR"/>
              </w:rPr>
              <w:t>Nokia Solutions and Networks</w:t>
            </w:r>
          </w:p>
        </w:tc>
        <w:tc>
          <w:tcPr>
            <w:tcW w:w="2788" w:type="pct"/>
            <w:shd w:val="clear" w:color="auto" w:fill="auto"/>
          </w:tcPr>
          <w:p w:rsidR="00A06550" w:rsidRPr="00D52B7C" w:rsidRDefault="001631D3" w:rsidP="00952BB4">
            <w:pPr>
              <w:pStyle w:val="Tabletext"/>
              <w:rPr>
                <w:lang w:val="fr-FR"/>
              </w:rPr>
            </w:pPr>
            <w:r w:rsidRPr="00D52B7C">
              <w:rPr>
                <w:lang w:val="fr-FR"/>
              </w:rPr>
              <w:t>Proposition relative aux principes applicables à l</w:t>
            </w:r>
            <w:r w:rsidR="00FC0ACA" w:rsidRPr="00D52B7C">
              <w:rPr>
                <w:lang w:val="fr-FR"/>
              </w:rPr>
              <w:t>'</w:t>
            </w:r>
            <w:r w:rsidRPr="00D52B7C">
              <w:rPr>
                <w:lang w:val="fr-FR"/>
              </w:rPr>
              <w:t xml:space="preserve">examen </w:t>
            </w:r>
            <w:r w:rsidR="00D57E78" w:rsidRPr="00D52B7C">
              <w:rPr>
                <w:lang w:val="fr-FR"/>
              </w:rPr>
              <w:t xml:space="preserve">stratégique et structurel du Secteur de la normalisation des télécommunications de l'UIT </w:t>
            </w:r>
            <w:r w:rsidRPr="00D52B7C">
              <w:rPr>
                <w:lang w:val="fr-FR"/>
              </w:rPr>
              <w:t>soumise au nom de</w:t>
            </w:r>
            <w:r w:rsidR="00A06550" w:rsidRPr="00D52B7C">
              <w:rPr>
                <w:lang w:val="fr-FR"/>
              </w:rPr>
              <w:t xml:space="preserve"> Digital Europe</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3" w:history="1">
              <w:r w:rsidR="00A06550" w:rsidRPr="00D52B7C">
                <w:rPr>
                  <w:color w:val="0000FF"/>
                  <w:sz w:val="20"/>
                  <w:u w:val="single"/>
                  <w:lang w:val="fr-FR"/>
                </w:rPr>
                <w:t>RevCom-C.15R1</w:t>
              </w:r>
            </w:hyperlink>
          </w:p>
        </w:tc>
        <w:tc>
          <w:tcPr>
            <w:tcW w:w="1154" w:type="pct"/>
            <w:shd w:val="clear" w:color="auto" w:fill="auto"/>
          </w:tcPr>
          <w:p w:rsidR="00A06550" w:rsidRPr="00D52B7C" w:rsidRDefault="00725A40" w:rsidP="00725A40">
            <w:pPr>
              <w:pStyle w:val="Tabletext"/>
              <w:rPr>
                <w:lang w:val="fr-FR"/>
              </w:rPr>
            </w:pPr>
            <w:r w:rsidRPr="00D52B7C">
              <w:rPr>
                <w:lang w:val="fr-FR"/>
              </w:rPr>
              <w:t>Autriche</w:t>
            </w:r>
            <w:r w:rsidR="00A06550" w:rsidRPr="00D52B7C">
              <w:rPr>
                <w:lang w:val="fr-FR"/>
              </w:rPr>
              <w:t>, Bulgari</w:t>
            </w:r>
            <w:r w:rsidRPr="00D52B7C">
              <w:rPr>
                <w:lang w:val="fr-FR"/>
              </w:rPr>
              <w:t>e</w:t>
            </w:r>
            <w:r w:rsidR="00A06550" w:rsidRPr="00D52B7C">
              <w:rPr>
                <w:lang w:val="fr-FR"/>
              </w:rPr>
              <w:t xml:space="preserve">, </w:t>
            </w:r>
            <w:r w:rsidRPr="00D52B7C">
              <w:rPr>
                <w:lang w:val="fr-FR"/>
              </w:rPr>
              <w:t xml:space="preserve">République tchèque, </w:t>
            </w:r>
            <w:r w:rsidR="00A06550" w:rsidRPr="00D52B7C">
              <w:rPr>
                <w:lang w:val="fr-FR"/>
              </w:rPr>
              <w:t>Finland</w:t>
            </w:r>
            <w:r w:rsidRPr="00D52B7C">
              <w:rPr>
                <w:lang w:val="fr-FR"/>
              </w:rPr>
              <w:t>e</w:t>
            </w:r>
            <w:r w:rsidR="00A06550" w:rsidRPr="00D52B7C">
              <w:rPr>
                <w:lang w:val="fr-FR"/>
              </w:rPr>
              <w:t xml:space="preserve">, France, </w:t>
            </w:r>
            <w:r w:rsidRPr="00D52B7C">
              <w:rPr>
                <w:lang w:val="fr-FR"/>
              </w:rPr>
              <w:t>Allemagne, Pays-Bas, Norvège</w:t>
            </w:r>
          </w:p>
        </w:tc>
        <w:tc>
          <w:tcPr>
            <w:tcW w:w="2788" w:type="pct"/>
            <w:shd w:val="clear" w:color="auto" w:fill="auto"/>
          </w:tcPr>
          <w:p w:rsidR="00A06550" w:rsidRPr="00D52B7C" w:rsidRDefault="00A140BA" w:rsidP="00A05893">
            <w:pPr>
              <w:pStyle w:val="Tabletext"/>
              <w:rPr>
                <w:lang w:val="fr-FR"/>
              </w:rPr>
            </w:pPr>
            <w:r w:rsidRPr="00D52B7C">
              <w:rPr>
                <w:color w:val="000000"/>
                <w:lang w:val="fr-FR"/>
              </w:rPr>
              <w:t>P</w:t>
            </w:r>
            <w:r w:rsidR="00A05893" w:rsidRPr="00D52B7C">
              <w:rPr>
                <w:color w:val="000000"/>
                <w:lang w:val="fr-FR"/>
              </w:rPr>
              <w:t>roposition soumise par plusieurs pays</w:t>
            </w:r>
            <w:r w:rsidR="00A05893" w:rsidRPr="00D52B7C">
              <w:rPr>
                <w:lang w:val="fr-FR"/>
              </w:rPr>
              <w:t xml:space="preserve"> concernant les principes applicables à l</w:t>
            </w:r>
            <w:r w:rsidR="00FC0ACA" w:rsidRPr="00D52B7C">
              <w:rPr>
                <w:lang w:val="fr-FR"/>
              </w:rPr>
              <w:t>'</w:t>
            </w:r>
            <w:r w:rsidR="00A05893" w:rsidRPr="00D52B7C">
              <w:rPr>
                <w:lang w:val="fr-FR"/>
              </w:rPr>
              <w:t>examen</w:t>
            </w:r>
            <w:r w:rsidR="00FC0ACA" w:rsidRPr="00D52B7C">
              <w:rPr>
                <w:lang w:val="fr-FR"/>
              </w:rPr>
              <w:t xml:space="preserve"> </w:t>
            </w:r>
            <w:r w:rsidR="00D57E78" w:rsidRPr="00D52B7C">
              <w:rPr>
                <w:lang w:val="fr-FR"/>
              </w:rPr>
              <w:t>stratégique et structurel du Secteur de la normalisation des télécommunications de l'UIT</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4" w:history="1">
              <w:r w:rsidR="00A06550" w:rsidRPr="00D52B7C">
                <w:rPr>
                  <w:color w:val="0000FF"/>
                  <w:sz w:val="20"/>
                  <w:u w:val="single"/>
                  <w:lang w:val="fr-FR"/>
                </w:rPr>
                <w:t>RevCom-C.16</w:t>
              </w:r>
            </w:hyperlink>
          </w:p>
        </w:tc>
        <w:tc>
          <w:tcPr>
            <w:tcW w:w="1154" w:type="pct"/>
            <w:shd w:val="clear" w:color="auto" w:fill="auto"/>
          </w:tcPr>
          <w:p w:rsidR="00A06550" w:rsidRPr="00D52B7C" w:rsidRDefault="00A06550" w:rsidP="00725A40">
            <w:pPr>
              <w:pStyle w:val="Tabletext"/>
              <w:rPr>
                <w:lang w:val="fr-FR"/>
              </w:rPr>
            </w:pPr>
            <w:r w:rsidRPr="00D52B7C">
              <w:rPr>
                <w:lang w:val="fr-FR"/>
              </w:rPr>
              <w:t>ETRI</w:t>
            </w:r>
          </w:p>
        </w:tc>
        <w:tc>
          <w:tcPr>
            <w:tcW w:w="2788" w:type="pct"/>
            <w:shd w:val="clear" w:color="auto" w:fill="auto"/>
          </w:tcPr>
          <w:p w:rsidR="00A06550" w:rsidRPr="00D52B7C" w:rsidRDefault="00A05893" w:rsidP="00A05893">
            <w:pPr>
              <w:pStyle w:val="Tabletext"/>
              <w:rPr>
                <w:lang w:val="fr-FR"/>
              </w:rPr>
            </w:pPr>
            <w:r w:rsidRPr="00D52B7C">
              <w:rPr>
                <w:lang w:val="fr-FR"/>
              </w:rPr>
              <w:t>Résumé succinct des résultats des discussions relatives au questionnaire du Comité d</w:t>
            </w:r>
            <w:r w:rsidR="00FC0ACA" w:rsidRPr="00D52B7C">
              <w:rPr>
                <w:lang w:val="fr-FR"/>
              </w:rPr>
              <w:t>'</w:t>
            </w:r>
            <w:r w:rsidRPr="00D52B7C">
              <w:rPr>
                <w:lang w:val="fr-FR"/>
              </w:rPr>
              <w:t>examen lors de la réunion du Comité sur la stratégie de normalisation de l</w:t>
            </w:r>
            <w:r w:rsidR="00FC0ACA" w:rsidRPr="00D52B7C">
              <w:rPr>
                <w:lang w:val="fr-FR"/>
              </w:rPr>
              <w:t>'</w:t>
            </w:r>
            <w:r w:rsidR="00A06550" w:rsidRPr="00D52B7C">
              <w:rPr>
                <w:lang w:val="fr-FR"/>
              </w:rPr>
              <w:t>ETRI</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5" w:history="1">
              <w:r w:rsidR="00A06550" w:rsidRPr="00D52B7C">
                <w:rPr>
                  <w:color w:val="0000FF"/>
                  <w:sz w:val="20"/>
                  <w:u w:val="single"/>
                  <w:lang w:val="fr-FR"/>
                </w:rPr>
                <w:t>RevCom-C.17R1</w:t>
              </w:r>
            </w:hyperlink>
          </w:p>
        </w:tc>
        <w:tc>
          <w:tcPr>
            <w:tcW w:w="1154" w:type="pct"/>
            <w:shd w:val="clear" w:color="auto" w:fill="auto"/>
          </w:tcPr>
          <w:p w:rsidR="00A06550" w:rsidRPr="00D52B7C" w:rsidRDefault="00725A40" w:rsidP="00725A40">
            <w:pPr>
              <w:pStyle w:val="Tabletext"/>
              <w:rPr>
                <w:lang w:val="fr-FR"/>
              </w:rPr>
            </w:pPr>
            <w:r w:rsidRPr="00D52B7C">
              <w:rPr>
                <w:lang w:val="fr-FR"/>
              </w:rPr>
              <w:t>Corée (</w:t>
            </w:r>
            <w:proofErr w:type="spellStart"/>
            <w:r w:rsidRPr="00D52B7C">
              <w:rPr>
                <w:lang w:val="fr-FR"/>
              </w:rPr>
              <w:t>Rép</w:t>
            </w:r>
            <w:proofErr w:type="spellEnd"/>
            <w:r w:rsidRPr="00D52B7C">
              <w:rPr>
                <w:lang w:val="fr-FR"/>
              </w:rPr>
              <w:t>. de)</w:t>
            </w:r>
          </w:p>
        </w:tc>
        <w:tc>
          <w:tcPr>
            <w:tcW w:w="2788" w:type="pct"/>
            <w:shd w:val="clear" w:color="auto" w:fill="auto"/>
          </w:tcPr>
          <w:p w:rsidR="00A06550" w:rsidRPr="00D52B7C" w:rsidRDefault="00A05893" w:rsidP="00A05893">
            <w:pPr>
              <w:pStyle w:val="Tabletext"/>
              <w:rPr>
                <w:lang w:val="fr-FR"/>
              </w:rPr>
            </w:pPr>
            <w:r w:rsidRPr="00D52B7C">
              <w:rPr>
                <w:lang w:val="fr-FR"/>
              </w:rPr>
              <w:t>Questions concernant certains principes et mécanismes de la structure organisationnelle de l</w:t>
            </w:r>
            <w:r w:rsidR="00FC0ACA" w:rsidRPr="00D52B7C">
              <w:rPr>
                <w:lang w:val="fr-FR"/>
              </w:rPr>
              <w:t>'</w:t>
            </w:r>
            <w:r w:rsidR="00A140BA" w:rsidRPr="00D52B7C">
              <w:rPr>
                <w:lang w:val="fr-FR"/>
              </w:rPr>
              <w:t>UIT</w:t>
            </w:r>
            <w:r w:rsidR="00A140BA" w:rsidRPr="00D52B7C">
              <w:rPr>
                <w:lang w:val="fr-FR"/>
              </w:rPr>
              <w:noBreakHyphen/>
            </w:r>
            <w:r w:rsidRPr="00D52B7C">
              <w:rPr>
                <w:lang w:val="fr-FR"/>
              </w:rPr>
              <w: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6" w:history="1">
              <w:r w:rsidR="00A06550" w:rsidRPr="00D52B7C">
                <w:rPr>
                  <w:color w:val="0000FF"/>
                  <w:sz w:val="20"/>
                  <w:u w:val="single"/>
                  <w:lang w:val="fr-FR"/>
                </w:rPr>
                <w:t>RevCom-C.18R1</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A05893" w:rsidP="00A05893">
            <w:pPr>
              <w:pStyle w:val="Tabletext"/>
              <w:rPr>
                <w:lang w:val="fr-FR"/>
              </w:rPr>
            </w:pPr>
            <w:r w:rsidRPr="00D52B7C">
              <w:rPr>
                <w:lang w:val="fr-FR"/>
              </w:rPr>
              <w:t>Mesures proposées concernant la restructuration de l</w:t>
            </w:r>
            <w:r w:rsidR="00FC0ACA" w:rsidRPr="00D52B7C">
              <w:rPr>
                <w:lang w:val="fr-FR"/>
              </w:rPr>
              <w:t>'</w:t>
            </w:r>
            <w:r w:rsidR="0003799B">
              <w:rPr>
                <w:lang w:val="fr-FR"/>
              </w:rPr>
              <w:t>UIT</w:t>
            </w:r>
            <w:r w:rsidR="0003799B">
              <w:rPr>
                <w:lang w:val="fr-FR"/>
              </w:rPr>
              <w:noBreakHyphen/>
            </w:r>
            <w:r w:rsidRPr="00D52B7C">
              <w:rPr>
                <w:lang w:val="fr-FR"/>
              </w:rPr>
              <w:t xml:space="preserve">T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7" w:history="1">
              <w:r w:rsidR="00A06550" w:rsidRPr="00D52B7C">
                <w:rPr>
                  <w:color w:val="0000FF"/>
                  <w:sz w:val="20"/>
                  <w:u w:val="single"/>
                  <w:lang w:val="fr-FR"/>
                </w:rPr>
                <w:t>RevCom-C.19</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C47A27" w:rsidP="00C47A27">
            <w:pPr>
              <w:pStyle w:val="Tabletext"/>
              <w:rPr>
                <w:lang w:val="fr-FR"/>
              </w:rPr>
            </w:pPr>
            <w:r w:rsidRPr="00D52B7C">
              <w:rPr>
                <w:lang w:val="fr-FR"/>
              </w:rPr>
              <w:t>Propositions visant à améliorer les activités de normalisation de l</w:t>
            </w:r>
            <w:r w:rsidR="00FC0ACA" w:rsidRPr="00D52B7C">
              <w:rPr>
                <w:lang w:val="fr-FR"/>
              </w:rPr>
              <w:t>'</w:t>
            </w:r>
            <w:r w:rsidRPr="00D52B7C">
              <w:rPr>
                <w:lang w:val="fr-FR"/>
              </w:rPr>
              <w:t>UIT T, y compris la collaboration avec d</w:t>
            </w:r>
            <w:r w:rsidR="00FC0ACA" w:rsidRPr="00D52B7C">
              <w:rPr>
                <w:lang w:val="fr-FR"/>
              </w:rPr>
              <w:t>'</w:t>
            </w:r>
            <w:r w:rsidRPr="00D52B7C">
              <w:rPr>
                <w:lang w:val="fr-FR"/>
              </w:rPr>
              <w:t>autres organismes</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8" w:history="1">
              <w:r w:rsidR="00A06550" w:rsidRPr="00D52B7C">
                <w:rPr>
                  <w:color w:val="0000FF"/>
                  <w:sz w:val="20"/>
                  <w:u w:val="single"/>
                  <w:lang w:val="fr-FR"/>
                </w:rPr>
                <w:t>RevCom-C.20R1</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C47A27" w:rsidP="00F27A10">
            <w:pPr>
              <w:pStyle w:val="Tabletext"/>
              <w:rPr>
                <w:lang w:val="fr-FR"/>
              </w:rPr>
            </w:pPr>
            <w:r w:rsidRPr="00D52B7C">
              <w:rPr>
                <w:lang w:val="fr-FR"/>
              </w:rPr>
              <w:t>Principes régissant les activités de normalisation de l</w:t>
            </w:r>
            <w:r w:rsidR="00FC0ACA" w:rsidRPr="00D52B7C">
              <w:rPr>
                <w:lang w:val="fr-FR"/>
              </w:rPr>
              <w:t>'</w:t>
            </w:r>
            <w:r w:rsidRPr="00D52B7C">
              <w:rPr>
                <w:lang w:val="fr-FR"/>
              </w:rPr>
              <w:t>UIT-T</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69" w:history="1">
              <w:r w:rsidR="00A06550" w:rsidRPr="00D52B7C">
                <w:rPr>
                  <w:color w:val="0000FF"/>
                  <w:sz w:val="20"/>
                  <w:u w:val="single"/>
                  <w:lang w:val="fr-FR"/>
                </w:rPr>
                <w:t>RevCom-C.21</w:t>
              </w:r>
            </w:hyperlink>
          </w:p>
        </w:tc>
        <w:tc>
          <w:tcPr>
            <w:tcW w:w="1154" w:type="pct"/>
            <w:shd w:val="clear" w:color="auto" w:fill="auto"/>
          </w:tcPr>
          <w:p w:rsidR="00A06550" w:rsidRPr="00D52B7C" w:rsidRDefault="00725A40" w:rsidP="00725A40">
            <w:pPr>
              <w:pStyle w:val="Tabletext"/>
              <w:rPr>
                <w:lang w:val="fr-FR"/>
              </w:rPr>
            </w:pPr>
            <w:r w:rsidRPr="00D52B7C">
              <w:rPr>
                <w:lang w:val="fr-FR"/>
              </w:rPr>
              <w:t>Etats-Unis d'Amérique</w:t>
            </w:r>
          </w:p>
        </w:tc>
        <w:tc>
          <w:tcPr>
            <w:tcW w:w="2788" w:type="pct"/>
            <w:shd w:val="clear" w:color="auto" w:fill="auto"/>
          </w:tcPr>
          <w:p w:rsidR="00A06550" w:rsidRPr="00D52B7C" w:rsidRDefault="00C47A27" w:rsidP="00C47A27">
            <w:pPr>
              <w:pStyle w:val="Tabletext"/>
              <w:rPr>
                <w:lang w:val="fr-FR"/>
              </w:rPr>
            </w:pPr>
            <w:r w:rsidRPr="00D52B7C">
              <w:rPr>
                <w:lang w:val="fr-FR"/>
              </w:rPr>
              <w:t>Principes régissant la structure des commissions d</w:t>
            </w:r>
            <w:r w:rsidR="00FC0ACA" w:rsidRPr="00D52B7C">
              <w:rPr>
                <w:lang w:val="fr-FR"/>
              </w:rPr>
              <w:t>'</w:t>
            </w:r>
            <w:r w:rsidRPr="00D52B7C">
              <w:rPr>
                <w:lang w:val="fr-FR"/>
              </w:rPr>
              <w:t>études</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0" w:history="1">
              <w:r w:rsidR="00A06550" w:rsidRPr="00D52B7C">
                <w:rPr>
                  <w:color w:val="0000FF"/>
                  <w:sz w:val="20"/>
                  <w:u w:val="single"/>
                  <w:lang w:val="fr-FR"/>
                </w:rPr>
                <w:t>RevCom-C.22</w:t>
              </w:r>
            </w:hyperlink>
          </w:p>
        </w:tc>
        <w:tc>
          <w:tcPr>
            <w:tcW w:w="1154" w:type="pct"/>
            <w:shd w:val="clear" w:color="auto" w:fill="auto"/>
          </w:tcPr>
          <w:p w:rsidR="00A06550" w:rsidRPr="00D52B7C" w:rsidRDefault="00725A40" w:rsidP="00725A40">
            <w:pPr>
              <w:pStyle w:val="Tabletext"/>
              <w:rPr>
                <w:lang w:val="fr-FR"/>
              </w:rPr>
            </w:pPr>
            <w:r w:rsidRPr="00D52B7C">
              <w:rPr>
                <w:lang w:val="fr-FR"/>
              </w:rPr>
              <w:t>Corée (</w:t>
            </w:r>
            <w:proofErr w:type="spellStart"/>
            <w:r w:rsidRPr="00D52B7C">
              <w:rPr>
                <w:lang w:val="fr-FR"/>
              </w:rPr>
              <w:t>Rép</w:t>
            </w:r>
            <w:proofErr w:type="spellEnd"/>
            <w:r w:rsidRPr="00D52B7C">
              <w:rPr>
                <w:lang w:val="fr-FR"/>
              </w:rPr>
              <w:t>. de)</w:t>
            </w:r>
          </w:p>
        </w:tc>
        <w:tc>
          <w:tcPr>
            <w:tcW w:w="2788" w:type="pct"/>
            <w:shd w:val="clear" w:color="auto" w:fill="auto"/>
          </w:tcPr>
          <w:p w:rsidR="00A06550" w:rsidRPr="00D52B7C" w:rsidRDefault="00F27A10" w:rsidP="00C47A27">
            <w:pPr>
              <w:pStyle w:val="Tabletext"/>
              <w:rPr>
                <w:lang w:val="fr-FR"/>
              </w:rPr>
            </w:pPr>
            <w:r w:rsidRPr="00D52B7C">
              <w:rPr>
                <w:lang w:val="fr-FR"/>
              </w:rPr>
              <w:t>E</w:t>
            </w:r>
            <w:r w:rsidR="00C47A27" w:rsidRPr="00D52B7C">
              <w:rPr>
                <w:lang w:val="fr-FR"/>
              </w:rPr>
              <w:t>léments à prendre en considération pour la restructuration de l</w:t>
            </w:r>
            <w:r w:rsidR="00FC0ACA" w:rsidRPr="00D52B7C">
              <w:rPr>
                <w:lang w:val="fr-FR"/>
              </w:rPr>
              <w:t>'</w:t>
            </w:r>
            <w:r w:rsidR="00F52FC6">
              <w:rPr>
                <w:lang w:val="fr-FR"/>
              </w:rPr>
              <w:t>UIT</w:t>
            </w:r>
            <w:r w:rsidR="00F52FC6">
              <w:rPr>
                <w:lang w:val="fr-FR"/>
              </w:rPr>
              <w:noBreakHyphen/>
            </w:r>
            <w:r w:rsidR="00C47A27" w:rsidRPr="00D52B7C">
              <w:rPr>
                <w:lang w:val="fr-FR"/>
              </w:rPr>
              <w: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1" w:history="1">
              <w:r w:rsidR="00A06550" w:rsidRPr="00D52B7C">
                <w:rPr>
                  <w:color w:val="0000FF"/>
                  <w:sz w:val="20"/>
                  <w:u w:val="single"/>
                  <w:lang w:val="fr-FR"/>
                </w:rPr>
                <w:t>RevCom-C.23</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C47A27" w:rsidP="00C47A27">
            <w:pPr>
              <w:pStyle w:val="Tabletext"/>
              <w:rPr>
                <w:lang w:val="fr-FR"/>
              </w:rPr>
            </w:pPr>
            <w:r w:rsidRPr="00D52B7C">
              <w:rPr>
                <w:lang w:val="fr-FR"/>
              </w:rPr>
              <w:t>Proposition relative à la création d</w:t>
            </w:r>
            <w:r w:rsidR="00FC0ACA" w:rsidRPr="00D52B7C">
              <w:rPr>
                <w:lang w:val="fr-FR"/>
              </w:rPr>
              <w:t>'</w:t>
            </w:r>
            <w:r w:rsidRPr="00D52B7C">
              <w:rPr>
                <w:lang w:val="fr-FR"/>
              </w:rPr>
              <w:t>un</w:t>
            </w:r>
            <w:r w:rsidR="00F27A10" w:rsidRPr="00D52B7C">
              <w:rPr>
                <w:lang w:val="fr-FR"/>
              </w:rPr>
              <w:t xml:space="preserve"> nouveau</w:t>
            </w:r>
            <w:r w:rsidRPr="00D52B7C">
              <w:rPr>
                <w:lang w:val="fr-FR"/>
              </w:rPr>
              <w:t xml:space="preserve"> groupe de gestion stratégique</w:t>
            </w:r>
            <w:r w:rsidR="00FC0ACA" w:rsidRPr="00D52B7C">
              <w:rPr>
                <w:lang w:val="fr-FR"/>
              </w:rPr>
              <w:t xml:space="preserve"> </w:t>
            </w:r>
            <w:r w:rsidRPr="00D52B7C">
              <w:rPr>
                <w:lang w:val="fr-FR"/>
              </w:rPr>
              <w:t>pour l</w:t>
            </w:r>
            <w:r w:rsidR="00FC0ACA" w:rsidRPr="00D52B7C">
              <w:rPr>
                <w:lang w:val="fr-FR"/>
              </w:rPr>
              <w:t>'</w:t>
            </w:r>
            <w:r w:rsidRPr="00D52B7C">
              <w:rPr>
                <w:lang w:val="fr-FR"/>
              </w:rPr>
              <w:t>UIT T</w:t>
            </w:r>
            <w:r w:rsidR="001520AA" w:rsidRPr="00D52B7C">
              <w:rPr>
                <w:lang w:val="fr-FR"/>
              </w:rPr>
              <w:t>:</w:t>
            </w:r>
            <w:r w:rsidRPr="00D52B7C">
              <w:rPr>
                <w:lang w:val="fr-FR"/>
              </w:rPr>
              <w:t xml:space="preserve"> équipe technique chargée de la stratégie en matière de normalisation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2" w:history="1">
              <w:r w:rsidR="00A06550" w:rsidRPr="00D52B7C">
                <w:rPr>
                  <w:color w:val="0000FF"/>
                  <w:sz w:val="20"/>
                  <w:u w:val="single"/>
                  <w:lang w:val="fr-FR"/>
                </w:rPr>
                <w:t>RevCom-C.24</w:t>
              </w:r>
            </w:hyperlink>
          </w:p>
        </w:tc>
        <w:tc>
          <w:tcPr>
            <w:tcW w:w="1154" w:type="pct"/>
            <w:shd w:val="clear" w:color="auto" w:fill="auto"/>
          </w:tcPr>
          <w:p w:rsidR="00A06550" w:rsidRPr="00D52B7C" w:rsidRDefault="00A06550" w:rsidP="00725A40">
            <w:pPr>
              <w:pStyle w:val="Tabletext"/>
              <w:rPr>
                <w:lang w:val="fr-FR"/>
              </w:rPr>
            </w:pPr>
            <w:r w:rsidRPr="00D52B7C">
              <w:rPr>
                <w:lang w:val="fr-FR"/>
              </w:rPr>
              <w:t>ETRI</w:t>
            </w:r>
          </w:p>
        </w:tc>
        <w:tc>
          <w:tcPr>
            <w:tcW w:w="2788" w:type="pct"/>
            <w:shd w:val="clear" w:color="auto" w:fill="auto"/>
          </w:tcPr>
          <w:p w:rsidR="00A06550" w:rsidRPr="00D52B7C" w:rsidRDefault="00C47A27" w:rsidP="00D52B7C">
            <w:pPr>
              <w:pStyle w:val="Tabletext"/>
              <w:rPr>
                <w:lang w:val="fr-FR"/>
              </w:rPr>
            </w:pPr>
            <w:r w:rsidRPr="00D52B7C">
              <w:rPr>
                <w:lang w:val="fr-FR"/>
              </w:rPr>
              <w:t>Proposition</w:t>
            </w:r>
            <w:r w:rsidR="00FC0ACA" w:rsidRPr="00D52B7C">
              <w:rPr>
                <w:lang w:val="fr-FR"/>
              </w:rPr>
              <w:t xml:space="preserve"> </w:t>
            </w:r>
            <w:r w:rsidRPr="00D52B7C">
              <w:rPr>
                <w:lang w:val="fr-FR"/>
              </w:rPr>
              <w:t>visant à élaborer un programme de travail futur concret pour le Comité d</w:t>
            </w:r>
            <w:r w:rsidR="00FC0ACA" w:rsidRPr="00D52B7C">
              <w:rPr>
                <w:lang w:val="fr-FR"/>
              </w:rPr>
              <w:t>'</w:t>
            </w:r>
            <w:r w:rsidRPr="00D52B7C">
              <w:rPr>
                <w:lang w:val="fr-FR"/>
              </w:rPr>
              <w:t>examen en vue de</w:t>
            </w:r>
            <w:r w:rsidR="00FC0ACA" w:rsidRPr="00D52B7C">
              <w:rPr>
                <w:lang w:val="fr-FR"/>
              </w:rPr>
              <w:t xml:space="preserve"> </w:t>
            </w:r>
            <w:r w:rsidRPr="00D52B7C">
              <w:rPr>
                <w:lang w:val="fr-FR"/>
              </w:rPr>
              <w:t>l</w:t>
            </w:r>
            <w:r w:rsidR="00FC0ACA" w:rsidRPr="00D52B7C">
              <w:rPr>
                <w:lang w:val="fr-FR"/>
              </w:rPr>
              <w:t>'</w:t>
            </w:r>
            <w:r w:rsidRPr="00D52B7C">
              <w:rPr>
                <w:lang w:val="fr-FR"/>
              </w:rPr>
              <w:t>AMNT</w:t>
            </w:r>
            <w:r w:rsidR="00D52B7C">
              <w:rPr>
                <w:lang w:val="fr-FR"/>
              </w:rPr>
              <w:t>-</w:t>
            </w:r>
            <w:r w:rsidRPr="00D52B7C">
              <w:rPr>
                <w:lang w:val="fr-FR"/>
              </w:rPr>
              <w:t>16</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3" w:history="1">
              <w:r w:rsidR="00A06550" w:rsidRPr="00D52B7C">
                <w:rPr>
                  <w:color w:val="0000FF"/>
                  <w:sz w:val="20"/>
                  <w:u w:val="single"/>
                  <w:lang w:val="fr-FR"/>
                </w:rPr>
                <w:t>RevCom-C.25</w:t>
              </w:r>
            </w:hyperlink>
          </w:p>
        </w:tc>
        <w:tc>
          <w:tcPr>
            <w:tcW w:w="1154" w:type="pct"/>
            <w:shd w:val="clear" w:color="auto" w:fill="auto"/>
          </w:tcPr>
          <w:p w:rsidR="00A06550" w:rsidRPr="00D52B7C" w:rsidRDefault="00A06550" w:rsidP="00C47A27">
            <w:pPr>
              <w:pStyle w:val="Tabletext"/>
              <w:rPr>
                <w:lang w:val="fr-FR"/>
              </w:rPr>
            </w:pPr>
            <w:r w:rsidRPr="00D52B7C">
              <w:rPr>
                <w:lang w:val="fr-FR"/>
              </w:rPr>
              <w:t>OFCOM (</w:t>
            </w:r>
            <w:r w:rsidR="00C47A27" w:rsidRPr="00D52B7C">
              <w:rPr>
                <w:lang w:val="fr-FR"/>
              </w:rPr>
              <w:t>Royaume-Uni</w:t>
            </w:r>
            <w:r w:rsidRPr="00D52B7C">
              <w:rPr>
                <w:lang w:val="fr-FR"/>
              </w:rPr>
              <w:t>)</w:t>
            </w:r>
          </w:p>
        </w:tc>
        <w:tc>
          <w:tcPr>
            <w:tcW w:w="2788" w:type="pct"/>
            <w:shd w:val="clear" w:color="auto" w:fill="auto"/>
          </w:tcPr>
          <w:p w:rsidR="00A06550" w:rsidRPr="00D52B7C" w:rsidRDefault="00C47A27" w:rsidP="00C47A27">
            <w:pPr>
              <w:pStyle w:val="Tabletext"/>
              <w:rPr>
                <w:lang w:val="fr-FR"/>
              </w:rPr>
            </w:pPr>
            <w:r w:rsidRPr="00D52B7C">
              <w:rPr>
                <w:lang w:val="fr-FR"/>
              </w:rPr>
              <w:t>Propositions soumises au Comité d</w:t>
            </w:r>
            <w:r w:rsidR="00FC0ACA" w:rsidRPr="00D52B7C">
              <w:rPr>
                <w:lang w:val="fr-FR"/>
              </w:rPr>
              <w:t>'</w:t>
            </w:r>
            <w:r w:rsidRPr="00D52B7C">
              <w:rPr>
                <w:lang w:val="fr-FR"/>
              </w:rPr>
              <w:t>examen de l</w:t>
            </w:r>
            <w:r w:rsidR="00FC0ACA" w:rsidRPr="00D52B7C">
              <w:rPr>
                <w:lang w:val="fr-FR"/>
              </w:rPr>
              <w:t>'</w:t>
            </w:r>
            <w:r w:rsidRPr="00D52B7C">
              <w:rPr>
                <w:lang w:val="fr-FR"/>
              </w:rPr>
              <w:t>UIT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4" w:history="1">
              <w:r w:rsidR="00A06550" w:rsidRPr="00D52B7C">
                <w:rPr>
                  <w:color w:val="0000FF"/>
                  <w:sz w:val="20"/>
                  <w:u w:val="single"/>
                  <w:lang w:val="fr-FR"/>
                </w:rPr>
                <w:t>RevCom-C.26</w:t>
              </w:r>
            </w:hyperlink>
          </w:p>
        </w:tc>
        <w:tc>
          <w:tcPr>
            <w:tcW w:w="1154" w:type="pct"/>
            <w:shd w:val="clear" w:color="auto" w:fill="auto"/>
          </w:tcPr>
          <w:p w:rsidR="00A06550" w:rsidRPr="00D52B7C" w:rsidRDefault="00A06550" w:rsidP="00725A40">
            <w:pPr>
              <w:pStyle w:val="Tabletext"/>
              <w:rPr>
                <w:lang w:val="fr-FR"/>
              </w:rPr>
            </w:pPr>
            <w:r w:rsidRPr="00D52B7C">
              <w:rPr>
                <w:lang w:val="fr-FR"/>
              </w:rPr>
              <w:t>Tunisie Télécom</w:t>
            </w:r>
          </w:p>
        </w:tc>
        <w:tc>
          <w:tcPr>
            <w:tcW w:w="2788" w:type="pct"/>
            <w:shd w:val="clear" w:color="auto" w:fill="auto"/>
          </w:tcPr>
          <w:p w:rsidR="00A06550" w:rsidRPr="00D52B7C" w:rsidRDefault="00F27A10" w:rsidP="00C47A27">
            <w:pPr>
              <w:pStyle w:val="Tabletext"/>
              <w:rPr>
                <w:lang w:val="fr-FR"/>
              </w:rPr>
            </w:pPr>
            <w:r w:rsidRPr="00D52B7C">
              <w:rPr>
                <w:lang w:val="fr-FR"/>
              </w:rPr>
              <w:t>Proposition</w:t>
            </w:r>
            <w:r w:rsidR="00C47A27" w:rsidRPr="00D52B7C">
              <w:rPr>
                <w:lang w:val="fr-FR"/>
              </w:rPr>
              <w:t xml:space="preserve"> de structure générale pour les groupes régionaux de l</w:t>
            </w:r>
            <w:r w:rsidR="00FC0ACA" w:rsidRPr="00D52B7C">
              <w:rPr>
                <w:lang w:val="fr-FR"/>
              </w:rPr>
              <w:t>'</w:t>
            </w:r>
            <w:r w:rsidR="00C47A27" w:rsidRPr="00D52B7C">
              <w:rPr>
                <w:lang w:val="fr-FR"/>
              </w:rPr>
              <w:t>UIT 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5" w:history="1">
              <w:r w:rsidR="00A06550" w:rsidRPr="00D52B7C">
                <w:rPr>
                  <w:color w:val="0000FF"/>
                  <w:sz w:val="20"/>
                  <w:u w:val="single"/>
                  <w:lang w:val="fr-FR"/>
                </w:rPr>
                <w:t>RevCom-C.27</w:t>
              </w:r>
            </w:hyperlink>
          </w:p>
        </w:tc>
        <w:tc>
          <w:tcPr>
            <w:tcW w:w="1154" w:type="pct"/>
            <w:shd w:val="clear" w:color="auto" w:fill="auto"/>
          </w:tcPr>
          <w:p w:rsidR="00A06550" w:rsidRPr="00D52B7C" w:rsidRDefault="00725A40" w:rsidP="00725A40">
            <w:pPr>
              <w:pStyle w:val="Tabletext"/>
              <w:rPr>
                <w:lang w:val="fr-FR"/>
              </w:rPr>
            </w:pPr>
            <w:r w:rsidRPr="00D52B7C">
              <w:rPr>
                <w:lang w:val="fr-FR"/>
              </w:rPr>
              <w:t>Arabie saoudite</w:t>
            </w:r>
          </w:p>
        </w:tc>
        <w:tc>
          <w:tcPr>
            <w:tcW w:w="2788" w:type="pct"/>
            <w:shd w:val="clear" w:color="auto" w:fill="auto"/>
          </w:tcPr>
          <w:p w:rsidR="00A06550" w:rsidRPr="00D52B7C" w:rsidRDefault="00C47A27" w:rsidP="00C47A27">
            <w:pPr>
              <w:pStyle w:val="Tabletext"/>
              <w:rPr>
                <w:lang w:val="fr-FR"/>
              </w:rPr>
            </w:pPr>
            <w:r w:rsidRPr="00D52B7C">
              <w:rPr>
                <w:lang w:val="fr-FR"/>
              </w:rPr>
              <w:t>Capacité de l</w:t>
            </w:r>
            <w:r w:rsidR="00FC0ACA" w:rsidRPr="00D52B7C">
              <w:rPr>
                <w:lang w:val="fr-FR"/>
              </w:rPr>
              <w:t>'</w:t>
            </w:r>
            <w:r w:rsidRPr="00D52B7C">
              <w:rPr>
                <w:lang w:val="fr-FR"/>
              </w:rPr>
              <w:t>UIT T à faire face à l</w:t>
            </w:r>
            <w:r w:rsidR="00FC0ACA" w:rsidRPr="00D52B7C">
              <w:rPr>
                <w:lang w:val="fr-FR"/>
              </w:rPr>
              <w:t>'</w:t>
            </w:r>
            <w:r w:rsidRPr="00D52B7C">
              <w:rPr>
                <w:lang w:val="fr-FR"/>
              </w:rPr>
              <w:t>évolution rapide du secteur de la normalisation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6" w:history="1">
              <w:r w:rsidR="00A06550" w:rsidRPr="00D52B7C">
                <w:rPr>
                  <w:color w:val="0000FF"/>
                  <w:sz w:val="20"/>
                  <w:u w:val="single"/>
                  <w:lang w:val="fr-FR"/>
                </w:rPr>
                <w:t>RevCom-C.28</w:t>
              </w:r>
            </w:hyperlink>
          </w:p>
        </w:tc>
        <w:tc>
          <w:tcPr>
            <w:tcW w:w="1154" w:type="pct"/>
            <w:shd w:val="clear" w:color="auto" w:fill="auto"/>
          </w:tcPr>
          <w:p w:rsidR="00A06550" w:rsidRPr="00D52B7C" w:rsidRDefault="00725A40" w:rsidP="00725A40">
            <w:pPr>
              <w:pStyle w:val="Tabletext"/>
              <w:rPr>
                <w:lang w:val="fr-FR"/>
              </w:rPr>
            </w:pPr>
            <w:r w:rsidRPr="00D52B7C">
              <w:rPr>
                <w:lang w:val="fr-FR"/>
              </w:rPr>
              <w:t>Allemagne</w:t>
            </w:r>
          </w:p>
        </w:tc>
        <w:tc>
          <w:tcPr>
            <w:tcW w:w="2788" w:type="pct"/>
            <w:shd w:val="clear" w:color="auto" w:fill="auto"/>
          </w:tcPr>
          <w:p w:rsidR="00A06550" w:rsidRPr="00D52B7C" w:rsidRDefault="00C47A27" w:rsidP="00F27A10">
            <w:pPr>
              <w:pStyle w:val="Tabletext"/>
              <w:rPr>
                <w:lang w:val="fr-FR"/>
              </w:rPr>
            </w:pPr>
            <w:r w:rsidRPr="00D52B7C">
              <w:rPr>
                <w:lang w:val="fr-FR"/>
              </w:rPr>
              <w:t>Proposition de création</w:t>
            </w:r>
            <w:r w:rsidR="00FC0ACA" w:rsidRPr="00D52B7C">
              <w:rPr>
                <w:lang w:val="fr-FR"/>
              </w:rPr>
              <w:t xml:space="preserve"> </w:t>
            </w:r>
            <w:r w:rsidRPr="00D52B7C">
              <w:rPr>
                <w:color w:val="000000"/>
                <w:lang w:val="fr-FR"/>
              </w:rPr>
              <w:t xml:space="preserve">d'une fonction </w:t>
            </w:r>
            <w:r w:rsidR="00F27A10" w:rsidRPr="00D52B7C">
              <w:rPr>
                <w:color w:val="000000"/>
                <w:lang w:val="fr-FR"/>
              </w:rPr>
              <w:t>S</w:t>
            </w:r>
            <w:r w:rsidRPr="00D52B7C">
              <w:rPr>
                <w:color w:val="000000"/>
                <w:lang w:val="fr-FR"/>
              </w:rPr>
              <w:t>tratégie en matière de normalisation à l'UIT-T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7" w:history="1">
              <w:r w:rsidR="00A06550" w:rsidRPr="00D52B7C">
                <w:rPr>
                  <w:color w:val="0000FF"/>
                  <w:sz w:val="20"/>
                  <w:u w:val="single"/>
                  <w:lang w:val="fr-FR"/>
                </w:rPr>
                <w:t>RevCom-C.29R1</w:t>
              </w:r>
            </w:hyperlink>
          </w:p>
        </w:tc>
        <w:tc>
          <w:tcPr>
            <w:tcW w:w="1154" w:type="pct"/>
            <w:shd w:val="clear" w:color="auto" w:fill="auto"/>
          </w:tcPr>
          <w:p w:rsidR="00A06550" w:rsidRPr="00D52B7C" w:rsidRDefault="00725A40" w:rsidP="00725A40">
            <w:pPr>
              <w:pStyle w:val="Tabletext"/>
              <w:rPr>
                <w:lang w:val="fr-FR"/>
              </w:rPr>
            </w:pPr>
            <w:r w:rsidRPr="00D52B7C">
              <w:rPr>
                <w:lang w:val="fr-FR"/>
              </w:rPr>
              <w:t>Etats-Unis d'Amérique</w:t>
            </w:r>
          </w:p>
        </w:tc>
        <w:tc>
          <w:tcPr>
            <w:tcW w:w="2788" w:type="pct"/>
            <w:shd w:val="clear" w:color="auto" w:fill="auto"/>
          </w:tcPr>
          <w:p w:rsidR="00A06550" w:rsidRPr="00D52B7C" w:rsidRDefault="00C47A27" w:rsidP="00D52B7C">
            <w:pPr>
              <w:pStyle w:val="Tabletext"/>
              <w:rPr>
                <w:lang w:val="fr-FR"/>
              </w:rPr>
            </w:pPr>
            <w:r w:rsidRPr="00D52B7C">
              <w:rPr>
                <w:lang w:val="fr-FR"/>
              </w:rPr>
              <w:t xml:space="preserve">Responsabilités incombant au GCNT et au </w:t>
            </w:r>
            <w:r w:rsidR="00036451" w:rsidRPr="006E2BA9">
              <w:rPr>
                <w:lang w:val="fr-FR"/>
              </w:rPr>
              <w:t>C</w:t>
            </w:r>
            <w:r w:rsidRPr="00D52B7C">
              <w:rPr>
                <w:lang w:val="fr-FR"/>
              </w:rPr>
              <w:t>omité d</w:t>
            </w:r>
            <w:r w:rsidR="00FC0ACA" w:rsidRPr="00D52B7C">
              <w:rPr>
                <w:lang w:val="fr-FR"/>
              </w:rPr>
              <w:t>'</w:t>
            </w:r>
            <w:r w:rsidRPr="00D52B7C">
              <w:rPr>
                <w:lang w:val="fr-FR"/>
              </w:rPr>
              <w:t>examen en vue de l</w:t>
            </w:r>
            <w:r w:rsidR="00FC0ACA" w:rsidRPr="00D52B7C">
              <w:rPr>
                <w:lang w:val="fr-FR"/>
              </w:rPr>
              <w:t>'</w:t>
            </w:r>
            <w:r w:rsidRPr="00D52B7C">
              <w:rPr>
                <w:lang w:val="fr-FR"/>
              </w:rPr>
              <w:t>AMNT</w:t>
            </w:r>
            <w:r w:rsidR="00D52B7C">
              <w:rPr>
                <w:lang w:val="fr-FR"/>
              </w:rPr>
              <w:t>-</w:t>
            </w:r>
            <w:r w:rsidR="00A06550" w:rsidRPr="00D52B7C">
              <w:rPr>
                <w:lang w:val="fr-FR"/>
              </w:rPr>
              <w:t>16</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8" w:history="1">
              <w:r w:rsidR="00A06550" w:rsidRPr="00D52B7C">
                <w:rPr>
                  <w:color w:val="0000FF"/>
                  <w:sz w:val="20"/>
                  <w:u w:val="single"/>
                  <w:lang w:val="fr-FR"/>
                </w:rPr>
                <w:t>RevCom-C.30R1</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C47A27" w:rsidP="00C47A27">
            <w:pPr>
              <w:pStyle w:val="Tabletext"/>
              <w:rPr>
                <w:lang w:val="fr-FR"/>
              </w:rPr>
            </w:pPr>
            <w:r w:rsidRPr="00D52B7C">
              <w:rPr>
                <w:lang w:val="fr-FR"/>
              </w:rPr>
              <w:t>Proposition</w:t>
            </w:r>
            <w:r w:rsidR="00FC0ACA" w:rsidRPr="00D52B7C">
              <w:rPr>
                <w:lang w:val="fr-FR"/>
              </w:rPr>
              <w:t xml:space="preserve"> </w:t>
            </w:r>
            <w:r w:rsidRPr="00D52B7C">
              <w:rPr>
                <w:lang w:val="fr-FR"/>
              </w:rPr>
              <w:t>d</w:t>
            </w:r>
            <w:r w:rsidR="00FC0ACA" w:rsidRPr="00D52B7C">
              <w:rPr>
                <w:lang w:val="fr-FR"/>
              </w:rPr>
              <w:t>'</w:t>
            </w:r>
            <w:r w:rsidRPr="00D52B7C">
              <w:rPr>
                <w:lang w:val="fr-FR"/>
              </w:rPr>
              <w:t xml:space="preserve">amélioration du rôle de la </w:t>
            </w:r>
            <w:r w:rsidR="00024E89" w:rsidRPr="00D52B7C">
              <w:rPr>
                <w:color w:val="000000"/>
                <w:lang w:val="fr-FR"/>
              </w:rPr>
              <w:t>fonction</w:t>
            </w:r>
            <w:r w:rsidRPr="00D52B7C">
              <w:rPr>
                <w:color w:val="000000"/>
                <w:lang w:val="fr-FR"/>
              </w:rPr>
              <w:t xml:space="preserve"> </w:t>
            </w:r>
            <w:r w:rsidR="00024E89" w:rsidRPr="00D52B7C">
              <w:rPr>
                <w:color w:val="000000"/>
                <w:lang w:val="fr-FR"/>
              </w:rPr>
              <w:t>S</w:t>
            </w:r>
            <w:r w:rsidRPr="00D52B7C">
              <w:rPr>
                <w:color w:val="000000"/>
                <w:lang w:val="fr-FR"/>
              </w:rPr>
              <w:t>tratégie en matière de normalisation</w:t>
            </w:r>
            <w:r w:rsidR="00FC0ACA" w:rsidRPr="00D52B7C">
              <w:rPr>
                <w:color w:val="000000"/>
                <w:lang w:val="fr-FR"/>
              </w:rPr>
              <w:t xml:space="preserve"> </w:t>
            </w:r>
            <w:r w:rsidR="00A06550" w:rsidRPr="00D52B7C">
              <w:rPr>
                <w:lang w:val="fr-FR"/>
              </w:rPr>
              <w:t>(SSF)</w:t>
            </w:r>
            <w:r w:rsidRPr="00D52B7C">
              <w:rPr>
                <w:lang w:val="fr-FR"/>
              </w:rPr>
              <w:t xml:space="preserve"> et mandat proposé</w:t>
            </w:r>
            <w:r w:rsidR="00A06550" w:rsidRPr="00D52B7C">
              <w:rPr>
                <w:lang w:val="fr-FR"/>
              </w:rPr>
              <w:t xml:space="preserve"> </w:t>
            </w:r>
            <w:r w:rsidRPr="00D52B7C">
              <w:rPr>
                <w:lang w:val="fr-FR"/>
              </w:rPr>
              <w:t>pour cette fonction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79" w:history="1">
              <w:r w:rsidR="00A06550" w:rsidRPr="00D52B7C">
                <w:rPr>
                  <w:color w:val="0000FF"/>
                  <w:sz w:val="20"/>
                  <w:u w:val="single"/>
                  <w:lang w:val="fr-FR"/>
                </w:rPr>
                <w:t>RevCom-C.31</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C47A27" w:rsidP="00725A40">
            <w:pPr>
              <w:pStyle w:val="Tabletext"/>
              <w:rPr>
                <w:lang w:val="fr-FR"/>
              </w:rPr>
            </w:pPr>
            <w:r w:rsidRPr="00D52B7C">
              <w:rPr>
                <w:lang w:val="fr-FR"/>
              </w:rPr>
              <w:t>Propositions visant à renforcer les mécanismes de collaboration de l</w:t>
            </w:r>
            <w:r w:rsidR="00FC0ACA" w:rsidRPr="00D52B7C">
              <w:rPr>
                <w:lang w:val="fr-FR"/>
              </w:rPr>
              <w:t>'</w:t>
            </w:r>
            <w:r w:rsidRPr="00D52B7C">
              <w:rPr>
                <w:lang w:val="fr-FR"/>
              </w:rPr>
              <w:t>UIT</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0" w:history="1">
              <w:r w:rsidR="00A06550" w:rsidRPr="00D52B7C">
                <w:rPr>
                  <w:color w:val="0000FF"/>
                  <w:sz w:val="20"/>
                  <w:u w:val="single"/>
                  <w:lang w:val="fr-FR"/>
                </w:rPr>
                <w:t>RevCom-C.32</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AA3F2B" w:rsidP="00AA3F2B">
            <w:pPr>
              <w:pStyle w:val="Tabletext"/>
              <w:rPr>
                <w:lang w:val="fr-FR"/>
              </w:rPr>
            </w:pPr>
            <w:r w:rsidRPr="00D52B7C">
              <w:rPr>
                <w:lang w:val="fr-FR"/>
              </w:rPr>
              <w:t>Proposition</w:t>
            </w:r>
            <w:r w:rsidR="00FC0ACA" w:rsidRPr="00D52B7C">
              <w:rPr>
                <w:lang w:val="fr-FR"/>
              </w:rPr>
              <w:t xml:space="preserve"> </w:t>
            </w:r>
            <w:r w:rsidRPr="00D52B7C">
              <w:rPr>
                <w:lang w:val="fr-FR"/>
              </w:rPr>
              <w:t>visant à poursuivre et à développer le suivi des activités des commissions d</w:t>
            </w:r>
            <w:r w:rsidR="00FC0ACA" w:rsidRPr="00D52B7C">
              <w:rPr>
                <w:lang w:val="fr-FR"/>
              </w:rPr>
              <w:t>'</w:t>
            </w:r>
            <w:r w:rsidRPr="00D52B7C">
              <w:rPr>
                <w:lang w:val="fr-FR"/>
              </w:rPr>
              <w:t>études</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1" w:history="1">
              <w:r w:rsidR="00A06550" w:rsidRPr="00D52B7C">
                <w:rPr>
                  <w:color w:val="0000FF"/>
                  <w:sz w:val="20"/>
                  <w:u w:val="single"/>
                  <w:lang w:val="fr-FR"/>
                </w:rPr>
                <w:t>RevCom-C.33</w:t>
              </w:r>
            </w:hyperlink>
          </w:p>
        </w:tc>
        <w:tc>
          <w:tcPr>
            <w:tcW w:w="1154" w:type="pct"/>
            <w:shd w:val="clear" w:color="auto" w:fill="auto"/>
          </w:tcPr>
          <w:p w:rsidR="00A06550" w:rsidRPr="00D52B7C" w:rsidRDefault="00A06550" w:rsidP="00725A40">
            <w:pPr>
              <w:pStyle w:val="Tabletext"/>
              <w:rPr>
                <w:lang w:val="fr-FR"/>
              </w:rPr>
            </w:pPr>
            <w:r w:rsidRPr="00D52B7C">
              <w:rPr>
                <w:lang w:val="fr-FR"/>
              </w:rPr>
              <w:t>ETRI</w:t>
            </w:r>
          </w:p>
        </w:tc>
        <w:tc>
          <w:tcPr>
            <w:tcW w:w="2788" w:type="pct"/>
            <w:shd w:val="clear" w:color="auto" w:fill="auto"/>
          </w:tcPr>
          <w:p w:rsidR="00A06550" w:rsidRPr="00D52B7C" w:rsidRDefault="00AA3F2B" w:rsidP="00AA3F2B">
            <w:pPr>
              <w:pStyle w:val="Tabletext"/>
              <w:rPr>
                <w:lang w:val="fr-FR"/>
              </w:rPr>
            </w:pPr>
            <w:r w:rsidRPr="00D52B7C">
              <w:rPr>
                <w:lang w:val="fr-FR"/>
              </w:rPr>
              <w:t>Proposition</w:t>
            </w:r>
            <w:r w:rsidR="00FC0ACA" w:rsidRPr="00D52B7C">
              <w:rPr>
                <w:lang w:val="fr-FR"/>
              </w:rPr>
              <w:t xml:space="preserve"> </w:t>
            </w:r>
            <w:r w:rsidRPr="00D52B7C">
              <w:rPr>
                <w:lang w:val="fr-FR"/>
              </w:rPr>
              <w:t>visant à faciliter les débats de fond sur la restructuration des commissions d</w:t>
            </w:r>
            <w:r w:rsidR="00FC0ACA" w:rsidRPr="00D52B7C">
              <w:rPr>
                <w:lang w:val="fr-FR"/>
              </w:rPr>
              <w:t>'</w:t>
            </w:r>
            <w:r w:rsidRPr="00D52B7C">
              <w:rPr>
                <w:lang w:val="fr-FR"/>
              </w:rPr>
              <w:t>études de l</w:t>
            </w:r>
            <w:r w:rsidR="00FC0ACA" w:rsidRPr="00D52B7C">
              <w:rPr>
                <w:lang w:val="fr-FR"/>
              </w:rPr>
              <w:t>'</w:t>
            </w:r>
            <w:r w:rsidRPr="00D52B7C">
              <w:rPr>
                <w:lang w:val="fr-FR"/>
              </w:rPr>
              <w:t>UIT-T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2" w:history="1">
              <w:r w:rsidR="00A06550" w:rsidRPr="00D52B7C">
                <w:rPr>
                  <w:color w:val="0000FF"/>
                  <w:sz w:val="20"/>
                  <w:u w:val="single"/>
                  <w:lang w:val="fr-FR"/>
                </w:rPr>
                <w:t>RevCom-C.34</w:t>
              </w:r>
            </w:hyperlink>
          </w:p>
        </w:tc>
        <w:tc>
          <w:tcPr>
            <w:tcW w:w="1154" w:type="pct"/>
            <w:shd w:val="clear" w:color="auto" w:fill="auto"/>
          </w:tcPr>
          <w:p w:rsidR="00A06550" w:rsidRPr="00D52B7C" w:rsidRDefault="00725A40" w:rsidP="00725A40">
            <w:pPr>
              <w:pStyle w:val="Tabletext"/>
              <w:rPr>
                <w:lang w:val="fr-FR"/>
              </w:rPr>
            </w:pPr>
            <w:r w:rsidRPr="00D52B7C">
              <w:rPr>
                <w:lang w:val="fr-FR"/>
              </w:rPr>
              <w:t>Arabie saoudite</w:t>
            </w:r>
          </w:p>
        </w:tc>
        <w:tc>
          <w:tcPr>
            <w:tcW w:w="2788" w:type="pct"/>
            <w:shd w:val="clear" w:color="auto" w:fill="auto"/>
          </w:tcPr>
          <w:p w:rsidR="00A06550" w:rsidRPr="00D52B7C" w:rsidRDefault="00FC0ACA" w:rsidP="00AA3F2B">
            <w:pPr>
              <w:pStyle w:val="Tabletext"/>
              <w:rPr>
                <w:lang w:val="fr-FR"/>
              </w:rPr>
            </w:pPr>
            <w:r w:rsidRPr="00D52B7C">
              <w:rPr>
                <w:lang w:val="fr-FR"/>
              </w:rPr>
              <w:t xml:space="preserve"> </w:t>
            </w:r>
            <w:r w:rsidR="00AA3F2B" w:rsidRPr="00D52B7C">
              <w:rPr>
                <w:lang w:val="fr-FR"/>
              </w:rPr>
              <w:t>Propositions de modification des projets de lignes directrices relatives à l</w:t>
            </w:r>
            <w:r w:rsidRPr="00D52B7C">
              <w:rPr>
                <w:lang w:val="fr-FR"/>
              </w:rPr>
              <w:t>'</w:t>
            </w:r>
            <w:r w:rsidR="00AA3F2B" w:rsidRPr="00D52B7C">
              <w:rPr>
                <w:lang w:val="fr-FR"/>
              </w:rPr>
              <w:t>amélioration des méthodes de travail des groupes spécialisés</w:t>
            </w:r>
            <w:r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3" w:history="1">
              <w:r w:rsidR="00A06550" w:rsidRPr="00D52B7C">
                <w:rPr>
                  <w:color w:val="0000FF"/>
                  <w:sz w:val="20"/>
                  <w:u w:val="single"/>
                  <w:lang w:val="fr-FR"/>
                </w:rPr>
                <w:t>RevCom-C.35</w:t>
              </w:r>
            </w:hyperlink>
          </w:p>
        </w:tc>
        <w:tc>
          <w:tcPr>
            <w:tcW w:w="1154" w:type="pct"/>
            <w:shd w:val="clear" w:color="auto" w:fill="auto"/>
          </w:tcPr>
          <w:p w:rsidR="00A06550" w:rsidRPr="00D52B7C" w:rsidRDefault="00A06550" w:rsidP="00725A40">
            <w:pPr>
              <w:pStyle w:val="Tabletext"/>
              <w:rPr>
                <w:lang w:val="fr-FR"/>
              </w:rPr>
            </w:pPr>
            <w:r w:rsidRPr="00D52B7C">
              <w:rPr>
                <w:lang w:val="fr-FR"/>
              </w:rPr>
              <w:t>Canada</w:t>
            </w:r>
          </w:p>
        </w:tc>
        <w:tc>
          <w:tcPr>
            <w:tcW w:w="2788" w:type="pct"/>
            <w:shd w:val="clear" w:color="auto" w:fill="auto"/>
          </w:tcPr>
          <w:p w:rsidR="00A06550" w:rsidRPr="00D52B7C" w:rsidRDefault="00AA3F2B" w:rsidP="00AA3F2B">
            <w:pPr>
              <w:pStyle w:val="Tabletext"/>
              <w:rPr>
                <w:lang w:val="fr-FR"/>
              </w:rPr>
            </w:pPr>
            <w:r w:rsidRPr="00D52B7C">
              <w:rPr>
                <w:lang w:val="fr-FR"/>
              </w:rPr>
              <w:t>Fonction stratégie en matière de normalisation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4" w:history="1">
              <w:r w:rsidR="00A06550" w:rsidRPr="00D52B7C">
                <w:rPr>
                  <w:color w:val="0000FF"/>
                  <w:sz w:val="20"/>
                  <w:u w:val="single"/>
                  <w:lang w:val="fr-FR"/>
                </w:rPr>
                <w:t>RevCom-C.36</w:t>
              </w:r>
            </w:hyperlink>
          </w:p>
        </w:tc>
        <w:tc>
          <w:tcPr>
            <w:tcW w:w="1154" w:type="pct"/>
            <w:shd w:val="clear" w:color="auto" w:fill="auto"/>
          </w:tcPr>
          <w:p w:rsidR="00A06550" w:rsidRPr="00D52B7C" w:rsidRDefault="00725A40" w:rsidP="00725A40">
            <w:pPr>
              <w:pStyle w:val="Tabletext"/>
              <w:rPr>
                <w:lang w:val="fr-FR"/>
              </w:rPr>
            </w:pPr>
            <w:r w:rsidRPr="00D52B7C">
              <w:rPr>
                <w:lang w:val="fr-FR"/>
              </w:rPr>
              <w:t>Allemagne</w:t>
            </w:r>
          </w:p>
        </w:tc>
        <w:tc>
          <w:tcPr>
            <w:tcW w:w="2788" w:type="pct"/>
            <w:shd w:val="clear" w:color="auto" w:fill="auto"/>
          </w:tcPr>
          <w:p w:rsidR="00A06550" w:rsidRPr="00D52B7C" w:rsidRDefault="00131AEF" w:rsidP="00725A40">
            <w:pPr>
              <w:pStyle w:val="Tabletext"/>
              <w:rPr>
                <w:lang w:val="fr-FR"/>
              </w:rPr>
            </w:pPr>
            <w:r w:rsidRPr="00D52B7C">
              <w:rPr>
                <w:lang w:val="fr-FR"/>
              </w:rPr>
              <w:t>Examen des mécanismes de coopération et de collaboration à l'UIT-T</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5" w:history="1">
              <w:r w:rsidR="00A06550" w:rsidRPr="00D52B7C">
                <w:rPr>
                  <w:color w:val="0000FF"/>
                  <w:sz w:val="20"/>
                  <w:u w:val="single"/>
                  <w:lang w:val="fr-FR"/>
                </w:rPr>
                <w:t>RevCom-C.37</w:t>
              </w:r>
            </w:hyperlink>
          </w:p>
        </w:tc>
        <w:tc>
          <w:tcPr>
            <w:tcW w:w="1154" w:type="pct"/>
            <w:shd w:val="clear" w:color="auto" w:fill="auto"/>
          </w:tcPr>
          <w:p w:rsidR="00A06550" w:rsidRPr="00D52B7C" w:rsidRDefault="00A06550" w:rsidP="00725A40">
            <w:pPr>
              <w:pStyle w:val="Tabletext"/>
              <w:rPr>
                <w:lang w:val="fr-FR"/>
              </w:rPr>
            </w:pPr>
            <w:r w:rsidRPr="00D52B7C">
              <w:rPr>
                <w:lang w:val="fr-FR"/>
              </w:rPr>
              <w:t>NICT (</w:t>
            </w:r>
            <w:r w:rsidR="00725A40" w:rsidRPr="00D52B7C">
              <w:rPr>
                <w:lang w:val="fr-FR"/>
              </w:rPr>
              <w:t>Japon</w:t>
            </w:r>
            <w:r w:rsidRPr="00D52B7C">
              <w:rPr>
                <w:lang w:val="fr-FR"/>
              </w:rPr>
              <w:t>)</w:t>
            </w:r>
          </w:p>
        </w:tc>
        <w:tc>
          <w:tcPr>
            <w:tcW w:w="2788" w:type="pct"/>
            <w:shd w:val="clear" w:color="auto" w:fill="auto"/>
          </w:tcPr>
          <w:p w:rsidR="00A06550" w:rsidRPr="00D52B7C" w:rsidRDefault="00AA3F2B" w:rsidP="00AA3F2B">
            <w:pPr>
              <w:pStyle w:val="Tabletext"/>
              <w:rPr>
                <w:lang w:val="fr-FR"/>
              </w:rPr>
            </w:pPr>
            <w:r w:rsidRPr="00D52B7C">
              <w:rPr>
                <w:lang w:val="fr-FR"/>
              </w:rPr>
              <w:t>Proposition</w:t>
            </w:r>
            <w:r w:rsidR="00FC0ACA" w:rsidRPr="00D52B7C">
              <w:rPr>
                <w:lang w:val="fr-FR"/>
              </w:rPr>
              <w:t xml:space="preserve"> </w:t>
            </w:r>
            <w:r w:rsidRPr="00D52B7C">
              <w:rPr>
                <w:lang w:val="fr-FR"/>
              </w:rPr>
              <w:t>concernant le rôle et la participation de l</w:t>
            </w:r>
            <w:r w:rsidR="00FC0ACA" w:rsidRPr="00D52B7C">
              <w:rPr>
                <w:lang w:val="fr-FR"/>
              </w:rPr>
              <w:t>'</w:t>
            </w:r>
            <w:r w:rsidR="00024E89" w:rsidRPr="00D52B7C">
              <w:rPr>
                <w:lang w:val="fr-FR"/>
              </w:rPr>
              <w:t>UIT</w:t>
            </w:r>
            <w:r w:rsidR="00024E89" w:rsidRPr="00D52B7C">
              <w:rPr>
                <w:lang w:val="fr-FR"/>
              </w:rPr>
              <w:noBreakHyphen/>
            </w:r>
            <w:r w:rsidRPr="00D52B7C">
              <w:rPr>
                <w:lang w:val="fr-FR"/>
              </w:rPr>
              <w:t>T en matière de normalisation compte tenu de l</w:t>
            </w:r>
            <w:r w:rsidR="00FC0ACA" w:rsidRPr="00D52B7C">
              <w:rPr>
                <w:lang w:val="fr-FR"/>
              </w:rPr>
              <w:t>'</w:t>
            </w:r>
            <w:r w:rsidRPr="00D52B7C">
              <w:rPr>
                <w:lang w:val="fr-FR"/>
              </w:rPr>
              <w:t>évolution future de ce</w:t>
            </w:r>
            <w:r w:rsidR="00FC0ACA" w:rsidRPr="00D52B7C">
              <w:rPr>
                <w:lang w:val="fr-FR"/>
              </w:rPr>
              <w:t xml:space="preserve"> </w:t>
            </w:r>
            <w:r w:rsidRPr="00D52B7C">
              <w:rPr>
                <w:lang w:val="fr-FR"/>
              </w:rPr>
              <w:t>Secteur</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6" w:history="1">
              <w:r w:rsidR="00A06550" w:rsidRPr="00D52B7C">
                <w:rPr>
                  <w:color w:val="0000FF"/>
                  <w:sz w:val="20"/>
                  <w:u w:val="single"/>
                  <w:lang w:val="fr-FR"/>
                </w:rPr>
                <w:t>RevCom-C.38</w:t>
              </w:r>
            </w:hyperlink>
          </w:p>
        </w:tc>
        <w:tc>
          <w:tcPr>
            <w:tcW w:w="1154" w:type="pct"/>
            <w:shd w:val="clear" w:color="auto" w:fill="auto"/>
          </w:tcPr>
          <w:p w:rsidR="00A06550" w:rsidRPr="00D52B7C" w:rsidRDefault="00A06550" w:rsidP="00725A40">
            <w:pPr>
              <w:pStyle w:val="Tabletext"/>
              <w:rPr>
                <w:lang w:val="fr-FR"/>
              </w:rPr>
            </w:pPr>
            <w:r w:rsidRPr="00D52B7C">
              <w:rPr>
                <w:lang w:val="fr-FR"/>
              </w:rPr>
              <w:t>Mitsubishi Electric</w:t>
            </w:r>
          </w:p>
        </w:tc>
        <w:tc>
          <w:tcPr>
            <w:tcW w:w="2788" w:type="pct"/>
            <w:shd w:val="clear" w:color="auto" w:fill="auto"/>
          </w:tcPr>
          <w:p w:rsidR="00A06550" w:rsidRPr="00D52B7C" w:rsidRDefault="00AA3F2B" w:rsidP="00024E89">
            <w:pPr>
              <w:pStyle w:val="Tabletext"/>
              <w:rPr>
                <w:lang w:val="fr-FR"/>
              </w:rPr>
            </w:pPr>
            <w:r w:rsidRPr="00D52B7C">
              <w:rPr>
                <w:lang w:val="fr-FR"/>
              </w:rPr>
              <w:t xml:space="preserve">Nouveau </w:t>
            </w:r>
            <w:r w:rsidR="00024E89" w:rsidRPr="00D52B7C">
              <w:rPr>
                <w:color w:val="000000"/>
                <w:lang w:val="fr-FR"/>
              </w:rPr>
              <w:t>mécanisme proposé pour la</w:t>
            </w:r>
            <w:r w:rsidRPr="00D52B7C">
              <w:rPr>
                <w:color w:val="000000"/>
                <w:lang w:val="fr-FR"/>
              </w:rPr>
              <w:t xml:space="preserve"> coordination et </w:t>
            </w:r>
            <w:r w:rsidR="00024E89" w:rsidRPr="00D52B7C">
              <w:rPr>
                <w:color w:val="000000"/>
                <w:lang w:val="fr-FR"/>
              </w:rPr>
              <w:t>la</w:t>
            </w:r>
            <w:r w:rsidRPr="00D52B7C">
              <w:rPr>
                <w:color w:val="000000"/>
                <w:lang w:val="fr-FR"/>
              </w:rPr>
              <w:t xml:space="preserve"> collaboration à l'échelle mondiale</w:t>
            </w:r>
            <w:r w:rsidR="00FC0ACA" w:rsidRPr="00D52B7C">
              <w:rPr>
                <w:color w:val="000000"/>
                <w:lang w:val="fr-FR"/>
              </w:rPr>
              <w:t>,</w:t>
            </w:r>
            <w:r w:rsidRPr="00D52B7C">
              <w:rPr>
                <w:color w:val="000000"/>
                <w:lang w:val="fr-FR"/>
              </w:rPr>
              <w:t xml:space="preserve"> y compris la collaboration multilatérale avec d</w:t>
            </w:r>
            <w:r w:rsidR="00FC0ACA" w:rsidRPr="00D52B7C">
              <w:rPr>
                <w:color w:val="000000"/>
                <w:lang w:val="fr-FR"/>
              </w:rPr>
              <w:t>'</w:t>
            </w:r>
            <w:r w:rsidRPr="00D52B7C">
              <w:rPr>
                <w:color w:val="000000"/>
                <w:lang w:val="fr-FR"/>
              </w:rPr>
              <w:t>autres organismes</w:t>
            </w:r>
            <w:r w:rsidR="00FC0ACA" w:rsidRPr="00D52B7C">
              <w:rPr>
                <w:color w:val="000000"/>
                <w:lang w:val="fr-FR"/>
              </w:rPr>
              <w:t>.</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hyperlink r:id="rId87" w:history="1">
              <w:r w:rsidR="00A06550" w:rsidRPr="00D52B7C">
                <w:rPr>
                  <w:color w:val="0000FF"/>
                  <w:sz w:val="20"/>
                  <w:u w:val="single"/>
                  <w:lang w:val="fr-FR"/>
                </w:rPr>
                <w:t>RevCom-C.39</w:t>
              </w:r>
            </w:hyperlink>
          </w:p>
        </w:tc>
        <w:tc>
          <w:tcPr>
            <w:tcW w:w="1154" w:type="pct"/>
            <w:shd w:val="clear" w:color="auto" w:fill="auto"/>
          </w:tcPr>
          <w:p w:rsidR="00A06550" w:rsidRPr="00D52B7C" w:rsidRDefault="00A06550" w:rsidP="00725A40">
            <w:pPr>
              <w:pStyle w:val="Tabletext"/>
              <w:rPr>
                <w:lang w:val="fr-FR"/>
              </w:rPr>
            </w:pPr>
            <w:r w:rsidRPr="00D52B7C">
              <w:rPr>
                <w:lang w:val="fr-FR"/>
              </w:rPr>
              <w:t>France</w:t>
            </w:r>
          </w:p>
        </w:tc>
        <w:tc>
          <w:tcPr>
            <w:tcW w:w="2788" w:type="pct"/>
            <w:shd w:val="clear" w:color="auto" w:fill="auto"/>
          </w:tcPr>
          <w:p w:rsidR="00A06550" w:rsidRPr="00D52B7C" w:rsidRDefault="00AA3F2B" w:rsidP="00024E89">
            <w:pPr>
              <w:pStyle w:val="Tabletext"/>
              <w:rPr>
                <w:lang w:val="fr-FR"/>
              </w:rPr>
            </w:pPr>
            <w:r w:rsidRPr="00D52B7C">
              <w:rPr>
                <w:lang w:val="fr-FR"/>
              </w:rPr>
              <w:t xml:space="preserve">Commentaires concernant la proposition relative à une fonction </w:t>
            </w:r>
            <w:r w:rsidR="00024E89" w:rsidRPr="00D52B7C">
              <w:rPr>
                <w:lang w:val="fr-FR"/>
              </w:rPr>
              <w:t>S</w:t>
            </w:r>
            <w:r w:rsidRPr="00D52B7C">
              <w:rPr>
                <w:lang w:val="fr-FR"/>
              </w:rPr>
              <w:t>tratégie (ou planification) en matière de normalisation</w:t>
            </w:r>
            <w:r w:rsidR="00FC0ACA" w:rsidRPr="00D52B7C">
              <w:rPr>
                <w:lang w:val="fr-FR"/>
              </w:rPr>
              <w:t xml:space="preserve"> </w:t>
            </w:r>
          </w:p>
        </w:tc>
      </w:tr>
      <w:tr w:rsidR="00A06550" w:rsidRPr="00D409B4" w:rsidTr="00174C31">
        <w:trPr>
          <w:cantSplit/>
          <w:jc w:val="center"/>
        </w:trPr>
        <w:tc>
          <w:tcPr>
            <w:tcW w:w="1058" w:type="pct"/>
            <w:shd w:val="clear" w:color="auto" w:fill="auto"/>
          </w:tcPr>
          <w:p w:rsidR="00A06550" w:rsidRPr="00D52B7C" w:rsidRDefault="00D409B4" w:rsidP="00A0655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hyperlink r:id="rId88" w:history="1">
              <w:r w:rsidR="00A06550" w:rsidRPr="00D52B7C">
                <w:rPr>
                  <w:color w:val="0000FF"/>
                  <w:sz w:val="22"/>
                  <w:u w:val="single"/>
                  <w:lang w:val="fr-FR"/>
                </w:rPr>
                <w:t>RevCom-C.40</w:t>
              </w:r>
            </w:hyperlink>
          </w:p>
        </w:tc>
        <w:tc>
          <w:tcPr>
            <w:tcW w:w="1154" w:type="pct"/>
            <w:shd w:val="clear" w:color="auto" w:fill="auto"/>
          </w:tcPr>
          <w:p w:rsidR="00A06550" w:rsidRPr="00D52B7C" w:rsidRDefault="00725A40" w:rsidP="00725A40">
            <w:pPr>
              <w:pStyle w:val="Tabletext"/>
              <w:rPr>
                <w:lang w:val="fr-FR"/>
              </w:rPr>
            </w:pPr>
            <w:r w:rsidRPr="00D52B7C">
              <w:rPr>
                <w:lang w:val="fr-FR"/>
              </w:rPr>
              <w:t>Japon</w:t>
            </w:r>
          </w:p>
        </w:tc>
        <w:tc>
          <w:tcPr>
            <w:tcW w:w="2788" w:type="pct"/>
            <w:shd w:val="clear" w:color="auto" w:fill="auto"/>
          </w:tcPr>
          <w:p w:rsidR="00A06550" w:rsidRPr="00D52B7C" w:rsidRDefault="00AA3F2B" w:rsidP="00AA3F2B">
            <w:pPr>
              <w:pStyle w:val="Tabletext"/>
              <w:rPr>
                <w:lang w:val="fr-FR"/>
              </w:rPr>
            </w:pPr>
            <w:r w:rsidRPr="00D52B7C">
              <w:rPr>
                <w:lang w:val="fr-FR"/>
              </w:rPr>
              <w:t>Mise en œuvre de la fonction stratégie en matière de normalisation au sein de l</w:t>
            </w:r>
            <w:r w:rsidR="00FC0ACA" w:rsidRPr="00D52B7C">
              <w:rPr>
                <w:lang w:val="fr-FR"/>
              </w:rPr>
              <w:t>'</w:t>
            </w:r>
            <w:r w:rsidR="00024E89" w:rsidRPr="00D52B7C">
              <w:rPr>
                <w:lang w:val="fr-FR"/>
              </w:rPr>
              <w:t>UIT</w:t>
            </w:r>
            <w:r w:rsidR="00024E89" w:rsidRPr="00D52B7C">
              <w:rPr>
                <w:lang w:val="fr-FR"/>
              </w:rPr>
              <w:noBreakHyphen/>
            </w:r>
            <w:r w:rsidRPr="00D52B7C">
              <w:rPr>
                <w:lang w:val="fr-FR"/>
              </w:rPr>
              <w:t>T</w:t>
            </w:r>
            <w:r w:rsidR="00FC0ACA" w:rsidRPr="00D52B7C">
              <w:rPr>
                <w:lang w:val="fr-FR"/>
              </w:rPr>
              <w:t xml:space="preserve"> </w:t>
            </w:r>
          </w:p>
        </w:tc>
      </w:tr>
    </w:tbl>
    <w:p w:rsidR="00A06550" w:rsidRPr="00D52B7C" w:rsidRDefault="00A06550" w:rsidP="00A06550">
      <w:pPr>
        <w:tabs>
          <w:tab w:val="clear" w:pos="1134"/>
          <w:tab w:val="clear" w:pos="1871"/>
          <w:tab w:val="clear" w:pos="2268"/>
        </w:tabs>
        <w:overflowPunct/>
        <w:autoSpaceDE/>
        <w:autoSpaceDN/>
        <w:adjustRightInd/>
        <w:textAlignment w:val="auto"/>
        <w:rPr>
          <w:szCs w:val="24"/>
          <w:lang w:val="fr-FR" w:eastAsia="ja-JP"/>
        </w:rPr>
      </w:pPr>
    </w:p>
    <w:p w:rsidR="00725A40" w:rsidRPr="00D52B7C" w:rsidRDefault="00725A40" w:rsidP="00A06550">
      <w:pPr>
        <w:pStyle w:val="Annextitle"/>
        <w:rPr>
          <w:lang w:val="fr-FR"/>
        </w:rPr>
      </w:pPr>
      <w:bookmarkStart w:id="20" w:name="AnnexC"/>
      <w:bookmarkStart w:id="21" w:name="_Toc456366817"/>
      <w:r w:rsidRPr="00D52B7C">
        <w:rPr>
          <w:lang w:val="fr-FR"/>
        </w:rPr>
        <w:br w:type="page"/>
      </w:r>
    </w:p>
    <w:p w:rsidR="00A06550" w:rsidRPr="00D52B7C" w:rsidRDefault="00A06550" w:rsidP="00E91F08">
      <w:pPr>
        <w:pStyle w:val="Annextitle"/>
        <w:rPr>
          <w:lang w:val="fr-FR"/>
        </w:rPr>
      </w:pPr>
      <w:r w:rsidRPr="00D52B7C">
        <w:rPr>
          <w:lang w:val="fr-FR"/>
        </w:rPr>
        <w:lastRenderedPageBreak/>
        <w:t>Annex</w:t>
      </w:r>
      <w:r w:rsidR="00725A40" w:rsidRPr="00D52B7C">
        <w:rPr>
          <w:lang w:val="fr-FR"/>
        </w:rPr>
        <w:t>e</w:t>
      </w:r>
      <w:r w:rsidRPr="00D52B7C">
        <w:rPr>
          <w:lang w:val="fr-FR"/>
        </w:rPr>
        <w:t xml:space="preserve"> C</w:t>
      </w:r>
      <w:bookmarkEnd w:id="20"/>
      <w:r w:rsidR="00725A40" w:rsidRPr="00D52B7C">
        <w:rPr>
          <w:lang w:val="fr-FR"/>
        </w:rPr>
        <w:br/>
      </w:r>
      <w:r w:rsidRPr="00D52B7C">
        <w:rPr>
          <w:lang w:val="fr-FR"/>
        </w:rPr>
        <w:br/>
      </w:r>
      <w:bookmarkEnd w:id="21"/>
      <w:r w:rsidR="00131AEF" w:rsidRPr="00D52B7C">
        <w:rPr>
          <w:lang w:val="fr-FR"/>
        </w:rPr>
        <w:t>Mandat du Comité d'examen</w:t>
      </w:r>
      <w:r w:rsidR="00FC0ACA" w:rsidRPr="00D52B7C">
        <w:rPr>
          <w:lang w:val="fr-FR"/>
        </w:rPr>
        <w:t xml:space="preserve"> </w:t>
      </w:r>
      <w:r w:rsidR="00E91F08" w:rsidRPr="00D52B7C">
        <w:rPr>
          <w:lang w:val="fr-FR"/>
        </w:rPr>
        <w:t>de l</w:t>
      </w:r>
      <w:r w:rsidR="00FC0ACA" w:rsidRPr="00D52B7C">
        <w:rPr>
          <w:lang w:val="fr-FR"/>
        </w:rPr>
        <w:t>'</w:t>
      </w:r>
      <w:r w:rsidR="00E91F08" w:rsidRPr="00D52B7C">
        <w:rPr>
          <w:lang w:val="fr-FR"/>
        </w:rPr>
        <w:t>UIT</w:t>
      </w:r>
      <w:r w:rsidR="00024E89" w:rsidRPr="00D52B7C">
        <w:rPr>
          <w:lang w:val="fr-FR"/>
        </w:rPr>
        <w:noBreakHyphen/>
      </w:r>
      <w:r w:rsidR="00E91F08" w:rsidRPr="00D52B7C">
        <w:rPr>
          <w:lang w:val="fr-FR"/>
        </w:rPr>
        <w:t>T</w:t>
      </w:r>
    </w:p>
    <w:p w:rsidR="00131AEF" w:rsidRPr="00D52B7C" w:rsidRDefault="00131AEF" w:rsidP="00131AEF">
      <w:pPr>
        <w:pStyle w:val="enumlev1"/>
        <w:rPr>
          <w:lang w:val="fr-FR" w:eastAsia="ja-JP"/>
        </w:rPr>
      </w:pPr>
      <w:r w:rsidRPr="00D52B7C">
        <w:rPr>
          <w:lang w:val="fr-FR" w:eastAsia="ja-JP"/>
        </w:rPr>
        <w:t>1</w:t>
      </w:r>
      <w:r w:rsidRPr="00D52B7C">
        <w:rPr>
          <w:lang w:val="fr-FR" w:eastAsia="ja-JP"/>
        </w:rPr>
        <w:tab/>
        <w:t>Déterminer si la structure actuelle de l'UIT</w:t>
      </w:r>
      <w:r w:rsidRPr="00D52B7C">
        <w:rPr>
          <w:lang w:val="fr-FR" w:eastAsia="ja-JP"/>
        </w:rPr>
        <w:noBreakHyphen/>
        <w:t>T permet à ce Secteur de continuer d'évoluer et de faire face à la nécessité croissante de fournir des résultats appropriés dans les meilleurs délais, afin de répondre à la demande du marché, compte tenu de l'environnement actuel et futur de la normalisation.</w:t>
      </w:r>
    </w:p>
    <w:p w:rsidR="00131AEF" w:rsidRPr="00D52B7C" w:rsidRDefault="00131AEF" w:rsidP="00131AEF">
      <w:pPr>
        <w:pStyle w:val="enumlev1"/>
        <w:rPr>
          <w:lang w:val="fr-FR" w:eastAsia="ja-JP"/>
        </w:rPr>
      </w:pPr>
      <w:r w:rsidRPr="00D52B7C">
        <w:rPr>
          <w:lang w:val="fr-FR" w:eastAsia="ja-JP"/>
        </w:rPr>
        <w:t>2</w:t>
      </w:r>
      <w:r w:rsidRPr="00D52B7C">
        <w:rPr>
          <w:lang w:val="fr-FR" w:eastAsia="ja-JP"/>
        </w:rPr>
        <w:tab/>
        <w:t>Examiner les mécanismes actuels de coordination et de collaboration avec d'autres organismes de normalisation et proposer des améliorations.</w:t>
      </w:r>
    </w:p>
    <w:p w:rsidR="00131AEF" w:rsidRPr="00D52B7C" w:rsidRDefault="00131AEF" w:rsidP="00131AEF">
      <w:pPr>
        <w:pStyle w:val="enumlev1"/>
        <w:rPr>
          <w:lang w:val="fr-FR"/>
        </w:rPr>
      </w:pPr>
      <w:r w:rsidRPr="00D52B7C">
        <w:rPr>
          <w:lang w:val="fr-FR"/>
        </w:rPr>
        <w:t>3</w:t>
      </w:r>
      <w:r w:rsidRPr="00D52B7C">
        <w:rPr>
          <w:lang w:val="fr-FR"/>
        </w:rPr>
        <w:tab/>
      </w:r>
      <w:r w:rsidRPr="00D52B7C">
        <w:rPr>
          <w:lang w:val="fr-FR" w:eastAsia="ja-JP"/>
        </w:rPr>
        <w:t xml:space="preserve">Examiner </w:t>
      </w:r>
      <w:r w:rsidRPr="00D52B7C">
        <w:rPr>
          <w:lang w:val="fr-FR"/>
        </w:rPr>
        <w:t>les modèles existants de collaboration entre l'UIT-T et d'autres organismes de normalisation, compte tenu de l'accélération de l'évolution de l'environnement de la normalisation à l'échelle mondiale, et de l'évolution rapide des besoins du grand public/des utilisateurs des normes mondiales.</w:t>
      </w:r>
    </w:p>
    <w:p w:rsidR="00131AEF" w:rsidRPr="00D52B7C" w:rsidRDefault="00131AEF" w:rsidP="00131AEF">
      <w:pPr>
        <w:pStyle w:val="enumlev1"/>
        <w:rPr>
          <w:lang w:val="fr-FR"/>
        </w:rPr>
      </w:pPr>
      <w:r w:rsidRPr="00D52B7C">
        <w:rPr>
          <w:lang w:val="fr-FR"/>
        </w:rPr>
        <w:t>4</w:t>
      </w:r>
      <w:r w:rsidRPr="00D52B7C">
        <w:rPr>
          <w:lang w:val="fr-FR"/>
        </w:rPr>
        <w:tab/>
        <w:t>Définir et proposer de nouvelles modalités de coopération et de collaboration sur la base du respect et de la reconnaissance mutuels de l'évolution des rôles et des responsabilités en matière de normes.</w:t>
      </w:r>
    </w:p>
    <w:p w:rsidR="00131AEF" w:rsidRPr="00D52B7C" w:rsidRDefault="00131AEF" w:rsidP="00131AEF">
      <w:pPr>
        <w:pStyle w:val="enumlev1"/>
        <w:rPr>
          <w:lang w:val="fr-FR"/>
        </w:rPr>
      </w:pPr>
      <w:r w:rsidRPr="00D52B7C">
        <w:rPr>
          <w:lang w:val="fr-FR" w:eastAsia="ja-JP"/>
        </w:rPr>
        <w:t>5</w:t>
      </w:r>
      <w:r w:rsidRPr="00D52B7C">
        <w:rPr>
          <w:lang w:val="fr-FR" w:eastAsia="ja-JP"/>
        </w:rPr>
        <w:tab/>
        <w:t>Définir des moyens d'améliorer la coopération avec d'autres organismes de normalisation, en vue de réduire le plus possible les divergences entre les normes de ces organismes et les normes de l'UIT-T.</w:t>
      </w:r>
    </w:p>
    <w:p w:rsidR="00131AEF" w:rsidRPr="00D52B7C" w:rsidRDefault="00131AEF" w:rsidP="00131AEF">
      <w:pPr>
        <w:pStyle w:val="enumlev1"/>
        <w:rPr>
          <w:lang w:val="fr-FR"/>
        </w:rPr>
      </w:pPr>
      <w:r w:rsidRPr="00D52B7C">
        <w:rPr>
          <w:lang w:val="fr-FR"/>
        </w:rPr>
        <w:t>6</w:t>
      </w:r>
      <w:r w:rsidRPr="00D52B7C">
        <w:rPr>
          <w:lang w:val="fr-FR"/>
        </w:rPr>
        <w:tab/>
        <w:t xml:space="preserve">Elaborer et proposer des recommandations relatives à un ensemble de </w:t>
      </w:r>
      <w:r w:rsidRPr="00D52B7C">
        <w:rPr>
          <w:szCs w:val="24"/>
          <w:lang w:val="fr-FR"/>
        </w:rPr>
        <w:t>principes concernant la normalisation à l'UIT</w:t>
      </w:r>
      <w:r w:rsidRPr="00D52B7C">
        <w:rPr>
          <w:szCs w:val="24"/>
          <w:lang w:val="fr-FR"/>
        </w:rPr>
        <w:noBreakHyphen/>
        <w:t>T de nature à faciliter l'interopérabilité et à encourager l'innovation future.</w:t>
      </w:r>
    </w:p>
    <w:p w:rsidR="00131AEF" w:rsidRPr="00D52B7C" w:rsidRDefault="00131AEF">
      <w:pPr>
        <w:pStyle w:val="enumlev1"/>
        <w:rPr>
          <w:lang w:val="fr-FR" w:eastAsia="ja-JP"/>
        </w:rPr>
      </w:pPr>
      <w:r w:rsidRPr="00D52B7C">
        <w:rPr>
          <w:lang w:val="fr-FR" w:eastAsia="ja-JP"/>
        </w:rPr>
        <w:t>7</w:t>
      </w:r>
      <w:r w:rsidRPr="00D52B7C">
        <w:rPr>
          <w:lang w:val="fr-FR" w:eastAsia="ja-JP"/>
        </w:rPr>
        <w:tab/>
        <w:t>Elaborer un programme de travail à suivre pour mener l'examen</w:t>
      </w:r>
      <w:r w:rsidR="00E91F08" w:rsidRPr="00D52B7C">
        <w:rPr>
          <w:lang w:val="fr-FR" w:eastAsia="ja-JP"/>
        </w:rPr>
        <w:t>,</w:t>
      </w:r>
      <w:r w:rsidRPr="00D52B7C">
        <w:rPr>
          <w:lang w:val="fr-FR" w:eastAsia="ja-JP"/>
        </w:rPr>
        <w:t xml:space="preserve"> </w:t>
      </w:r>
      <w:r w:rsidR="00E91F08" w:rsidRPr="00D52B7C">
        <w:rPr>
          <w:lang w:val="fr-FR" w:eastAsia="ja-JP"/>
        </w:rPr>
        <w:t>ainsi</w:t>
      </w:r>
      <w:r w:rsidR="00FC0ACA" w:rsidRPr="00D52B7C">
        <w:rPr>
          <w:lang w:val="fr-FR" w:eastAsia="ja-JP"/>
        </w:rPr>
        <w:t xml:space="preserve"> </w:t>
      </w:r>
      <w:r w:rsidR="00E91F08" w:rsidRPr="00D52B7C">
        <w:rPr>
          <w:lang w:val="fr-FR" w:eastAsia="ja-JP"/>
        </w:rPr>
        <w:t>que</w:t>
      </w:r>
      <w:r w:rsidR="00FC0ACA" w:rsidRPr="00D52B7C">
        <w:rPr>
          <w:lang w:val="fr-FR" w:eastAsia="ja-JP"/>
        </w:rPr>
        <w:t xml:space="preserve"> </w:t>
      </w:r>
      <w:r w:rsidRPr="00D52B7C">
        <w:rPr>
          <w:lang w:val="fr-FR" w:eastAsia="ja-JP"/>
        </w:rPr>
        <w:t>la structure du rapport</w:t>
      </w:r>
      <w:r w:rsidRPr="00D52B7C">
        <w:rPr>
          <w:lang w:val="fr-FR"/>
        </w:rPr>
        <w:t>.</w:t>
      </w:r>
    </w:p>
    <w:p w:rsidR="00131AEF" w:rsidRPr="00D52B7C" w:rsidRDefault="00131AEF" w:rsidP="00952BB4">
      <w:pPr>
        <w:pStyle w:val="enumlev1"/>
        <w:rPr>
          <w:lang w:val="fr-FR" w:eastAsia="ja-JP"/>
        </w:rPr>
      </w:pPr>
      <w:r w:rsidRPr="00D52B7C">
        <w:rPr>
          <w:lang w:val="fr-FR" w:eastAsia="ja-JP"/>
        </w:rPr>
        <w:t>8</w:t>
      </w:r>
      <w:r w:rsidRPr="00D52B7C">
        <w:rPr>
          <w:lang w:val="fr-FR" w:eastAsia="ja-JP"/>
        </w:rPr>
        <w:tab/>
        <w:t>Procéder à l'examen initial dans les meilleurs délais, afin de fournir au GCNT une contribution pour l'élaboration du plan stratégique de l'UIT</w:t>
      </w:r>
      <w:r w:rsidRPr="00D52B7C">
        <w:rPr>
          <w:lang w:val="fr-FR" w:eastAsia="ja-JP"/>
        </w:rPr>
        <w:noBreakHyphen/>
        <w:t>T, conformément à l'article</w:t>
      </w:r>
      <w:r w:rsidR="00952BB4">
        <w:rPr>
          <w:lang w:val="fr-FR" w:eastAsia="ja-JP"/>
        </w:rPr>
        <w:t> </w:t>
      </w:r>
      <w:r w:rsidRPr="00D52B7C">
        <w:rPr>
          <w:lang w:val="fr-FR" w:eastAsia="ja-JP"/>
        </w:rPr>
        <w:t>14A de la Convention.</w:t>
      </w:r>
    </w:p>
    <w:p w:rsidR="00131AEF" w:rsidRPr="00D52B7C" w:rsidRDefault="00131AEF" w:rsidP="00131AEF">
      <w:pPr>
        <w:pStyle w:val="enumlev1"/>
        <w:rPr>
          <w:lang w:val="fr-FR"/>
        </w:rPr>
      </w:pPr>
      <w:r w:rsidRPr="00D52B7C">
        <w:rPr>
          <w:lang w:val="fr-FR"/>
        </w:rPr>
        <w:t>9</w:t>
      </w:r>
      <w:r w:rsidRPr="00D52B7C">
        <w:rPr>
          <w:lang w:val="fr-FR"/>
        </w:rPr>
        <w:tab/>
        <w:t>Le Comité d'examen est établi par la présente Assemblée et présentera son rapport à l'AMNT-16, sans modifications, par l'intermédiaire du GCNT. En outre, le Comité d'examen fera régulièrement rapport au GCNT sur l'avancement de ses travaux et tiendra compte des commentaires formulés par le GCNT au sujet du rapport d'activité.</w:t>
      </w:r>
    </w:p>
    <w:p w:rsidR="00131AEF" w:rsidRPr="00D52B7C" w:rsidRDefault="00131AEF" w:rsidP="00131AEF">
      <w:pPr>
        <w:pStyle w:val="enumlev1"/>
        <w:rPr>
          <w:lang w:val="fr-FR"/>
        </w:rPr>
      </w:pPr>
      <w:r w:rsidRPr="00D52B7C">
        <w:rPr>
          <w:lang w:val="fr-FR"/>
        </w:rPr>
        <w:t>10</w:t>
      </w:r>
      <w:r w:rsidRPr="00D52B7C">
        <w:rPr>
          <w:lang w:val="fr-FR"/>
        </w:rPr>
        <w:tab/>
        <w:t>Compte tenu du rôle et des fonctions du GCNT, décrits dans l'Article 14A de la Convention, le Comité d'examen soumettra des rapports au GCNT en vue, notamment, d'identifier les mesures concrètes qui pourraient être prises ou mises en œuvre à court terme, ou celles qui pourraient être soumises au moyen d'un rapport du Directeur du TSB à la Conférence de plénipotentiaires pour décision.</w:t>
      </w:r>
    </w:p>
    <w:p w:rsidR="00131AEF" w:rsidRPr="00D52B7C" w:rsidRDefault="00131AEF" w:rsidP="00131AEF">
      <w:pPr>
        <w:pStyle w:val="enumlev1"/>
        <w:rPr>
          <w:lang w:val="fr-FR"/>
        </w:rPr>
      </w:pPr>
      <w:r w:rsidRPr="00D52B7C">
        <w:rPr>
          <w:lang w:val="fr-FR"/>
        </w:rPr>
        <w:t>11</w:t>
      </w:r>
      <w:r w:rsidRPr="00D52B7C">
        <w:rPr>
          <w:lang w:val="fr-FR"/>
        </w:rPr>
        <w:tab/>
        <w:t xml:space="preserve">Le </w:t>
      </w:r>
      <w:bookmarkStart w:id="22" w:name="_GoBack"/>
      <w:r w:rsidRPr="00D52B7C">
        <w:rPr>
          <w:lang w:val="fr-FR"/>
        </w:rPr>
        <w:t>Comité d'examen est ouvert:</w:t>
      </w:r>
    </w:p>
    <w:p w:rsidR="00131AEF" w:rsidRPr="00D52B7C" w:rsidRDefault="00131AEF" w:rsidP="00131AEF">
      <w:pPr>
        <w:pStyle w:val="enumlev2"/>
        <w:rPr>
          <w:lang w:val="fr-FR" w:eastAsia="ja-JP"/>
        </w:rPr>
      </w:pPr>
      <w:r w:rsidRPr="00D52B7C">
        <w:rPr>
          <w:lang w:val="fr-FR" w:eastAsia="ja-JP"/>
        </w:rPr>
        <w:t>a)</w:t>
      </w:r>
      <w:r w:rsidRPr="00D52B7C">
        <w:rPr>
          <w:lang w:val="fr-FR" w:eastAsia="ja-JP"/>
        </w:rPr>
        <w:tab/>
        <w:t xml:space="preserve">aux Etats Membres et aux Membres du Secteur de l'UIT-T ainsi qu'aux établissements </w:t>
      </w:r>
      <w:bookmarkEnd w:id="22"/>
      <w:r w:rsidRPr="00D52B7C">
        <w:rPr>
          <w:lang w:val="fr-FR" w:eastAsia="ja-JP"/>
        </w:rPr>
        <w:t>universitaires</w:t>
      </w:r>
      <w:r w:rsidRPr="00D52B7C">
        <w:rPr>
          <w:position w:val="6"/>
          <w:sz w:val="16"/>
          <w:lang w:val="fr-FR" w:eastAsia="ja-JP"/>
        </w:rPr>
        <w:footnoteReference w:id="1"/>
      </w:r>
      <w:r w:rsidRPr="00D52B7C">
        <w:rPr>
          <w:lang w:val="fr-FR" w:eastAsia="ja-JP"/>
        </w:rPr>
        <w:t xml:space="preserve"> participant aux travaux de l'UIT-T;</w:t>
      </w:r>
    </w:p>
    <w:p w:rsidR="00131AEF" w:rsidRPr="00D52B7C" w:rsidRDefault="00131AEF" w:rsidP="00131AEF">
      <w:pPr>
        <w:pStyle w:val="enumlev2"/>
        <w:rPr>
          <w:lang w:val="fr-FR" w:eastAsia="ja-JP"/>
        </w:rPr>
      </w:pPr>
      <w:r w:rsidRPr="00D52B7C">
        <w:rPr>
          <w:lang w:val="fr-FR"/>
        </w:rPr>
        <w:lastRenderedPageBreak/>
        <w:t>b)</w:t>
      </w:r>
      <w:r w:rsidRPr="00D52B7C">
        <w:rPr>
          <w:lang w:val="fr-FR"/>
        </w:rPr>
        <w:tab/>
      </w:r>
      <w:r w:rsidRPr="00D52B7C">
        <w:rPr>
          <w:lang w:val="fr-FR" w:eastAsia="ja-JP"/>
        </w:rPr>
        <w:t>aux représentants d'autres organisations non visées au point a) ci-dessus, qui pourront assister aux réunions où sont examinées les questions dont s'occupent ces autres organisations, ainsi qu'à d'autres experts, y compris aux Associés, invités par le Président après consultation des vice-présidents et du Directeur du TSB;</w:t>
      </w:r>
    </w:p>
    <w:p w:rsidR="00131AEF" w:rsidRPr="00D52B7C" w:rsidRDefault="00131AEF" w:rsidP="00131AEF">
      <w:pPr>
        <w:pStyle w:val="enumlev1"/>
        <w:rPr>
          <w:lang w:val="fr-FR"/>
        </w:rPr>
      </w:pPr>
      <w:r w:rsidRPr="00D52B7C">
        <w:rPr>
          <w:lang w:val="fr-FR"/>
        </w:rPr>
        <w:t>12</w:t>
      </w:r>
      <w:r w:rsidRPr="00D52B7C">
        <w:rPr>
          <w:lang w:val="fr-FR"/>
        </w:rPr>
        <w:tab/>
        <w:t>Afin de renforcer la participation des régions, le Comité d'examen collaborera avec les groupes régionaux existants de l'UIT, y compris les groupes régionaux des commissions d'études de l'UIT-T, et tiendra compte de leurs contributions. Le Comité d'examen travaillera en coordination avec le Directeur du TSB, pour faire en sorte qu'un participant de chaque pays en développement remplissant les conditions requises bénéficie d'une bourse.</w:t>
      </w:r>
    </w:p>
    <w:p w:rsidR="00131AEF" w:rsidRPr="00D52B7C" w:rsidRDefault="00131AEF" w:rsidP="00131AEF">
      <w:pPr>
        <w:pStyle w:val="enumlev1"/>
        <w:rPr>
          <w:lang w:val="fr-FR"/>
        </w:rPr>
      </w:pPr>
      <w:r w:rsidRPr="00D52B7C">
        <w:rPr>
          <w:lang w:val="fr-FR"/>
        </w:rPr>
        <w:t>13</w:t>
      </w:r>
      <w:r w:rsidRPr="00D52B7C">
        <w:rPr>
          <w:lang w:val="fr-FR"/>
        </w:rPr>
        <w:tab/>
        <w:t xml:space="preserve">Le Comité d'examen travaillera en anglais ou dans les six langues officielles, si la demande en est faite. Les rapports au GCNT seront traduits dans les six langues officielles de l'Union. </w:t>
      </w:r>
    </w:p>
    <w:p w:rsidR="00131AEF" w:rsidRPr="00D52B7C" w:rsidRDefault="00131AEF">
      <w:pPr>
        <w:pStyle w:val="enumlev1"/>
        <w:rPr>
          <w:lang w:val="fr-FR"/>
        </w:rPr>
      </w:pPr>
      <w:r w:rsidRPr="00D52B7C">
        <w:rPr>
          <w:lang w:val="fr-FR"/>
        </w:rPr>
        <w:t>14</w:t>
      </w:r>
      <w:r w:rsidRPr="00D52B7C">
        <w:rPr>
          <w:lang w:val="fr-FR"/>
        </w:rPr>
        <w:tab/>
        <w:t xml:space="preserve">Les réunions du Comité d'examen seront des réunions sans papier et utiliseront des méthodes de travail électroniques, </w:t>
      </w:r>
      <w:r w:rsidR="00952BB4">
        <w:rPr>
          <w:lang w:val="fr-FR"/>
        </w:rPr>
        <w:t>conformément à la Résolution 32.</w:t>
      </w:r>
    </w:p>
    <w:p w:rsidR="00131AEF" w:rsidRPr="00D52B7C" w:rsidRDefault="00131AEF" w:rsidP="00131AEF">
      <w:pPr>
        <w:pStyle w:val="enumlev1"/>
        <w:rPr>
          <w:lang w:val="fr-FR"/>
        </w:rPr>
      </w:pPr>
      <w:r w:rsidRPr="00D52B7C">
        <w:rPr>
          <w:lang w:val="fr-FR"/>
        </w:rPr>
        <w:t>15</w:t>
      </w:r>
      <w:r w:rsidRPr="00D52B7C">
        <w:rPr>
          <w:lang w:val="fr-FR"/>
        </w:rPr>
        <w:tab/>
        <w:t>Le Comité d'examen se réunira immédiatement avant le GCNT.</w:t>
      </w:r>
    </w:p>
    <w:p w:rsidR="00131AEF" w:rsidRPr="00D52B7C" w:rsidRDefault="00131AEF" w:rsidP="00131AEF">
      <w:pPr>
        <w:pStyle w:val="enumlev1"/>
        <w:rPr>
          <w:lang w:val="fr-FR"/>
        </w:rPr>
      </w:pPr>
      <w:r w:rsidRPr="00D52B7C">
        <w:rPr>
          <w:lang w:val="fr-FR"/>
        </w:rPr>
        <w:t>16</w:t>
      </w:r>
      <w:r w:rsidRPr="00D52B7C">
        <w:rPr>
          <w:lang w:val="fr-FR"/>
        </w:rPr>
        <w:tab/>
        <w:t>La durée de chaque réunion du Comité d'examen ne dépassera pas trois jours ouvrables.</w:t>
      </w:r>
    </w:p>
    <w:p w:rsidR="00131AEF" w:rsidRPr="00D52B7C" w:rsidRDefault="00131AEF" w:rsidP="00131AEF">
      <w:pPr>
        <w:pStyle w:val="enumlev1"/>
        <w:rPr>
          <w:lang w:val="fr-FR"/>
        </w:rPr>
      </w:pPr>
      <w:r w:rsidRPr="00D52B7C">
        <w:rPr>
          <w:lang w:val="fr-FR"/>
        </w:rPr>
        <w:t>17</w:t>
      </w:r>
      <w:r w:rsidRPr="00D52B7C">
        <w:rPr>
          <w:lang w:val="fr-FR"/>
        </w:rPr>
        <w:tab/>
        <w:t>L'équipe de direction du Comité d'examen se composera d'un président et de six vice</w:t>
      </w:r>
      <w:r w:rsidRPr="00D52B7C">
        <w:rPr>
          <w:lang w:val="fr-FR"/>
        </w:rPr>
        <w:noBreakHyphen/>
        <w:t>présidents au plus, compte tenu d'une répartition géographique équitable.</w:t>
      </w:r>
    </w:p>
    <w:p w:rsidR="00131AEF" w:rsidRPr="00D52B7C" w:rsidRDefault="00131AEF" w:rsidP="00131AEF">
      <w:pPr>
        <w:pStyle w:val="enumlev1"/>
        <w:rPr>
          <w:lang w:val="fr-FR"/>
        </w:rPr>
      </w:pPr>
      <w:r w:rsidRPr="00D52B7C">
        <w:rPr>
          <w:lang w:val="fr-FR"/>
        </w:rPr>
        <w:t>18</w:t>
      </w:r>
      <w:r w:rsidRPr="00D52B7C">
        <w:rPr>
          <w:lang w:val="fr-FR"/>
        </w:rPr>
        <w:tab/>
        <w:t>Le rapport final du Comité d'examen sera traduit et transmis à la dernière réunion du GCNT avant l'AMNT-16. Les activités du Comité d'examen prendront fin en 2016, à moins que l'AMNT-16 ne décide de reconduire ce Comité.</w:t>
      </w:r>
    </w:p>
    <w:p w:rsidR="00987C1F" w:rsidRPr="00D52B7C" w:rsidRDefault="00987C1F" w:rsidP="00131AEF">
      <w:pPr>
        <w:pStyle w:val="enumlev1"/>
        <w:rPr>
          <w:lang w:val="fr-FR"/>
        </w:rPr>
      </w:pPr>
    </w:p>
    <w:p w:rsidR="00131AEF" w:rsidRPr="00D52B7C" w:rsidRDefault="00131AEF" w:rsidP="001A555A">
      <w:pPr>
        <w:pStyle w:val="Reasons"/>
        <w:rPr>
          <w:lang w:val="fr-FR"/>
        </w:rPr>
      </w:pPr>
    </w:p>
    <w:p w:rsidR="00131AEF" w:rsidRPr="00D52B7C" w:rsidRDefault="00131AEF">
      <w:pPr>
        <w:jc w:val="center"/>
        <w:rPr>
          <w:lang w:val="fr-FR"/>
        </w:rPr>
      </w:pPr>
      <w:r w:rsidRPr="00D52B7C">
        <w:rPr>
          <w:lang w:val="fr-FR"/>
        </w:rPr>
        <w:t>______________</w:t>
      </w:r>
    </w:p>
    <w:p w:rsidR="00131AEF" w:rsidRPr="00D52B7C" w:rsidRDefault="00131AEF" w:rsidP="00131AEF">
      <w:pPr>
        <w:pStyle w:val="enumlev1"/>
        <w:rPr>
          <w:lang w:val="fr-FR"/>
        </w:rPr>
      </w:pPr>
    </w:p>
    <w:sectPr w:rsidR="00131AEF" w:rsidRPr="00D52B7C" w:rsidSect="0039169B">
      <w:headerReference w:type="default" r:id="rId89"/>
      <w:footerReference w:type="even" r:id="rId90"/>
      <w:footerReference w:type="default" r:id="rId91"/>
      <w:footerReference w:type="first" r:id="rId9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D3" w:rsidRDefault="001631D3">
      <w:r>
        <w:separator/>
      </w:r>
    </w:p>
  </w:endnote>
  <w:endnote w:type="continuationSeparator" w:id="0">
    <w:p w:rsidR="001631D3" w:rsidRDefault="0016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D3" w:rsidRDefault="001631D3">
    <w:pPr>
      <w:framePr w:wrap="around" w:vAnchor="text" w:hAnchor="margin" w:xAlign="right" w:y="1"/>
    </w:pPr>
    <w:r>
      <w:fldChar w:fldCharType="begin"/>
    </w:r>
    <w:r>
      <w:instrText xml:space="preserve">PAGE  </w:instrText>
    </w:r>
    <w:r>
      <w:fldChar w:fldCharType="end"/>
    </w:r>
  </w:p>
  <w:p w:rsidR="001631D3" w:rsidRPr="001A555A" w:rsidRDefault="001631D3">
    <w:pPr>
      <w:ind w:right="360"/>
      <w:rPr>
        <w:lang w:val="fr-CH"/>
      </w:rPr>
    </w:pPr>
    <w:r>
      <w:fldChar w:fldCharType="begin"/>
    </w:r>
    <w:r w:rsidRPr="001A555A">
      <w:rPr>
        <w:lang w:val="fr-CH"/>
      </w:rPr>
      <w:instrText xml:space="preserve"> FILENAME \p  \* MERGEFORMAT </w:instrText>
    </w:r>
    <w:r>
      <w:fldChar w:fldCharType="separate"/>
    </w:r>
    <w:r w:rsidR="005B5C92">
      <w:rPr>
        <w:noProof/>
        <w:lang w:val="fr-CH"/>
      </w:rPr>
      <w:t>P:\FRA\ITU-T\CONF-T\WTSA16\000\023F.docx</w:t>
    </w:r>
    <w:r>
      <w:fldChar w:fldCharType="end"/>
    </w:r>
    <w:r w:rsidRPr="001A555A">
      <w:rPr>
        <w:lang w:val="fr-CH"/>
      </w:rPr>
      <w:tab/>
    </w:r>
    <w:r>
      <w:fldChar w:fldCharType="begin"/>
    </w:r>
    <w:r>
      <w:instrText xml:space="preserve"> SAVEDATE \@ DD.MM.YY </w:instrText>
    </w:r>
    <w:r>
      <w:fldChar w:fldCharType="separate"/>
    </w:r>
    <w:r w:rsidR="00D409B4">
      <w:rPr>
        <w:noProof/>
      </w:rPr>
      <w:t>16.09.16</w:t>
    </w:r>
    <w:r>
      <w:fldChar w:fldCharType="end"/>
    </w:r>
    <w:r w:rsidRPr="001A555A">
      <w:rPr>
        <w:lang w:val="fr-CH"/>
      </w:rPr>
      <w:tab/>
    </w:r>
    <w:r>
      <w:fldChar w:fldCharType="begin"/>
    </w:r>
    <w:r>
      <w:instrText xml:space="preserve"> PRINTDATE \@ DD.MM.YY </w:instrText>
    </w:r>
    <w:r>
      <w:fldChar w:fldCharType="separate"/>
    </w:r>
    <w:r w:rsidR="005B5C92">
      <w:rPr>
        <w:noProof/>
      </w:rPr>
      <w:t>14.09.16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D3" w:rsidRPr="00D409B4" w:rsidRDefault="00D409B4" w:rsidP="00D409B4">
    <w:pPr>
      <w:pStyle w:val="Footer"/>
      <w:rPr>
        <w:lang w:val="fr-CH"/>
      </w:rPr>
    </w:pPr>
    <w:r w:rsidRPr="00D409B4">
      <w:rPr>
        <w:lang w:val="fr-CH"/>
      </w:rPr>
      <w:t>ITU-T\CONF-T\WTSA16\000\023</w:t>
    </w:r>
    <w:r>
      <w:rPr>
        <w:lang w:val="fr-CH"/>
      </w:rPr>
      <w:t>F</w:t>
    </w:r>
    <w:r w:rsidRPr="00D409B4">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1631D3" w:rsidRPr="00D409B4" w:rsidTr="00A06550">
      <w:trPr>
        <w:cantSplit/>
        <w:trHeight w:val="204"/>
      </w:trPr>
      <w:tc>
        <w:tcPr>
          <w:tcW w:w="1617" w:type="dxa"/>
          <w:tcBorders>
            <w:top w:val="single" w:sz="12" w:space="0" w:color="auto"/>
          </w:tcBorders>
        </w:tcPr>
        <w:p w:rsidR="001631D3" w:rsidRDefault="001631D3" w:rsidP="00A06550">
          <w:pPr>
            <w:rPr>
              <w:b/>
              <w:bCs/>
            </w:rPr>
          </w:pPr>
          <w:bookmarkStart w:id="23" w:name="dcontact"/>
          <w:r>
            <w:rPr>
              <w:b/>
              <w:bCs/>
            </w:rPr>
            <w:t>Contact:</w:t>
          </w:r>
        </w:p>
      </w:tc>
      <w:tc>
        <w:tcPr>
          <w:tcW w:w="4394" w:type="dxa"/>
          <w:tcBorders>
            <w:top w:val="single" w:sz="12" w:space="0" w:color="auto"/>
          </w:tcBorders>
        </w:tcPr>
        <w:p w:rsidR="001631D3" w:rsidRDefault="001631D3" w:rsidP="00A06550">
          <w:r>
            <w:t>Yoichi Maeda</w:t>
          </w:r>
        </w:p>
        <w:p w:rsidR="001631D3" w:rsidRDefault="001631D3" w:rsidP="00A06550">
          <w:pPr>
            <w:spacing w:before="0"/>
          </w:pPr>
          <w:r>
            <w:t>TTC</w:t>
          </w:r>
        </w:p>
        <w:p w:rsidR="001631D3" w:rsidRDefault="001631D3" w:rsidP="00A06550">
          <w:pPr>
            <w:spacing w:before="0"/>
          </w:pPr>
          <w:proofErr w:type="spellStart"/>
          <w:r>
            <w:t>Japon</w:t>
          </w:r>
          <w:proofErr w:type="spellEnd"/>
        </w:p>
      </w:tc>
      <w:tc>
        <w:tcPr>
          <w:tcW w:w="3912" w:type="dxa"/>
          <w:tcBorders>
            <w:top w:val="single" w:sz="12" w:space="0" w:color="auto"/>
          </w:tcBorders>
        </w:tcPr>
        <w:p w:rsidR="001631D3" w:rsidRPr="005B5C92" w:rsidRDefault="00D52B7C" w:rsidP="00A06550">
          <w:pPr>
            <w:rPr>
              <w:lang w:val="fr-CH"/>
            </w:rPr>
          </w:pPr>
          <w:r>
            <w:rPr>
              <w:lang w:val="fr-CH"/>
            </w:rPr>
            <w:t>Courriel</w:t>
          </w:r>
          <w:r w:rsidR="001631D3" w:rsidRPr="005B5C92">
            <w:rPr>
              <w:lang w:val="fr-CH"/>
            </w:rPr>
            <w:t xml:space="preserve">: </w:t>
          </w:r>
          <w:hyperlink r:id="rId1" w:history="1">
            <w:r w:rsidR="001631D3" w:rsidRPr="005B5C92">
              <w:rPr>
                <w:rStyle w:val="Hyperlink"/>
                <w:lang w:val="fr-CH"/>
              </w:rPr>
              <w:t>yoichi.maeda@s.ttc.or.jp</w:t>
            </w:r>
          </w:hyperlink>
          <w:r w:rsidR="001631D3" w:rsidRPr="005B5C92">
            <w:rPr>
              <w:lang w:val="fr-CH"/>
            </w:rPr>
            <w:t xml:space="preserve"> </w:t>
          </w:r>
        </w:p>
      </w:tc>
    </w:tr>
    <w:bookmarkEnd w:id="23"/>
  </w:tbl>
  <w:p w:rsidR="001631D3" w:rsidRPr="005B5C92" w:rsidRDefault="001631D3" w:rsidP="00A0655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D3" w:rsidRDefault="001631D3">
      <w:r>
        <w:rPr>
          <w:b/>
        </w:rPr>
        <w:t>_______________</w:t>
      </w:r>
    </w:p>
  </w:footnote>
  <w:footnote w:type="continuationSeparator" w:id="0">
    <w:p w:rsidR="001631D3" w:rsidRDefault="001631D3">
      <w:r>
        <w:continuationSeparator/>
      </w:r>
    </w:p>
  </w:footnote>
  <w:footnote w:id="1">
    <w:p w:rsidR="001631D3" w:rsidRPr="00AF1A9D" w:rsidRDefault="001631D3" w:rsidP="001A555A">
      <w:pPr>
        <w:pStyle w:val="FootnoteText"/>
        <w:ind w:left="255" w:hanging="255"/>
        <w:rPr>
          <w:lang w:val="fr-CH"/>
        </w:rPr>
      </w:pPr>
      <w:r>
        <w:rPr>
          <w:rStyle w:val="FootnoteReference"/>
        </w:rPr>
        <w:footnoteRef/>
      </w:r>
      <w:r w:rsidRPr="00131AEF">
        <w:rPr>
          <w:lang w:val="fr-CH"/>
        </w:rPr>
        <w:tab/>
      </w:r>
      <w:r w:rsidRPr="00A82A09">
        <w:rPr>
          <w:lang w:val="fr-CH"/>
        </w:rPr>
        <w:t>Conformément à la Résolution 169 (Guadalajara, 2010)</w:t>
      </w:r>
      <w:r>
        <w:rPr>
          <w:lang w:val="fr-CH"/>
        </w:rPr>
        <w:t>,</w:t>
      </w:r>
      <w:r w:rsidRPr="00A82A09">
        <w:rPr>
          <w:lang w:val="fr-CH"/>
        </w:rPr>
        <w:t xml:space="preserve"> </w:t>
      </w:r>
      <w:r w:rsidRPr="00131AEF">
        <w:rPr>
          <w:lang w:val="fr-CH"/>
        </w:rPr>
        <w:t>Admission d'établissements universitaires, d'universités et d'instituts de recherche associés à participer aux travaux des trois Secteurs de l'Union"</w:t>
      </w:r>
      <w:r w:rsidRPr="00A82A09">
        <w:rPr>
          <w:lang w:val="fr-CH"/>
        </w:rPr>
        <w:t xml:space="preserve">, </w:t>
      </w:r>
      <w:r>
        <w:rPr>
          <w:lang w:val="fr-CH"/>
        </w:rPr>
        <w:t>les établissements universitaires n'interviennent pas dans le processus de prise de décisions</w:t>
      </w:r>
      <w:r w:rsidRPr="00A82A09">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D3" w:rsidRDefault="001631D3" w:rsidP="00987C1F">
    <w:pPr>
      <w:pStyle w:val="Header"/>
    </w:pPr>
    <w:r>
      <w:fldChar w:fldCharType="begin"/>
    </w:r>
    <w:r>
      <w:instrText xml:space="preserve"> PAGE </w:instrText>
    </w:r>
    <w:r>
      <w:fldChar w:fldCharType="separate"/>
    </w:r>
    <w:r w:rsidR="00D409B4">
      <w:rPr>
        <w:noProof/>
      </w:rPr>
      <w:t>13</w:t>
    </w:r>
    <w:r>
      <w:fldChar w:fldCharType="end"/>
    </w:r>
  </w:p>
  <w:p w:rsidR="001631D3" w:rsidRDefault="001631D3" w:rsidP="00A06550">
    <w:pPr>
      <w:pStyle w:val="Header"/>
    </w:pPr>
    <w:r>
      <w:t>AMNT16/23</w:t>
    </w:r>
    <w:r w:rsidR="00D409B4">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9970CF-B5FB-4629-AF3C-EAEDD8134642}"/>
    <w:docVar w:name="dgnword-eventsink" w:val="367456720"/>
  </w:docVars>
  <w:rsids>
    <w:rsidRoot w:val="00B31EF6"/>
    <w:rsid w:val="000032AD"/>
    <w:rsid w:val="000041EA"/>
    <w:rsid w:val="00022A29"/>
    <w:rsid w:val="00024E89"/>
    <w:rsid w:val="0002720E"/>
    <w:rsid w:val="000355FD"/>
    <w:rsid w:val="00036451"/>
    <w:rsid w:val="0003799B"/>
    <w:rsid w:val="00051E39"/>
    <w:rsid w:val="00052A27"/>
    <w:rsid w:val="00077239"/>
    <w:rsid w:val="00086491"/>
    <w:rsid w:val="00091346"/>
    <w:rsid w:val="0009706C"/>
    <w:rsid w:val="000A14AF"/>
    <w:rsid w:val="000F73FF"/>
    <w:rsid w:val="00114CF7"/>
    <w:rsid w:val="00123B68"/>
    <w:rsid w:val="00126F2E"/>
    <w:rsid w:val="00127A6C"/>
    <w:rsid w:val="00131AEF"/>
    <w:rsid w:val="00146F6F"/>
    <w:rsid w:val="001520AA"/>
    <w:rsid w:val="001631D3"/>
    <w:rsid w:val="00164C14"/>
    <w:rsid w:val="00170CC3"/>
    <w:rsid w:val="00174C31"/>
    <w:rsid w:val="0018614A"/>
    <w:rsid w:val="00187BD9"/>
    <w:rsid w:val="00190B55"/>
    <w:rsid w:val="001978FA"/>
    <w:rsid w:val="001A0F27"/>
    <w:rsid w:val="001A2A29"/>
    <w:rsid w:val="001A555A"/>
    <w:rsid w:val="001C3B5F"/>
    <w:rsid w:val="001D058F"/>
    <w:rsid w:val="001D581B"/>
    <w:rsid w:val="001D77E9"/>
    <w:rsid w:val="001E1430"/>
    <w:rsid w:val="002009EA"/>
    <w:rsid w:val="00202CA0"/>
    <w:rsid w:val="00216B6D"/>
    <w:rsid w:val="00250AF4"/>
    <w:rsid w:val="00271316"/>
    <w:rsid w:val="00275A05"/>
    <w:rsid w:val="002B043B"/>
    <w:rsid w:val="002B2A75"/>
    <w:rsid w:val="002C35E6"/>
    <w:rsid w:val="002D58BE"/>
    <w:rsid w:val="002E210D"/>
    <w:rsid w:val="002E4B4B"/>
    <w:rsid w:val="003236A6"/>
    <w:rsid w:val="00332C56"/>
    <w:rsid w:val="00345A52"/>
    <w:rsid w:val="00353AED"/>
    <w:rsid w:val="00377BD3"/>
    <w:rsid w:val="003832C0"/>
    <w:rsid w:val="00383EC3"/>
    <w:rsid w:val="00384088"/>
    <w:rsid w:val="0039169B"/>
    <w:rsid w:val="003A7F8C"/>
    <w:rsid w:val="003B532E"/>
    <w:rsid w:val="003D0F8B"/>
    <w:rsid w:val="003E7C15"/>
    <w:rsid w:val="004054F5"/>
    <w:rsid w:val="004079B0"/>
    <w:rsid w:val="0041348E"/>
    <w:rsid w:val="00417AD4"/>
    <w:rsid w:val="004311F0"/>
    <w:rsid w:val="004435F7"/>
    <w:rsid w:val="00444030"/>
    <w:rsid w:val="004508E2"/>
    <w:rsid w:val="00476533"/>
    <w:rsid w:val="00492075"/>
    <w:rsid w:val="004969AD"/>
    <w:rsid w:val="004A26C4"/>
    <w:rsid w:val="004B13CB"/>
    <w:rsid w:val="004D5D5C"/>
    <w:rsid w:val="004E42A3"/>
    <w:rsid w:val="0050139F"/>
    <w:rsid w:val="00526703"/>
    <w:rsid w:val="00526FE3"/>
    <w:rsid w:val="00530525"/>
    <w:rsid w:val="00530B99"/>
    <w:rsid w:val="0055140B"/>
    <w:rsid w:val="00584E8A"/>
    <w:rsid w:val="00595780"/>
    <w:rsid w:val="005964AB"/>
    <w:rsid w:val="005B5C92"/>
    <w:rsid w:val="005B7E62"/>
    <w:rsid w:val="005C099A"/>
    <w:rsid w:val="005C31A5"/>
    <w:rsid w:val="005E10C9"/>
    <w:rsid w:val="005E35C6"/>
    <w:rsid w:val="005E61DD"/>
    <w:rsid w:val="006023DF"/>
    <w:rsid w:val="0060770B"/>
    <w:rsid w:val="00657DE0"/>
    <w:rsid w:val="00685313"/>
    <w:rsid w:val="0069092B"/>
    <w:rsid w:val="00692833"/>
    <w:rsid w:val="006A6E9B"/>
    <w:rsid w:val="006B249F"/>
    <w:rsid w:val="006B4E12"/>
    <w:rsid w:val="006B7C2A"/>
    <w:rsid w:val="006C23DA"/>
    <w:rsid w:val="006D76B1"/>
    <w:rsid w:val="006E013B"/>
    <w:rsid w:val="006E2BA9"/>
    <w:rsid w:val="006E3D45"/>
    <w:rsid w:val="006F1AEA"/>
    <w:rsid w:val="006F580E"/>
    <w:rsid w:val="007149F9"/>
    <w:rsid w:val="00725A40"/>
    <w:rsid w:val="00733A30"/>
    <w:rsid w:val="00745AEE"/>
    <w:rsid w:val="00750F10"/>
    <w:rsid w:val="007742CA"/>
    <w:rsid w:val="00790D70"/>
    <w:rsid w:val="007D5320"/>
    <w:rsid w:val="008006C5"/>
    <w:rsid w:val="00800972"/>
    <w:rsid w:val="00804475"/>
    <w:rsid w:val="0080536B"/>
    <w:rsid w:val="00811633"/>
    <w:rsid w:val="00813B79"/>
    <w:rsid w:val="00825BE1"/>
    <w:rsid w:val="00833284"/>
    <w:rsid w:val="00851D9A"/>
    <w:rsid w:val="008545EC"/>
    <w:rsid w:val="00864CD2"/>
    <w:rsid w:val="00872FC8"/>
    <w:rsid w:val="008845D0"/>
    <w:rsid w:val="008A69FB"/>
    <w:rsid w:val="008B1AEA"/>
    <w:rsid w:val="008B43F2"/>
    <w:rsid w:val="008B6CFF"/>
    <w:rsid w:val="008C27E9"/>
    <w:rsid w:val="008C6BAA"/>
    <w:rsid w:val="008E1AD2"/>
    <w:rsid w:val="0091758B"/>
    <w:rsid w:val="0092425C"/>
    <w:rsid w:val="009274B4"/>
    <w:rsid w:val="00934EA2"/>
    <w:rsid w:val="00940614"/>
    <w:rsid w:val="00944A5C"/>
    <w:rsid w:val="00952A66"/>
    <w:rsid w:val="00952BB4"/>
    <w:rsid w:val="00957670"/>
    <w:rsid w:val="00987C1F"/>
    <w:rsid w:val="009C2283"/>
    <w:rsid w:val="009C3191"/>
    <w:rsid w:val="009C56E5"/>
    <w:rsid w:val="009E5FC8"/>
    <w:rsid w:val="009E687A"/>
    <w:rsid w:val="009F63E2"/>
    <w:rsid w:val="00A03103"/>
    <w:rsid w:val="00A05893"/>
    <w:rsid w:val="00A06550"/>
    <w:rsid w:val="00A066F1"/>
    <w:rsid w:val="00A123E9"/>
    <w:rsid w:val="00A140BA"/>
    <w:rsid w:val="00A141AF"/>
    <w:rsid w:val="00A1452F"/>
    <w:rsid w:val="00A16D29"/>
    <w:rsid w:val="00A30305"/>
    <w:rsid w:val="00A31D2D"/>
    <w:rsid w:val="00A3501C"/>
    <w:rsid w:val="00A4600A"/>
    <w:rsid w:val="00A538A6"/>
    <w:rsid w:val="00A54C25"/>
    <w:rsid w:val="00A710E7"/>
    <w:rsid w:val="00A7372E"/>
    <w:rsid w:val="00A811DC"/>
    <w:rsid w:val="00A90939"/>
    <w:rsid w:val="00A93B85"/>
    <w:rsid w:val="00A94A88"/>
    <w:rsid w:val="00A95B24"/>
    <w:rsid w:val="00AA0B18"/>
    <w:rsid w:val="00AA3F2B"/>
    <w:rsid w:val="00AA666F"/>
    <w:rsid w:val="00AB5A50"/>
    <w:rsid w:val="00AB7C5F"/>
    <w:rsid w:val="00AC1764"/>
    <w:rsid w:val="00AD58AE"/>
    <w:rsid w:val="00B31EF6"/>
    <w:rsid w:val="00B639E9"/>
    <w:rsid w:val="00B707D9"/>
    <w:rsid w:val="00B817CD"/>
    <w:rsid w:val="00B94AD0"/>
    <w:rsid w:val="00B97474"/>
    <w:rsid w:val="00BA5265"/>
    <w:rsid w:val="00BB3A95"/>
    <w:rsid w:val="00BB6D50"/>
    <w:rsid w:val="00BE5C93"/>
    <w:rsid w:val="00BF3176"/>
    <w:rsid w:val="00C0018F"/>
    <w:rsid w:val="00C16A5A"/>
    <w:rsid w:val="00C20466"/>
    <w:rsid w:val="00C214ED"/>
    <w:rsid w:val="00C234E6"/>
    <w:rsid w:val="00C26BA2"/>
    <w:rsid w:val="00C324A8"/>
    <w:rsid w:val="00C33D36"/>
    <w:rsid w:val="00C47A27"/>
    <w:rsid w:val="00C54517"/>
    <w:rsid w:val="00C619E9"/>
    <w:rsid w:val="00C64CD8"/>
    <w:rsid w:val="00C7505F"/>
    <w:rsid w:val="00C97C68"/>
    <w:rsid w:val="00CA1A47"/>
    <w:rsid w:val="00CA36C8"/>
    <w:rsid w:val="00CB4D1B"/>
    <w:rsid w:val="00CC247A"/>
    <w:rsid w:val="00CE388F"/>
    <w:rsid w:val="00CE5E47"/>
    <w:rsid w:val="00CF020F"/>
    <w:rsid w:val="00CF1E9D"/>
    <w:rsid w:val="00CF2B5B"/>
    <w:rsid w:val="00D14CE0"/>
    <w:rsid w:val="00D240E6"/>
    <w:rsid w:val="00D409B4"/>
    <w:rsid w:val="00D52B7C"/>
    <w:rsid w:val="00D54009"/>
    <w:rsid w:val="00D5651D"/>
    <w:rsid w:val="00D57A34"/>
    <w:rsid w:val="00D57E78"/>
    <w:rsid w:val="00D6112A"/>
    <w:rsid w:val="00D619E7"/>
    <w:rsid w:val="00D74898"/>
    <w:rsid w:val="00D801ED"/>
    <w:rsid w:val="00D936BC"/>
    <w:rsid w:val="00D96530"/>
    <w:rsid w:val="00DA0AEE"/>
    <w:rsid w:val="00DD44AF"/>
    <w:rsid w:val="00DE2AC3"/>
    <w:rsid w:val="00DE2DA8"/>
    <w:rsid w:val="00DE5692"/>
    <w:rsid w:val="00E03C94"/>
    <w:rsid w:val="00E07AF5"/>
    <w:rsid w:val="00E11197"/>
    <w:rsid w:val="00E14E2A"/>
    <w:rsid w:val="00E26226"/>
    <w:rsid w:val="00E45D05"/>
    <w:rsid w:val="00E546E3"/>
    <w:rsid w:val="00E55816"/>
    <w:rsid w:val="00E55AEF"/>
    <w:rsid w:val="00E73003"/>
    <w:rsid w:val="00E84ED7"/>
    <w:rsid w:val="00E917FD"/>
    <w:rsid w:val="00E91F08"/>
    <w:rsid w:val="00E976C1"/>
    <w:rsid w:val="00EA12E5"/>
    <w:rsid w:val="00EA3156"/>
    <w:rsid w:val="00EB55C6"/>
    <w:rsid w:val="00EE2532"/>
    <w:rsid w:val="00EE7331"/>
    <w:rsid w:val="00EF2B09"/>
    <w:rsid w:val="00EF47AD"/>
    <w:rsid w:val="00F02766"/>
    <w:rsid w:val="00F05BD4"/>
    <w:rsid w:val="00F2134B"/>
    <w:rsid w:val="00F27A10"/>
    <w:rsid w:val="00F52FC6"/>
    <w:rsid w:val="00F6155B"/>
    <w:rsid w:val="00F65C19"/>
    <w:rsid w:val="00F7356B"/>
    <w:rsid w:val="00F776DF"/>
    <w:rsid w:val="00F840C7"/>
    <w:rsid w:val="00F873DE"/>
    <w:rsid w:val="00F9010B"/>
    <w:rsid w:val="00FC0ACA"/>
    <w:rsid w:val="00FD2546"/>
    <w:rsid w:val="00FD772E"/>
    <w:rsid w:val="00FE5683"/>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link w:val="DocnumberChar"/>
    <w:rsid w:val="00D240E6"/>
    <w:pPr>
      <w:spacing w:before="0"/>
    </w:pPr>
    <w:rPr>
      <w:rFonts w:ascii="Verdana" w:eastAsia="Times New Roman" w:hAnsi="Verdana" w:cs="Times New Roman Bold"/>
      <w:b/>
      <w:bCs/>
      <w:sz w:val="20"/>
    </w:rPr>
  </w:style>
  <w:style w:type="character" w:customStyle="1" w:styleId="DocnumberChar">
    <w:name w:val="Docnumber Char"/>
    <w:link w:val="Docnumber"/>
    <w:rsid w:val="00D240E6"/>
    <w:rPr>
      <w:rFonts w:ascii="Verdana" w:eastAsia="Times New Roman" w:hAnsi="Verdana" w:cs="Times New Roman Bold"/>
      <w:b/>
      <w:bCs/>
      <w:lang w:val="en-GB" w:eastAsia="en-US"/>
    </w:rPr>
  </w:style>
  <w:style w:type="character" w:styleId="Hyperlink">
    <w:name w:val="Hyperlink"/>
    <w:basedOn w:val="DefaultParagraphFont"/>
    <w:uiPriority w:val="99"/>
    <w:unhideWhenUsed/>
    <w:rsid w:val="00A06550"/>
    <w:rPr>
      <w:color w:val="0000FF" w:themeColor="hyperlink"/>
      <w:u w:val="single"/>
    </w:rPr>
  </w:style>
  <w:style w:type="table" w:styleId="TableGrid">
    <w:name w:val="Table Grid"/>
    <w:basedOn w:val="TableNormal"/>
    <w:uiPriority w:val="39"/>
    <w:rsid w:val="00A065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3-REVCOM-150119-TD-GEN-0176" TargetMode="External"/><Relationship Id="rId21" Type="http://schemas.openxmlformats.org/officeDocument/2006/relationships/hyperlink" Target="http://www.itu.int/md/T13-REVCOM-160715-TD-GEN-0235/en" TargetMode="External"/><Relationship Id="rId42" Type="http://schemas.openxmlformats.org/officeDocument/2006/relationships/hyperlink" Target="http://www.itu.int/md/meetingdoc.asp?lang=en&amp;parent=T13-REVCOM-140116-TD-GEN-0046" TargetMode="External"/><Relationship Id="rId47" Type="http://schemas.openxmlformats.org/officeDocument/2006/relationships/hyperlink" Target="http://www.itu.int/md/meetingdoc.asp?lang=en&amp;parent=T13-REVCOM-150529-TD-GEN-0186" TargetMode="External"/><Relationship Id="rId63" Type="http://schemas.openxmlformats.org/officeDocument/2006/relationships/hyperlink" Target="http://www.itu.int/md/meetingdoc.asp?lang=en&amp;parent=T13-REVCOM-C-0015" TargetMode="External"/><Relationship Id="rId68" Type="http://schemas.openxmlformats.org/officeDocument/2006/relationships/hyperlink" Target="http://www.itu.int/md/meetingdoc.asp?lang=en&amp;parent=T13-REVCOM-C-0020" TargetMode="External"/><Relationship Id="rId84" Type="http://schemas.openxmlformats.org/officeDocument/2006/relationships/hyperlink" Target="http://www.itu.int/md/meetingdoc.asp?lang=en&amp;parent=T13-REVCOM-C-0036" TargetMode="External"/><Relationship Id="rId89" Type="http://schemas.openxmlformats.org/officeDocument/2006/relationships/header" Target="header1.xml"/><Relationship Id="rId16" Type="http://schemas.openxmlformats.org/officeDocument/2006/relationships/hyperlink" Target="http://www.itu.int/md/T13-REVCOM-R-0007/en" TargetMode="External"/><Relationship Id="rId11" Type="http://schemas.openxmlformats.org/officeDocument/2006/relationships/hyperlink" Target="http://www.itu.int/md/meetingdoc.asp?lang=en&amp;parent=T13-REVCOM-R-0002" TargetMode="External"/><Relationship Id="rId32" Type="http://schemas.openxmlformats.org/officeDocument/2006/relationships/hyperlink" Target="http://www.itu.int/md/T13-REVCOM-150119-TD-GEN-0135/en" TargetMode="External"/><Relationship Id="rId37" Type="http://schemas.openxmlformats.org/officeDocument/2006/relationships/hyperlink" Target="http://www.itu.int/md/T13-REVCOM-160128-TD-GEN-0200/en" TargetMode="External"/><Relationship Id="rId53" Type="http://schemas.openxmlformats.org/officeDocument/2006/relationships/hyperlink" Target="http://www.itu.int/md/meetingdoc.asp?lang=en&amp;parent=T13-REVCOM-C-0005" TargetMode="External"/><Relationship Id="rId58" Type="http://schemas.openxmlformats.org/officeDocument/2006/relationships/hyperlink" Target="http://www.itu.int/md/meetingdoc.asp?lang=en&amp;parent=T13-REVCOM-C-0010" TargetMode="External"/><Relationship Id="rId74" Type="http://schemas.openxmlformats.org/officeDocument/2006/relationships/hyperlink" Target="http://www.itu.int/md/meetingdoc.asp?lang=en&amp;parent=T13-REVCOM-C-0026" TargetMode="External"/><Relationship Id="rId79" Type="http://schemas.openxmlformats.org/officeDocument/2006/relationships/hyperlink" Target="http://www.itu.int/md/meetingdoc.asp?lang=en&amp;parent=T13-REVCOM-C-0031"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www.itu.int/md/T13-REVCOM-160715-TD-GEN-0234/en" TargetMode="External"/><Relationship Id="rId27" Type="http://schemas.openxmlformats.org/officeDocument/2006/relationships/hyperlink" Target="http://www.itu.int/md/T13-REVCOM-150119-TD-GEN-0168/en" TargetMode="External"/><Relationship Id="rId43" Type="http://schemas.openxmlformats.org/officeDocument/2006/relationships/hyperlink" Target="http://www.itu.int/md/T13-REVCOM-150529-TD-GEN-0167/en" TargetMode="External"/><Relationship Id="rId48" Type="http://schemas.openxmlformats.org/officeDocument/2006/relationships/hyperlink" Target="http://www.itu.int/md/meetingdoc.asp?lang=en&amp;parent=T13-REVCOM-160128-TD-GEN-0221" TargetMode="External"/><Relationship Id="rId64" Type="http://schemas.openxmlformats.org/officeDocument/2006/relationships/hyperlink" Target="http://www.itu.int/md/meetingdoc.asp?lang=en&amp;parent=T13-REVCOM-C-0016" TargetMode="External"/><Relationship Id="rId69" Type="http://schemas.openxmlformats.org/officeDocument/2006/relationships/hyperlink" Target="http://www.itu.int/md/meetingdoc.asp?lang=en&amp;parent=T13-REVCOM-C-0021" TargetMode="External"/><Relationship Id="rId8" Type="http://schemas.openxmlformats.org/officeDocument/2006/relationships/image" Target="media/image1.png"/><Relationship Id="rId51" Type="http://schemas.openxmlformats.org/officeDocument/2006/relationships/hyperlink" Target="http://www.itu.int/md/meetingdoc.asp?lang=en&amp;parent=T13-REVCOM-C-0003" TargetMode="External"/><Relationship Id="rId72" Type="http://schemas.openxmlformats.org/officeDocument/2006/relationships/hyperlink" Target="http://www.itu.int/md/meetingdoc.asp?lang=en&amp;parent=T13-REVCOM-C-0024" TargetMode="External"/><Relationship Id="rId80" Type="http://schemas.openxmlformats.org/officeDocument/2006/relationships/hyperlink" Target="http://www.itu.int/md/meetingdoc.asp?lang=en&amp;parent=T13-REVCOM-C-0032" TargetMode="External"/><Relationship Id="rId85" Type="http://schemas.openxmlformats.org/officeDocument/2006/relationships/hyperlink" Target="http://www.itu.int/md/meetingdoc.asp?lang=en&amp;parent=T13-REVCOM-C-003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md/meetingdoc.asp?lang=en&amp;parent=T13-REVCOM-R-0003" TargetMode="External"/><Relationship Id="rId17" Type="http://schemas.openxmlformats.org/officeDocument/2006/relationships/hyperlink" Target="http://www.itu.int/md/meetingdoc.asp?lang=en&amp;parent=T13-REVCOM-140616-TD-GEN-0084" TargetMode="External"/><Relationship Id="rId25" Type="http://schemas.openxmlformats.org/officeDocument/2006/relationships/hyperlink" Target="http://www.itu.int/md/meetingdoc.asp?lang=en&amp;parent=T13-REVCOM-150529-TD-GEN-0185" TargetMode="External"/><Relationship Id="rId33" Type="http://schemas.openxmlformats.org/officeDocument/2006/relationships/hyperlink" Target="http://www.itu.int/md/meetingdoc.asp?lang=en&amp;parent=T13-REVCOM-140616-TD-GEN-0101" TargetMode="External"/><Relationship Id="rId38" Type="http://schemas.openxmlformats.org/officeDocument/2006/relationships/hyperlink" Target="http://www.itu.int/md/meetingdoc.asp?lang=en&amp;parent=T13-REVCOM-150119-TD-GEN-0173" TargetMode="External"/><Relationship Id="rId46" Type="http://schemas.openxmlformats.org/officeDocument/2006/relationships/hyperlink" Target="http://www.itu.int/md/T13-REVCOM-150529-TD-GEN-0166/en" TargetMode="External"/><Relationship Id="rId59" Type="http://schemas.openxmlformats.org/officeDocument/2006/relationships/hyperlink" Target="http://www.itu.int/md/meetingdoc.asp?lang=en&amp;parent=T13-REVCOM-C-0011" TargetMode="External"/><Relationship Id="rId67" Type="http://schemas.openxmlformats.org/officeDocument/2006/relationships/hyperlink" Target="http://www.itu.int/md/meetingdoc.asp?lang=en&amp;parent=T13-REVCOM-C-0019" TargetMode="External"/><Relationship Id="rId20" Type="http://schemas.openxmlformats.org/officeDocument/2006/relationships/hyperlink" Target="http://www.itu.int/md/T13-REVCOM-160715-TD-GEN-0236/en" TargetMode="External"/><Relationship Id="rId41" Type="http://schemas.openxmlformats.org/officeDocument/2006/relationships/hyperlink" Target="http://www.itu.int/md/meetingdoc.asp?lang=en&amp;parent=T13-REVCOM-150119-TD-GEN-0134" TargetMode="External"/><Relationship Id="rId54" Type="http://schemas.openxmlformats.org/officeDocument/2006/relationships/hyperlink" Target="http://www.itu.int/md/meetingdoc.asp?lang=en&amp;parent=T13-REVCOM-C-0006" TargetMode="External"/><Relationship Id="rId62" Type="http://schemas.openxmlformats.org/officeDocument/2006/relationships/hyperlink" Target="http://www.itu.int/md/meetingdoc.asp?lang=en&amp;parent=T13-REVCOM-C-0014" TargetMode="External"/><Relationship Id="rId70" Type="http://schemas.openxmlformats.org/officeDocument/2006/relationships/hyperlink" Target="http://www.itu.int/md/meetingdoc.asp?lang=en&amp;parent=T13-REVCOM-C-0022" TargetMode="External"/><Relationship Id="rId75" Type="http://schemas.openxmlformats.org/officeDocument/2006/relationships/hyperlink" Target="http://www.itu.int/md/meetingdoc.asp?lang=en&amp;parent=T13-REVCOM-C-0027" TargetMode="External"/><Relationship Id="rId83" Type="http://schemas.openxmlformats.org/officeDocument/2006/relationships/hyperlink" Target="http://www.itu.int/md/meetingdoc.asp?lang=en&amp;parent=T13-REVCOM-C-0035" TargetMode="External"/><Relationship Id="rId88" Type="http://schemas.openxmlformats.org/officeDocument/2006/relationships/hyperlink" Target="http://www.itu.int/md/meetingdoc.asp?lang=en&amp;parent=T13-REVCOM-C-0040"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REVCOM-R-0006/en" TargetMode="External"/><Relationship Id="rId23" Type="http://schemas.openxmlformats.org/officeDocument/2006/relationships/hyperlink" Target="http://www.itu.int/md/T13-REVCOM-160715-TD-GEN-0238/en" TargetMode="External"/><Relationship Id="rId28" Type="http://schemas.openxmlformats.org/officeDocument/2006/relationships/hyperlink" Target="http://www.itu.int/md/meetingdoc.asp?lang=en&amp;parent=T13-REVCOM-150119-TD-GEN-0164" TargetMode="External"/><Relationship Id="rId36" Type="http://schemas.openxmlformats.org/officeDocument/2006/relationships/hyperlink" Target="http://www.itu.int/md/meetingdoc.asp?lang=en&amp;parent=T13-REVCOM-160715-TD-GEN-0231" TargetMode="External"/><Relationship Id="rId49" Type="http://schemas.openxmlformats.org/officeDocument/2006/relationships/hyperlink" Target="http://www.itu.int/md/meetingdoc.asp?lang=en&amp;parent=T13-REVCOM-C-0001" TargetMode="External"/><Relationship Id="rId57" Type="http://schemas.openxmlformats.org/officeDocument/2006/relationships/hyperlink" Target="http://www.itu.int/md/meetingdoc.asp?lang=en&amp;parent=T13-REVCOM-C-0009" TargetMode="External"/><Relationship Id="rId10" Type="http://schemas.openxmlformats.org/officeDocument/2006/relationships/hyperlink" Target="http://www.itu.int/md/meetingdoc.asp?lang=en&amp;parent=T13-REVCOM-R-0001" TargetMode="External"/><Relationship Id="rId31" Type="http://schemas.openxmlformats.org/officeDocument/2006/relationships/hyperlink" Target="http://www.itu.int/md/meetingdoc.asp?lang=en&amp;parent=T13-REVCOM-140616-TD-GEN-0095" TargetMode="External"/><Relationship Id="rId44" Type="http://schemas.openxmlformats.org/officeDocument/2006/relationships/hyperlink" Target="http://www.itu.int/md/meetingdoc.asp?lang=en&amp;parent=T13-REVCOM-150529-TD-GEN-0187" TargetMode="External"/><Relationship Id="rId52" Type="http://schemas.openxmlformats.org/officeDocument/2006/relationships/hyperlink" Target="http://www.itu.int/md/meetingdoc.asp?lang=en&amp;parent=T13-REVCOM-C-0004" TargetMode="External"/><Relationship Id="rId60" Type="http://schemas.openxmlformats.org/officeDocument/2006/relationships/hyperlink" Target="http://www.itu.int/md/meetingdoc.asp?lang=en&amp;parent=T13-REVCOM-C-0012" TargetMode="External"/><Relationship Id="rId65" Type="http://schemas.openxmlformats.org/officeDocument/2006/relationships/hyperlink" Target="http://www.itu.int/md/meetingdoc.asp?lang=en&amp;parent=T13-REVCOM-C-0017" TargetMode="External"/><Relationship Id="rId73" Type="http://schemas.openxmlformats.org/officeDocument/2006/relationships/hyperlink" Target="http://www.itu.int/md/meetingdoc.asp?lang=en&amp;parent=T13-REVCOM-C-0025" TargetMode="External"/><Relationship Id="rId78" Type="http://schemas.openxmlformats.org/officeDocument/2006/relationships/hyperlink" Target="http://www.itu.int/md/meetingdoc.asp?lang=en&amp;parent=T13-REVCOM-C-0030" TargetMode="External"/><Relationship Id="rId81" Type="http://schemas.openxmlformats.org/officeDocument/2006/relationships/hyperlink" Target="http://www.itu.int/md/meetingdoc.asp?lang=en&amp;parent=T13-REVCOM-C-0033" TargetMode="External"/><Relationship Id="rId86" Type="http://schemas.openxmlformats.org/officeDocument/2006/relationships/hyperlink" Target="http://www.itu.int/md/meetingdoc.asp?lang=en&amp;parent=T13-REVCOM-C-0038" TargetMode="Externa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md/meetingdoc.asp?lang=en&amp;parent=T13-REVCOM-R-0004" TargetMode="External"/><Relationship Id="rId18" Type="http://schemas.openxmlformats.org/officeDocument/2006/relationships/hyperlink" Target="http://www.itu.int/md/meetingdoc.asp?lang=en&amp;parent=T13-REVCOM-140616-TD-GEN-0085" TargetMode="External"/><Relationship Id="rId39" Type="http://schemas.openxmlformats.org/officeDocument/2006/relationships/hyperlink" Target="http://ifa.itu.int/t/2013/revcom/exchange/rg-restruct/1504-GVA/1504-GVA-rg-itutrestruct-016-CJK-CTO-ConsMtg-Communique.docx" TargetMode="External"/><Relationship Id="rId34" Type="http://schemas.openxmlformats.org/officeDocument/2006/relationships/hyperlink" Target="http://www.itu.int/md/T13-REVCOM-140116-TD-GEN-0047/en" TargetMode="External"/><Relationship Id="rId50" Type="http://schemas.openxmlformats.org/officeDocument/2006/relationships/hyperlink" Target="http://www.itu.int/md/meetingdoc.asp?lang=en&amp;parent=T13-REVCOM-C-0002" TargetMode="External"/><Relationship Id="rId55" Type="http://schemas.openxmlformats.org/officeDocument/2006/relationships/hyperlink" Target="http://www.itu.int/md/meetingdoc.asp?lang=en&amp;parent=T13-REVCOM-C-0007" TargetMode="External"/><Relationship Id="rId76" Type="http://schemas.openxmlformats.org/officeDocument/2006/relationships/hyperlink" Target="http://www.itu.int/md/meetingdoc.asp?lang=en&amp;parent=T13-REVCOM-C-0028" TargetMode="External"/><Relationship Id="rId7" Type="http://schemas.openxmlformats.org/officeDocument/2006/relationships/endnotes" Target="endnotes.xml"/><Relationship Id="rId71" Type="http://schemas.openxmlformats.org/officeDocument/2006/relationships/hyperlink" Target="http://www.itu.int/md/meetingdoc.asp?lang=en&amp;parent=T13-REVCOM-C-0023"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itu.int/md/T13-REVCOM-150119-TD-GEN-0121/en" TargetMode="External"/><Relationship Id="rId24" Type="http://schemas.openxmlformats.org/officeDocument/2006/relationships/hyperlink" Target="http://www.itu.int/md/meetingdoc.asp?lang=en&amp;parent=T13-REVCOM-160128-TD-GEN-0206" TargetMode="External"/><Relationship Id="rId40" Type="http://schemas.openxmlformats.org/officeDocument/2006/relationships/hyperlink" Target="http://www.itu.int/md/meetingdoc.asp?lang=en&amp;parent=T13-REVCOM-150119-TD-GEN-0113" TargetMode="External"/><Relationship Id="rId45" Type="http://schemas.openxmlformats.org/officeDocument/2006/relationships/hyperlink" Target="http://www.itu.int/md/meetingdoc.asp?lang=en&amp;parent=T13-TSAG-150602-TD-GEN-0309" TargetMode="External"/><Relationship Id="rId66" Type="http://schemas.openxmlformats.org/officeDocument/2006/relationships/hyperlink" Target="http://www.itu.int/md/meetingdoc.asp?lang=en&amp;parent=T13-REVCOM-C-0018" TargetMode="External"/><Relationship Id="rId87" Type="http://schemas.openxmlformats.org/officeDocument/2006/relationships/hyperlink" Target="http://www.itu.int/md/meetingdoc.asp?lang=en&amp;parent=T13-REVCOM-C-0039" TargetMode="External"/><Relationship Id="rId61" Type="http://schemas.openxmlformats.org/officeDocument/2006/relationships/hyperlink" Target="http://www.itu.int/md/meetingdoc.asp?lang=en&amp;parent=T13-REVCOM-C-0013" TargetMode="External"/><Relationship Id="rId82" Type="http://schemas.openxmlformats.org/officeDocument/2006/relationships/hyperlink" Target="http://www.itu.int/md/meetingdoc.asp?lang=en&amp;parent=T13-REVCOM-C-0034" TargetMode="External"/><Relationship Id="rId19" Type="http://schemas.openxmlformats.org/officeDocument/2006/relationships/hyperlink" Target="http://www.itu.int/md/T13-REVCOM-160715-TD-GEN-0237/en" TargetMode="External"/><Relationship Id="rId14" Type="http://schemas.openxmlformats.org/officeDocument/2006/relationships/hyperlink" Target="http://www.itu.int/md/T13-REVCOM-R-0005" TargetMode="External"/><Relationship Id="rId30" Type="http://schemas.openxmlformats.org/officeDocument/2006/relationships/hyperlink" Target="http://www.itu.int/md/meetingdoc.asp?lang=en&amp;parent=T13-REVCOM-140616-TD-GEN-0101" TargetMode="External"/><Relationship Id="rId35" Type="http://schemas.openxmlformats.org/officeDocument/2006/relationships/hyperlink" Target="http://www.itu.int/md/T13-REVCOM-130603-TD-GEN-0028/en" TargetMode="External"/><Relationship Id="rId56" Type="http://schemas.openxmlformats.org/officeDocument/2006/relationships/hyperlink" Target="http://www.itu.int/md/meetingdoc.asp?lang=en&amp;parent=T13-REVCOM-C-0008" TargetMode="External"/><Relationship Id="rId77" Type="http://schemas.openxmlformats.org/officeDocument/2006/relationships/hyperlink" Target="http://www.itu.int/md/meetingdoc.asp?lang=en&amp;parent=T13-REVCOM-C-002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yoichi.maeda@s.ttc.or.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76F1736DE4EA1A085FE6008AE586C"/>
        <w:category>
          <w:name w:val="General"/>
          <w:gallery w:val="placeholder"/>
        </w:category>
        <w:types>
          <w:type w:val="bbPlcHdr"/>
        </w:types>
        <w:behaviors>
          <w:behavior w:val="content"/>
        </w:behaviors>
        <w:guid w:val="{C1A2C8EC-D115-44ED-B08E-95709CCB916B}"/>
      </w:docPartPr>
      <w:docPartBody>
        <w:p w:rsidR="0055415A" w:rsidRDefault="0055415A" w:rsidP="0055415A">
          <w:pPr>
            <w:pStyle w:val="05B76F1736DE4EA1A085FE6008AE586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50303C"/>
    <w:rsid w:val="0055415A"/>
    <w:rsid w:val="00583ADF"/>
    <w:rsid w:val="007007B4"/>
    <w:rsid w:val="007F739F"/>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15A"/>
    <w:rPr>
      <w:color w:val="808080"/>
    </w:rPr>
  </w:style>
  <w:style w:type="paragraph" w:customStyle="1" w:styleId="CEF0515E39224C1BB445B352EB3113A9">
    <w:name w:val="CEF0515E39224C1BB445B352EB3113A9"/>
    <w:rsid w:val="00D83E31"/>
  </w:style>
  <w:style w:type="paragraph" w:customStyle="1" w:styleId="1E68B71E628D412EB6E3D4FFD7FAD53E">
    <w:name w:val="1E68B71E628D412EB6E3D4FFD7FAD53E"/>
    <w:rsid w:val="0055415A"/>
  </w:style>
  <w:style w:type="paragraph" w:customStyle="1" w:styleId="05B76F1736DE4EA1A085FE6008AE586C">
    <w:name w:val="05B76F1736DE4EA1A085FE6008AE586C"/>
    <w:rsid w:val="00554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CD25-6038-4DE1-945A-C7CD176C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4860</Words>
  <Characters>35486</Characters>
  <Application>Microsoft Office Word</Application>
  <DocSecurity>0</DocSecurity>
  <Lines>295</Lines>
  <Paragraphs>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Alidra, Patricia</dc:creator>
  <dc:description>Template used by DPM and CPI for the WTSA-16</dc:description>
  <cp:lastModifiedBy>Clark, Robert</cp:lastModifiedBy>
  <cp:revision>30</cp:revision>
  <cp:lastPrinted>2016-09-14T09:15:00Z</cp:lastPrinted>
  <dcterms:created xsi:type="dcterms:W3CDTF">2016-09-14T08:38:00Z</dcterms:created>
  <dcterms:modified xsi:type="dcterms:W3CDTF">2016-09-19T09:39:00Z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