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BC7D84" w:rsidRPr="003251EA" w:rsidRDefault="00EE1170" w:rsidP="005F0B73">
            <w:pPr>
              <w:pStyle w:val="Docnumber"/>
              <w:ind w:left="-57"/>
            </w:pPr>
            <w:r w:rsidRPr="00EE1170">
              <w:t xml:space="preserve">Document </w:t>
            </w:r>
            <w:r w:rsidR="005F0B73">
              <w:t>27</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CB23DE" w:rsidP="00E94DBA">
            <w:pPr>
              <w:pStyle w:val="Docnumber"/>
              <w:ind w:left="-57"/>
            </w:pPr>
            <w:r w:rsidRPr="00CB23DE">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CB23DE" w:rsidP="00F00DDC">
            <w:pPr>
              <w:pStyle w:val="Source"/>
              <w:rPr>
                <w:highlight w:val="yellow"/>
              </w:rPr>
            </w:pPr>
            <w:r w:rsidRPr="00CB23DE">
              <w:t xml:space="preserve">Director of TSB  </w:t>
            </w:r>
          </w:p>
        </w:tc>
      </w:tr>
      <w:tr w:rsidR="00BC7D84" w:rsidRPr="00426748" w:rsidTr="00F00DDC">
        <w:trPr>
          <w:cantSplit/>
        </w:trPr>
        <w:tc>
          <w:tcPr>
            <w:tcW w:w="9811" w:type="dxa"/>
            <w:gridSpan w:val="4"/>
          </w:tcPr>
          <w:p w:rsidR="00BC7D84" w:rsidRPr="00D643B3" w:rsidRDefault="00CB23DE" w:rsidP="00F00DDC">
            <w:pPr>
              <w:pStyle w:val="Title1"/>
              <w:rPr>
                <w:highlight w:val="yellow"/>
              </w:rPr>
            </w:pPr>
            <w:r w:rsidRPr="00CB23DE">
              <w:t>Report of the Telecommunication Standardization Advisory Group to the World Telecommunication Standardization Assembly (WTSA-16), Part IV: TSAG report in respect of Resolution 22</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CB23DE"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CB23DE" w:rsidP="00CB23DE">
                <w:pPr>
                  <w:rPr>
                    <w:color w:val="000000" w:themeColor="text1"/>
                  </w:rPr>
                </w:pPr>
                <w:r w:rsidRPr="00CB23DE">
                  <w:rPr>
                    <w:color w:val="000000" w:themeColor="text1"/>
                    <w:lang w:val="en-US"/>
                  </w:rPr>
                  <w:t xml:space="preserve">WTSA-12 assigned specific matters to TSAG on which it can take action between WTSA-12 and the next Assembly. </w:t>
                </w:r>
                <w:r>
                  <w:rPr>
                    <w:color w:val="000000" w:themeColor="text1"/>
                    <w:lang w:val="en-US"/>
                  </w:rPr>
                  <w:t>This</w:t>
                </w:r>
                <w:r w:rsidRPr="00CB23DE">
                  <w:rPr>
                    <w:color w:val="000000" w:themeColor="text1"/>
                    <w:lang w:val="en-US"/>
                  </w:rPr>
                  <w:t xml:space="preserve"> document </w:t>
                </w:r>
                <w:r>
                  <w:rPr>
                    <w:color w:val="000000" w:themeColor="text1"/>
                    <w:lang w:val="en-US"/>
                  </w:rPr>
                  <w:t>contains</w:t>
                </w:r>
                <w:r w:rsidRPr="00CB23DE">
                  <w:rPr>
                    <w:color w:val="000000" w:themeColor="text1"/>
                    <w:lang w:val="en-US"/>
                  </w:rPr>
                  <w:t xml:space="preserve"> the report that TSAG is required to submit to WTSA-16 in respect of the actions taken by TSAG in this regard. Each section heading corresponds to respective ‘resolves’ of Resolution 22.</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CB23DE" w:rsidRPr="00CB23DE" w:rsidRDefault="00CB23DE" w:rsidP="00CB23DE">
      <w:pPr>
        <w:pStyle w:val="enumlev1"/>
      </w:pPr>
      <w:r w:rsidRPr="00CB23DE">
        <w:lastRenderedPageBreak/>
        <w:t>1</w:t>
      </w:r>
      <w:r w:rsidRPr="00CB23DE">
        <w:tab/>
        <w:t>To assign to TSAG the following specific matters within its competence between this assembly and the next assembly to act in the following areas in consultation with the Director of TSB, as appropriate:</w:t>
      </w:r>
    </w:p>
    <w:p w:rsidR="00CB23DE" w:rsidRPr="00CB23DE" w:rsidRDefault="00CB23DE" w:rsidP="00CB23DE">
      <w:pPr>
        <w:pStyle w:val="enumlev2"/>
      </w:pPr>
      <w:r w:rsidRPr="00CB23DE">
        <w:t>1a)</w:t>
      </w:r>
      <w:r w:rsidRPr="00CB23DE">
        <w:tab/>
        <w:t>Maintain up-to-date, efficient and flexible working guidelines;</w:t>
      </w:r>
    </w:p>
    <w:p w:rsidR="00CB23DE" w:rsidRPr="00CB23DE" w:rsidRDefault="00CB23DE" w:rsidP="00CB23DE">
      <w:pPr>
        <w:pStyle w:val="enumlev3"/>
      </w:pPr>
      <w:r w:rsidRPr="00CB23DE">
        <w:t>•</w:t>
      </w:r>
      <w:r w:rsidRPr="00CB23DE">
        <w:tab/>
      </w:r>
      <w:r>
        <w:t xml:space="preserve">See section 2 of </w:t>
      </w:r>
      <w:hyperlink r:id="rId12" w:history="1">
        <w:r w:rsidRPr="00CB23DE">
          <w:rPr>
            <w:rStyle w:val="Hyperlink"/>
          </w:rPr>
          <w:t>Doc.24</w:t>
        </w:r>
      </w:hyperlink>
      <w:r w:rsidRPr="00CB23DE">
        <w:t xml:space="preserve"> - TSAG Report Part I-General. </w:t>
      </w:r>
    </w:p>
    <w:p w:rsidR="00CB23DE" w:rsidRPr="00CB23DE" w:rsidRDefault="00CB23DE" w:rsidP="00CB23DE">
      <w:pPr>
        <w:pStyle w:val="enumlev2"/>
      </w:pPr>
      <w:r w:rsidRPr="00CB23DE">
        <w:t>1b)</w:t>
      </w:r>
      <w:r w:rsidRPr="00CB23DE">
        <w:tab/>
        <w:t>Assume responsibility, including development and submission for approval under appropriate procedures, for the ITU-T A</w:t>
      </w:r>
      <w:r w:rsidRPr="00CB23DE">
        <w:noBreakHyphen/>
        <w:t>series Recommendations (Organization of the work of ITU</w:t>
      </w:r>
      <w:r w:rsidRPr="00CB23DE">
        <w:noBreakHyphen/>
        <w:t>T);</w:t>
      </w:r>
    </w:p>
    <w:p w:rsidR="00CB23DE" w:rsidRPr="00CB23DE" w:rsidRDefault="00CB23DE" w:rsidP="00CB23DE">
      <w:pPr>
        <w:pStyle w:val="enumlev3"/>
      </w:pPr>
      <w:r w:rsidRPr="00CB23DE">
        <w:t>•</w:t>
      </w:r>
      <w:r w:rsidRPr="00CB23DE">
        <w:tab/>
        <w:t xml:space="preserve">See section 2 of </w:t>
      </w:r>
      <w:hyperlink r:id="rId13" w:history="1">
        <w:r w:rsidRPr="00CB23DE">
          <w:rPr>
            <w:rStyle w:val="Hyperlink"/>
          </w:rPr>
          <w:t>Doc.24</w:t>
        </w:r>
      </w:hyperlink>
      <w:r w:rsidRPr="00CB23DE">
        <w:t xml:space="preserve"> - TSAG Report Part I-General. </w:t>
      </w:r>
    </w:p>
    <w:p w:rsidR="00CB23DE" w:rsidRPr="00CB23DE" w:rsidRDefault="00CB23DE" w:rsidP="00CB23DE">
      <w:pPr>
        <w:pStyle w:val="enumlev2"/>
      </w:pPr>
      <w:r w:rsidRPr="00CB23DE">
        <w:t>1c)</w:t>
      </w:r>
      <w:r w:rsidRPr="00CB23DE">
        <w:tab/>
        <w:t>Restructure and establish ITU</w:t>
      </w:r>
      <w:r w:rsidRPr="00CB23DE">
        <w:noBreakHyphen/>
        <w:t>T study groups and assign chairmen and vice</w:t>
      </w:r>
      <w:r w:rsidRPr="00CB23DE">
        <w:noBreakHyphen/>
        <w:t>chairmen to act until the next WTSA in response to changes in the telecommunication marketplace;</w:t>
      </w:r>
    </w:p>
    <w:p w:rsidR="00CB23DE" w:rsidRPr="00CB23DE" w:rsidRDefault="00CB23DE" w:rsidP="00CB23DE">
      <w:pPr>
        <w:pStyle w:val="enumlev3"/>
      </w:pPr>
      <w:r w:rsidRPr="00CB23DE">
        <w:t>•</w:t>
      </w:r>
      <w:r w:rsidRPr="00CB23DE">
        <w:tab/>
        <w:t xml:space="preserve">See section 1 and 3.1 of </w:t>
      </w:r>
      <w:hyperlink r:id="rId14" w:history="1">
        <w:r w:rsidRPr="00CB23DE">
          <w:rPr>
            <w:rStyle w:val="Hyperlink"/>
          </w:rPr>
          <w:t>Doc.24</w:t>
        </w:r>
      </w:hyperlink>
      <w:r w:rsidRPr="00CB23DE">
        <w:t xml:space="preserve"> - TSAG Report Part I-General. </w:t>
      </w:r>
    </w:p>
    <w:p w:rsidR="00CB23DE" w:rsidRPr="00CB23DE" w:rsidRDefault="00CB23DE" w:rsidP="00CB23DE">
      <w:pPr>
        <w:pStyle w:val="enumlev2"/>
      </w:pPr>
      <w:r w:rsidRPr="00CB23DE">
        <w:t>1d)</w:t>
      </w:r>
      <w:r w:rsidRPr="00CB23DE">
        <w:tab/>
        <w:t>Issue advice on study group schedules to meet standardization priorities;</w:t>
      </w:r>
    </w:p>
    <w:p w:rsidR="00CB23DE" w:rsidRPr="00CB23DE" w:rsidRDefault="00CB23DE" w:rsidP="00CB23DE">
      <w:pPr>
        <w:pStyle w:val="enumlev3"/>
      </w:pPr>
      <w:r w:rsidRPr="00CB23DE">
        <w:t>•</w:t>
      </w:r>
      <w:r w:rsidRPr="00CB23DE">
        <w:tab/>
        <w:t>At each meeting, TSAG examined and endorsed the meeting calendar for study groups and working parties for the coming years.</w:t>
      </w:r>
    </w:p>
    <w:p w:rsidR="00CB23DE" w:rsidRPr="00CB23DE" w:rsidRDefault="00CB23DE" w:rsidP="00CB23DE">
      <w:pPr>
        <w:pStyle w:val="enumlev2"/>
      </w:pPr>
      <w:r w:rsidRPr="00CB23DE">
        <w:t xml:space="preserve">1e) </w:t>
      </w:r>
      <w:r w:rsidRPr="00CB23DE">
        <w:tab/>
        <w:t>While recognizing the primacy of the study groups in carrying out the activities of ITU-T,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CB23DE">
        <w:noBreakHyphen/>
        <w:t>T's work as well as promoting flexibility in responding rapidly to high-priority issues; such groups shall not adopt Questions or Recommendations, but work on a specific mandate;</w:t>
      </w:r>
    </w:p>
    <w:p w:rsidR="00CB23DE" w:rsidRPr="00CB23DE" w:rsidRDefault="00CB23DE" w:rsidP="00CB23DE">
      <w:pPr>
        <w:pStyle w:val="enumlev3"/>
      </w:pPr>
      <w:r>
        <w:t>•</w:t>
      </w:r>
      <w:r>
        <w:tab/>
        <w:t xml:space="preserve">See section 3 of </w:t>
      </w:r>
      <w:hyperlink r:id="rId15" w:history="1">
        <w:r w:rsidRPr="00CB23DE">
          <w:rPr>
            <w:rStyle w:val="Hyperlink"/>
          </w:rPr>
          <w:t>Doc.24</w:t>
        </w:r>
      </w:hyperlink>
      <w:r w:rsidRPr="00CB23DE">
        <w:t xml:space="preserve"> - TSAG Report Part I-General. </w:t>
      </w:r>
    </w:p>
    <w:p w:rsidR="00CB23DE" w:rsidRPr="00CB23DE" w:rsidRDefault="00CB23DE" w:rsidP="00CB23DE">
      <w:pPr>
        <w:pStyle w:val="enumlev2"/>
      </w:pPr>
      <w:r w:rsidRPr="00CB23DE">
        <w:t>1f)</w:t>
      </w:r>
      <w:r w:rsidRPr="00CB23DE">
        <w:tab/>
        <w:t>Review reports of and consider appropriate proposals made by coordination groups and other groups, and implement those that are agreed;</w:t>
      </w:r>
    </w:p>
    <w:p w:rsidR="00CB23DE" w:rsidRPr="00CB23DE" w:rsidRDefault="00CB23DE" w:rsidP="00CB23DE">
      <w:pPr>
        <w:pStyle w:val="enumlev3"/>
      </w:pPr>
      <w:r>
        <w:t>•</w:t>
      </w:r>
      <w:r>
        <w:tab/>
        <w:t xml:space="preserve">See section 5 of </w:t>
      </w:r>
      <w:hyperlink r:id="rId16" w:history="1">
        <w:r w:rsidRPr="00CB23DE">
          <w:rPr>
            <w:rStyle w:val="Hyperlink"/>
          </w:rPr>
          <w:t>Doc.24</w:t>
        </w:r>
      </w:hyperlink>
      <w:r w:rsidRPr="00CB23DE">
        <w:t xml:space="preserve"> - TSAG Report Part I-General. </w:t>
      </w:r>
    </w:p>
    <w:p w:rsidR="00CB23DE" w:rsidRPr="00CB23DE" w:rsidRDefault="00CB23DE" w:rsidP="00CB23DE">
      <w:pPr>
        <w:pStyle w:val="enumlev2"/>
      </w:pPr>
      <w:r w:rsidRPr="00CB23DE">
        <w:t>1g)</w:t>
      </w:r>
      <w:r w:rsidRPr="00CB23DE">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rsidR="00CB23DE" w:rsidRPr="00CB23DE" w:rsidRDefault="00CB23DE" w:rsidP="00CB23DE">
      <w:pPr>
        <w:pStyle w:val="enumlev3"/>
      </w:pPr>
      <w:r w:rsidRPr="00CB23DE">
        <w:t>•</w:t>
      </w:r>
      <w:r w:rsidRPr="00CB23DE">
        <w:tab/>
      </w:r>
      <w:r>
        <w:t xml:space="preserve">See section 3 of </w:t>
      </w:r>
      <w:hyperlink r:id="rId17" w:history="1">
        <w:r w:rsidRPr="00CB23DE">
          <w:rPr>
            <w:rStyle w:val="Hyperlink"/>
          </w:rPr>
          <w:t>Doc.24</w:t>
        </w:r>
      </w:hyperlink>
      <w:r w:rsidRPr="00CB23DE">
        <w:t xml:space="preserve"> - TSAG Report Part I-General. </w:t>
      </w:r>
    </w:p>
    <w:p w:rsidR="00CB23DE" w:rsidRPr="00CB23DE" w:rsidRDefault="00CB23DE" w:rsidP="00CB23DE">
      <w:pPr>
        <w:pStyle w:val="enumlev2"/>
      </w:pPr>
      <w:r w:rsidRPr="00CB23DE">
        <w:t>1h)</w:t>
      </w:r>
      <w:r w:rsidRPr="00CB23DE">
        <w:tab/>
        <w:t>Advise the Director of TSB on financial and other matters;</w:t>
      </w:r>
    </w:p>
    <w:p w:rsidR="00CB23DE" w:rsidRPr="00CB23DE" w:rsidRDefault="00CB23DE" w:rsidP="00CB23DE">
      <w:pPr>
        <w:pStyle w:val="enumlev3"/>
      </w:pPr>
      <w:r w:rsidRPr="00CB23DE">
        <w:t>•</w:t>
      </w:r>
      <w:r w:rsidRPr="00CB23DE">
        <w:tab/>
        <w:t>See section 4.1</w:t>
      </w:r>
      <w:r>
        <w:t xml:space="preserve"> of </w:t>
      </w:r>
      <w:hyperlink r:id="rId18" w:history="1">
        <w:r w:rsidRPr="00CB23DE">
          <w:rPr>
            <w:rStyle w:val="Hyperlink"/>
          </w:rPr>
          <w:t>Doc.24</w:t>
        </w:r>
      </w:hyperlink>
      <w:r w:rsidRPr="00CB23DE">
        <w:t xml:space="preserve"> - TSAG Report Part I-General. </w:t>
      </w:r>
    </w:p>
    <w:p w:rsidR="00CB23DE" w:rsidRPr="00CB23DE" w:rsidRDefault="00CB23DE" w:rsidP="00CB23DE">
      <w:pPr>
        <w:pStyle w:val="enumlev2"/>
      </w:pPr>
      <w:r w:rsidRPr="00CB23DE">
        <w:t>1i)</w:t>
      </w:r>
      <w:r w:rsidRPr="00CB23DE">
        <w:tab/>
        <w:t>Approve the programme of work arising from the review of existing and new Questions and determine the priority, urgency, estimated financial implications and time-scale for the completion of their study;</w:t>
      </w:r>
    </w:p>
    <w:p w:rsidR="00CB23DE" w:rsidRPr="00CB23DE" w:rsidRDefault="00CB23DE" w:rsidP="00CB23DE">
      <w:pPr>
        <w:pStyle w:val="enumlev3"/>
      </w:pPr>
      <w:r w:rsidRPr="00CB23DE">
        <w:t>•</w:t>
      </w:r>
      <w:r w:rsidRPr="00CB23DE">
        <w:tab/>
        <w:t>See section 3.</w:t>
      </w:r>
      <w:r>
        <w:t xml:space="preserve">2 of </w:t>
      </w:r>
      <w:hyperlink r:id="rId19" w:history="1">
        <w:r w:rsidRPr="00CB23DE">
          <w:rPr>
            <w:rStyle w:val="Hyperlink"/>
          </w:rPr>
          <w:t>Doc.24</w:t>
        </w:r>
      </w:hyperlink>
      <w:r w:rsidRPr="00CB23DE">
        <w:t xml:space="preserve"> - TSAG Report Part I-General. </w:t>
      </w:r>
    </w:p>
    <w:p w:rsidR="00CB23DE" w:rsidRPr="00CB23DE" w:rsidRDefault="00CB23DE" w:rsidP="00CB23DE">
      <w:pPr>
        <w:pStyle w:val="enumlev3"/>
      </w:pPr>
      <w:r w:rsidRPr="00CB23DE">
        <w:t>•</w:t>
      </w:r>
      <w:r w:rsidRPr="00CB23DE">
        <w:tab/>
        <w:t>TSAG has reviewed, proposed amendments as necessary, and endorsed new and revised Questions at every TSAG meeting.</w:t>
      </w:r>
    </w:p>
    <w:p w:rsidR="00CB23DE" w:rsidRPr="00CB23DE" w:rsidRDefault="00CB23DE" w:rsidP="00B8257A">
      <w:pPr>
        <w:pStyle w:val="enumlev2"/>
        <w:keepNext/>
        <w:keepLines/>
      </w:pPr>
      <w:r w:rsidRPr="00CB23DE">
        <w:lastRenderedPageBreak/>
        <w:t>1j)</w:t>
      </w:r>
      <w:r w:rsidRPr="00CB23DE">
        <w:tab/>
        <w:t>Group, as far as practicable, Questions of interest to developing countries, including the least developed countries, small island developing states and countries with economies in transition, in order to facilitate their participation in these studies;</w:t>
      </w:r>
    </w:p>
    <w:p w:rsidR="00CB23DE" w:rsidRPr="00CB23DE" w:rsidRDefault="00CB23DE" w:rsidP="00CB23DE">
      <w:pPr>
        <w:pStyle w:val="enumlev3"/>
      </w:pPr>
      <w:r w:rsidRPr="00CB23DE">
        <w:t>•</w:t>
      </w:r>
      <w:r w:rsidRPr="00CB23DE">
        <w:tab/>
        <w:t>Under ongoing review.</w:t>
      </w:r>
    </w:p>
    <w:p w:rsidR="00CB23DE" w:rsidRPr="00CB23DE" w:rsidRDefault="00CB23DE" w:rsidP="00CB23DE">
      <w:pPr>
        <w:pStyle w:val="enumlev2"/>
      </w:pPr>
      <w:r w:rsidRPr="00CB23DE">
        <w:t>1k)</w:t>
      </w:r>
      <w:r w:rsidRPr="00CB23DE">
        <w:tab/>
        <w:t>Other specific matters within the competence of WTSA, subject to the approval of Member States, using the approval procedure contained in Resolution 1 of this assembly, Section 9;</w:t>
      </w:r>
    </w:p>
    <w:p w:rsidR="00CB23DE" w:rsidRPr="00CB23DE" w:rsidRDefault="00CB23DE" w:rsidP="00CB23DE">
      <w:pPr>
        <w:pStyle w:val="enumlev3"/>
      </w:pPr>
      <w:r w:rsidRPr="00CB23DE">
        <w:t>•</w:t>
      </w:r>
      <w:r w:rsidRPr="00CB23DE">
        <w:tab/>
        <w:t>No action required.</w:t>
      </w:r>
    </w:p>
    <w:p w:rsidR="00CB23DE" w:rsidRPr="00CB23DE" w:rsidRDefault="00CB23DE" w:rsidP="00CB23DE">
      <w:pPr>
        <w:pStyle w:val="enumlev1"/>
      </w:pPr>
      <w:r w:rsidRPr="00CB23DE">
        <w:t>2</w:t>
      </w:r>
      <w:r w:rsidRPr="00CB23DE">
        <w:tab/>
        <w:t>That revisions to the relevant procedur</w:t>
      </w:r>
      <w:bookmarkStart w:id="0" w:name="_GoBack"/>
      <w:bookmarkEnd w:id="0"/>
      <w:r w:rsidRPr="00CB23DE">
        <w:t>es for adoption of Questions and Recommendations by study groups, other than those referred to in Nos. 246D, 246F and 246H of the Convention, may be initiated by TSAG for approval by Member States between WTSAs, using the approval procedure contained in Resolution 1 of this assembly, Section 9;</w:t>
      </w:r>
    </w:p>
    <w:p w:rsidR="00CB23DE" w:rsidRPr="00CB23DE" w:rsidRDefault="00CB23DE" w:rsidP="00CB23DE">
      <w:pPr>
        <w:pStyle w:val="enumlev2"/>
      </w:pPr>
      <w:r w:rsidRPr="00CB23DE">
        <w:t>•</w:t>
      </w:r>
      <w:r w:rsidRPr="00CB23DE">
        <w:tab/>
        <w:t>No action required.</w:t>
      </w:r>
    </w:p>
    <w:p w:rsidR="00CB23DE" w:rsidRPr="00CB23DE" w:rsidRDefault="00CB23DE" w:rsidP="00CB23DE">
      <w:pPr>
        <w:pStyle w:val="enumlev1"/>
      </w:pPr>
      <w:r w:rsidRPr="00CB23DE">
        <w:t>3</w:t>
      </w:r>
      <w:r w:rsidRPr="00CB23DE">
        <w:tab/>
        <w:t>That TSAG provide liaison on its activities to organizations outside ITU in consultation with the Director of TSB, as appropriate;</w:t>
      </w:r>
    </w:p>
    <w:p w:rsidR="00CB23DE" w:rsidRPr="00CB23DE" w:rsidRDefault="00CB23DE" w:rsidP="00CB23DE">
      <w:pPr>
        <w:pStyle w:val="enumlev2"/>
        <w:rPr>
          <w:lang w:eastAsia="zh-CN"/>
        </w:rPr>
      </w:pPr>
      <w:r w:rsidRPr="00CB23DE">
        <w:t>•</w:t>
      </w:r>
      <w:r w:rsidRPr="00CB23DE">
        <w:tab/>
        <w:t xml:space="preserve">TSAG continued </w:t>
      </w:r>
      <w:r w:rsidRPr="00CB23DE">
        <w:rPr>
          <w:rFonts w:eastAsia="SimSun"/>
        </w:rPr>
        <w:t xml:space="preserve">Mr Olivier </w:t>
      </w:r>
      <w:proofErr w:type="spellStart"/>
      <w:r w:rsidRPr="00CB23DE">
        <w:rPr>
          <w:rFonts w:eastAsia="SimSun"/>
        </w:rPr>
        <w:t>Dubuisson</w:t>
      </w:r>
      <w:proofErr w:type="spellEnd"/>
      <w:r w:rsidRPr="00CB23DE">
        <w:rPr>
          <w:rFonts w:eastAsia="SimSun"/>
        </w:rPr>
        <w:t xml:space="preserve">(Orange, France)’s appointment as ITU-T </w:t>
      </w:r>
      <w:r w:rsidRPr="00CB23DE">
        <w:t>liaison officer to ISO/IEC JTC1. ISO/IEC JTC1 and IETF sent liaison to TSAG informing appointment of their liaison officers to ITU-T.</w:t>
      </w:r>
    </w:p>
    <w:p w:rsidR="00CB23DE" w:rsidRPr="00CB23DE" w:rsidRDefault="00CB23DE" w:rsidP="00CB23DE">
      <w:pPr>
        <w:pStyle w:val="enumlev1"/>
      </w:pPr>
      <w:r w:rsidRPr="00CB23DE">
        <w:t>4</w:t>
      </w:r>
      <w:r w:rsidRPr="00CB23DE">
        <w:tab/>
        <w:t xml:space="preserve">That TSAG consider the implications, for ITU-T, of market needs and new emerging technologies that have not yet been considered for standardization by ITU-T, establish an appropriate mechanism to facilitate the examination of their consideration, for example assigning Questions, coordinating the work of study groups or establishing coordination groups or other groups, and nominate their chairmen and vice-chairmen; </w:t>
      </w:r>
    </w:p>
    <w:p w:rsidR="00CB23DE" w:rsidRPr="00CB23DE" w:rsidRDefault="00CB23DE" w:rsidP="00CB23DE">
      <w:pPr>
        <w:pStyle w:val="enumlev2"/>
      </w:pPr>
      <w:r w:rsidRPr="00CB23DE">
        <w:t>•</w:t>
      </w:r>
      <w:r w:rsidRPr="00CB23DE">
        <w:tab/>
        <w:t xml:space="preserve">See section 3.1 </w:t>
      </w:r>
      <w:r w:rsidRPr="00CB23DE">
        <w:rPr>
          <w:i/>
          <w:iCs/>
        </w:rPr>
        <w:t>Study Groups</w:t>
      </w:r>
      <w:r w:rsidRPr="00CB23DE">
        <w:t xml:space="preserve"> and section 3.5 </w:t>
      </w:r>
      <w:r w:rsidRPr="00CB23DE">
        <w:rPr>
          <w:i/>
          <w:iCs/>
        </w:rPr>
        <w:t>Focus Groups</w:t>
      </w:r>
      <w:r w:rsidRPr="00CB23DE">
        <w:t xml:space="preserve"> </w:t>
      </w:r>
      <w:r>
        <w:t xml:space="preserve">of </w:t>
      </w:r>
      <w:hyperlink r:id="rId20" w:history="1">
        <w:r w:rsidRPr="00CB23DE">
          <w:rPr>
            <w:rStyle w:val="Hyperlink"/>
          </w:rPr>
          <w:t>Doc.24</w:t>
        </w:r>
      </w:hyperlink>
      <w:r w:rsidRPr="00CB23DE">
        <w:t xml:space="preserve"> - TSAG Report Part I-General. </w:t>
      </w:r>
    </w:p>
    <w:p w:rsidR="00CB23DE" w:rsidRPr="00CB23DE" w:rsidRDefault="00CB23DE" w:rsidP="00CB23DE">
      <w:pPr>
        <w:pStyle w:val="enumlev1"/>
      </w:pPr>
      <w:r w:rsidRPr="00CB23DE">
        <w:t>5</w:t>
      </w:r>
      <w:r w:rsidRPr="00CB23DE">
        <w:tab/>
        <w:t>That TSAG consider the result of this assembly concerning GSS and take follow-up actions, as appropriate;</w:t>
      </w:r>
    </w:p>
    <w:p w:rsidR="00CB23DE" w:rsidRPr="00CB23DE" w:rsidRDefault="00CB23DE" w:rsidP="00CB23DE">
      <w:pPr>
        <w:pStyle w:val="enumlev2"/>
        <w:rPr>
          <w:lang w:eastAsia="zh-CN"/>
        </w:rPr>
      </w:pPr>
      <w:r w:rsidRPr="00CB23DE">
        <w:rPr>
          <w:lang w:eastAsia="zh-CN"/>
        </w:rPr>
        <w:t>•</w:t>
      </w:r>
      <w:r w:rsidRPr="00CB23DE">
        <w:rPr>
          <w:lang w:eastAsia="zh-CN"/>
        </w:rPr>
        <w:tab/>
        <w:t>WTSA-12 considered input from GSS 2012. No action necessary for TSAG.</w:t>
      </w:r>
    </w:p>
    <w:p w:rsidR="00CB23DE" w:rsidRPr="00CB23DE" w:rsidRDefault="00CB23DE" w:rsidP="00CB23DE">
      <w:pPr>
        <w:pStyle w:val="enumlev1"/>
      </w:pPr>
      <w:r w:rsidRPr="00CB23DE">
        <w:t>6</w:t>
      </w:r>
      <w:r w:rsidRPr="00CB23DE">
        <w:tab/>
        <w:t>That a report on the above TSAG activities shall be submitted to the next WTSA.</w:t>
      </w:r>
    </w:p>
    <w:p w:rsidR="00CB23DE" w:rsidRPr="00CB23DE" w:rsidRDefault="00CB23DE" w:rsidP="00CB23DE">
      <w:pPr>
        <w:pStyle w:val="enumlev2"/>
        <w:rPr>
          <w:szCs w:val="24"/>
        </w:rPr>
      </w:pPr>
      <w:r w:rsidRPr="00CB23DE">
        <w:t>•</w:t>
      </w:r>
      <w:r w:rsidRPr="00CB23DE">
        <w:tab/>
        <w:t>This document.</w:t>
      </w:r>
    </w:p>
    <w:p w:rsidR="00CB23DE" w:rsidRPr="00CB23DE" w:rsidRDefault="00CB23DE" w:rsidP="00CB23DE">
      <w:pPr>
        <w:jc w:val="center"/>
      </w:pPr>
      <w:r w:rsidRPr="00CB23DE">
        <w:t>______________</w:t>
      </w:r>
    </w:p>
    <w:p w:rsidR="009E1967" w:rsidRDefault="009E1967" w:rsidP="009E1967"/>
    <w:sectPr w:rsidR="009E1967">
      <w:headerReference w:type="default" r:id="rId21"/>
      <w:footerReference w:type="even" r:id="rId22"/>
      <w:footerReference w:type="default" r:id="rId23"/>
      <w:footerReference w:type="first" r:id="rId2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F4" w:rsidRDefault="00C50EF4">
      <w:r>
        <w:separator/>
      </w:r>
    </w:p>
  </w:endnote>
  <w:endnote w:type="continuationSeparator" w:id="0">
    <w:p w:rsidR="00C50EF4" w:rsidRDefault="00C5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8257A">
      <w:rPr>
        <w:noProof/>
      </w:rPr>
      <w:t>05.09.16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p w:rsidR="00523C67" w:rsidRDefault="00523C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CB23DE" w:rsidRDefault="00CB23DE" w:rsidP="00CB23DE">
    <w:pPr>
      <w:pStyle w:val="Footer"/>
      <w:rPr>
        <w:lang w:val="fr-CH"/>
      </w:rPr>
    </w:pPr>
    <w:r w:rsidRPr="00CB23DE">
      <w:rPr>
        <w:lang w:val="fr-CH"/>
      </w:rPr>
      <w:t>I</w:t>
    </w:r>
    <w:r>
      <w:rPr>
        <w:lang w:val="fr-CH"/>
      </w:rPr>
      <w:t>TU-T\CONF-T\WTSA16\000\27</w:t>
    </w:r>
    <w:r w:rsidRPr="00CB23DE">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1" w:name="dcontact"/>
          <w:r>
            <w:rPr>
              <w:b/>
              <w:bCs/>
            </w:rPr>
            <w:t>Contact:</w:t>
          </w:r>
        </w:p>
      </w:tc>
      <w:tc>
        <w:tcPr>
          <w:tcW w:w="4394" w:type="dxa"/>
          <w:tcBorders>
            <w:top w:val="single" w:sz="12" w:space="0" w:color="auto"/>
          </w:tcBorders>
        </w:tcPr>
        <w:p w:rsidR="00EE1170" w:rsidRDefault="00CB23DE" w:rsidP="00CB23DE">
          <w:r>
            <w:t>Mr Bruce Gracie</w:t>
          </w:r>
        </w:p>
      </w:tc>
      <w:tc>
        <w:tcPr>
          <w:tcW w:w="3912" w:type="dxa"/>
          <w:tcBorders>
            <w:top w:val="single" w:sz="12" w:space="0" w:color="auto"/>
          </w:tcBorders>
        </w:tcPr>
        <w:p w:rsidR="00EE1170" w:rsidRDefault="00EE1170" w:rsidP="00EE1170">
          <w:r>
            <w:t>Tel:</w:t>
          </w:r>
          <w:r w:rsidR="00CB23DE">
            <w:t xml:space="preserve"> </w:t>
          </w:r>
          <w:r w:rsidR="00CB23DE" w:rsidRPr="00CB23DE">
            <w:t>+1 613 592-3180</w:t>
          </w:r>
        </w:p>
        <w:p w:rsidR="00EE1170" w:rsidRDefault="00EE1170" w:rsidP="00EE1170">
          <w:pPr>
            <w:spacing w:before="0"/>
          </w:pPr>
          <w:r>
            <w:t>Email:</w:t>
          </w:r>
          <w:r w:rsidR="00CB23DE">
            <w:t xml:space="preserve"> </w:t>
          </w:r>
          <w:hyperlink r:id="rId1" w:history="1">
            <w:r w:rsidR="00CB23DE" w:rsidRPr="00864672">
              <w:rPr>
                <w:rStyle w:val="Hyperlink"/>
              </w:rPr>
              <w:t>bruce.gracie13@rogers.com</w:t>
            </w:r>
          </w:hyperlink>
          <w:r w:rsidR="00CB23DE">
            <w:t xml:space="preserve"> </w:t>
          </w:r>
        </w:p>
      </w:tc>
    </w:tr>
    <w:bookmarkEnd w:id="1"/>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F4" w:rsidRDefault="00C50EF4">
      <w:r>
        <w:rPr>
          <w:b/>
        </w:rPr>
        <w:t>_______________</w:t>
      </w:r>
    </w:p>
  </w:footnote>
  <w:footnote w:type="continuationSeparator" w:id="0">
    <w:p w:rsidR="00C50EF4" w:rsidRDefault="00C5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8257A">
      <w:rPr>
        <w:noProof/>
      </w:rPr>
      <w:t>3</w:t>
    </w:r>
    <w:r>
      <w:fldChar w:fldCharType="end"/>
    </w:r>
  </w:p>
  <w:p w:rsidR="00A066F1" w:rsidRPr="00EE1170" w:rsidRDefault="00EE1170" w:rsidP="00CB23DE">
    <w:pPr>
      <w:pStyle w:val="Header"/>
      <w:rPr>
        <w:lang w:val="en-US"/>
      </w:rPr>
    </w:pPr>
    <w:r w:rsidRPr="00EE1170">
      <w:t>WTSA16/</w:t>
    </w:r>
    <w:r w:rsidR="00CB23DE">
      <w:t>27</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23C67"/>
    <w:rsid w:val="0055140B"/>
    <w:rsid w:val="00553247"/>
    <w:rsid w:val="0056747D"/>
    <w:rsid w:val="00581B01"/>
    <w:rsid w:val="00595780"/>
    <w:rsid w:val="005964AB"/>
    <w:rsid w:val="005C099A"/>
    <w:rsid w:val="005C31A5"/>
    <w:rsid w:val="005E10C9"/>
    <w:rsid w:val="005E61DD"/>
    <w:rsid w:val="005F0B73"/>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326F"/>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40E41"/>
    <w:rsid w:val="00B529AD"/>
    <w:rsid w:val="00B6324B"/>
    <w:rsid w:val="00B639E9"/>
    <w:rsid w:val="00B817CD"/>
    <w:rsid w:val="00B8257A"/>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2D5C"/>
    <w:rsid w:val="00C77E1A"/>
    <w:rsid w:val="00C97C68"/>
    <w:rsid w:val="00CA1A47"/>
    <w:rsid w:val="00CB23DE"/>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CB2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WTSA.16-C-0024/en" TargetMode="External"/><Relationship Id="rId18" Type="http://schemas.openxmlformats.org/officeDocument/2006/relationships/hyperlink" Target="http://www.itu.int/md/T13-WTSA.16-C-0024/e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md/T13-WTSA.16-C-0024/en" TargetMode="External"/><Relationship Id="rId17" Type="http://schemas.openxmlformats.org/officeDocument/2006/relationships/hyperlink" Target="http://www.itu.int/md/T13-WTSA.16-C-0024/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T13-WTSA.16-C-0024/en" TargetMode="External"/><Relationship Id="rId20" Type="http://schemas.openxmlformats.org/officeDocument/2006/relationships/hyperlink" Target="http://www.itu.int/md/T13-WTSA.16-C-0024/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itu.int/md/T13-WTSA.16-C-0024/en"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itu.int/md/T13-WTSA.16-C-0024/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WTSA.16-C-0024/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5758A-C628-4352-9A8B-F5C87AF37104}">
  <ds:schemaRefs>
    <ds:schemaRef ds:uri="http://schemas.microsoft.com/office/infopath/2007/PartnerControls"/>
    <ds:schemaRef ds:uri="http://schemas.microsoft.com/office/2006/documentManagement/types"/>
    <ds:schemaRef ds:uri="http://purl.org/dc/terms/"/>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B984FA-CF94-40EC-9E86-4BE8E1EF7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817</Words>
  <Characters>5149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Clark, Robert</cp:lastModifiedBy>
  <cp:revision>5</cp:revision>
  <cp:lastPrinted>2016-06-06T07:49:00Z</cp:lastPrinted>
  <dcterms:created xsi:type="dcterms:W3CDTF">2016-09-05T11:06:00Z</dcterms:created>
  <dcterms:modified xsi:type="dcterms:W3CDTF">2016-09-05T11:22:00Z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