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C26BA2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67543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8947CAE" wp14:editId="037FF15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C26BA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Yasmine 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CF1E9D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E5A26B7" wp14:editId="438C165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C26BA2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67543A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67543A">
            <w:pPr>
              <w:spacing w:before="0"/>
            </w:pPr>
          </w:p>
        </w:tc>
      </w:tr>
      <w:tr w:rsidR="001D581B" w:rsidTr="00C26BA2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67543A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67543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C26BA2">
        <w:trPr>
          <w:cantSplit/>
        </w:trPr>
        <w:tc>
          <w:tcPr>
            <w:tcW w:w="6804" w:type="dxa"/>
            <w:gridSpan w:val="2"/>
          </w:tcPr>
          <w:p w:rsidR="00C26BA2" w:rsidRDefault="00C26BA2" w:rsidP="00C26BA2">
            <w:pPr>
              <w:spacing w:before="0"/>
            </w:pPr>
          </w:p>
        </w:tc>
        <w:tc>
          <w:tcPr>
            <w:tcW w:w="3007" w:type="dxa"/>
            <w:gridSpan w:val="2"/>
          </w:tcPr>
          <w:p w:rsidR="00C26BA2" w:rsidRPr="002A6F8F" w:rsidRDefault="003B5525" w:rsidP="00C26BA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31-F</w:t>
            </w:r>
          </w:p>
        </w:tc>
      </w:tr>
      <w:tr w:rsidR="001D581B" w:rsidTr="00C26BA2">
        <w:trPr>
          <w:cantSplit/>
        </w:trPr>
        <w:tc>
          <w:tcPr>
            <w:tcW w:w="6804" w:type="dxa"/>
            <w:gridSpan w:val="2"/>
          </w:tcPr>
          <w:p w:rsidR="00595780" w:rsidRDefault="00595780" w:rsidP="0067543A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3B5525" w:rsidP="001D581B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Juin 2016</w:t>
            </w:r>
          </w:p>
        </w:tc>
      </w:tr>
      <w:tr w:rsidR="001D581B" w:rsidTr="00C26BA2">
        <w:trPr>
          <w:cantSplit/>
        </w:trPr>
        <w:tc>
          <w:tcPr>
            <w:tcW w:w="6804" w:type="dxa"/>
            <w:gridSpan w:val="2"/>
          </w:tcPr>
          <w:p w:rsidR="00595780" w:rsidRDefault="00595780" w:rsidP="0067543A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3B5525" w:rsidP="002E210D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CD5CBE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67543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C26BA2">
        <w:trPr>
          <w:cantSplit/>
        </w:trPr>
        <w:tc>
          <w:tcPr>
            <w:tcW w:w="9811" w:type="dxa"/>
            <w:gridSpan w:val="4"/>
          </w:tcPr>
          <w:p w:rsidR="00595780" w:rsidRDefault="003B5525" w:rsidP="0067543A">
            <w:pPr>
              <w:pStyle w:val="Source"/>
            </w:pPr>
            <w:r>
              <w:rPr>
                <w:lang w:val="en-US"/>
              </w:rPr>
              <w:t>Note du Secrétaire général</w:t>
            </w:r>
          </w:p>
        </w:tc>
      </w:tr>
      <w:tr w:rsidR="00595780" w:rsidRPr="003203BC" w:rsidTr="00C26BA2">
        <w:trPr>
          <w:cantSplit/>
        </w:trPr>
        <w:tc>
          <w:tcPr>
            <w:tcW w:w="9811" w:type="dxa"/>
            <w:gridSpan w:val="4"/>
          </w:tcPr>
          <w:p w:rsidR="00595780" w:rsidRPr="003B5525" w:rsidRDefault="003B5525" w:rsidP="001D581B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budget de l</w:t>
            </w:r>
            <w:r w:rsidR="00837488">
              <w:rPr>
                <w:lang w:val="fr-CH"/>
              </w:rPr>
              <w:t>'</w:t>
            </w:r>
            <w:r>
              <w:rPr>
                <w:lang w:val="fr-CH"/>
              </w:rPr>
              <w:t>assemblÉ</w:t>
            </w:r>
            <w:r w:rsidR="00E519B6">
              <w:rPr>
                <w:lang w:val="fr-CH"/>
              </w:rPr>
              <w:t>e mondiale de normalisation des </w:t>
            </w:r>
            <w:r>
              <w:rPr>
                <w:lang w:val="fr-CH"/>
              </w:rPr>
              <w:t>télécommunications (AMNT-16)</w:t>
            </w:r>
          </w:p>
        </w:tc>
      </w:tr>
      <w:tr w:rsidR="00595780" w:rsidRPr="003203BC" w:rsidTr="00C26BA2">
        <w:trPr>
          <w:cantSplit/>
        </w:trPr>
        <w:tc>
          <w:tcPr>
            <w:tcW w:w="9811" w:type="dxa"/>
            <w:gridSpan w:val="4"/>
          </w:tcPr>
          <w:p w:rsidR="00595780" w:rsidRPr="00837488" w:rsidRDefault="00595780" w:rsidP="001D581B">
            <w:pPr>
              <w:pStyle w:val="Title2"/>
              <w:rPr>
                <w:lang w:val="fr-CH"/>
              </w:rPr>
            </w:pPr>
          </w:p>
        </w:tc>
      </w:tr>
      <w:tr w:rsidR="00C26BA2" w:rsidRPr="003203BC" w:rsidTr="00C26BA2">
        <w:trPr>
          <w:cantSplit/>
        </w:trPr>
        <w:tc>
          <w:tcPr>
            <w:tcW w:w="9811" w:type="dxa"/>
            <w:gridSpan w:val="4"/>
          </w:tcPr>
          <w:p w:rsidR="00C26BA2" w:rsidRPr="00837488" w:rsidRDefault="00C26BA2" w:rsidP="00C26BA2">
            <w:pPr>
              <w:pStyle w:val="Agendaitem"/>
              <w:rPr>
                <w:lang w:val="fr-CH"/>
              </w:rPr>
            </w:pPr>
          </w:p>
        </w:tc>
      </w:tr>
    </w:tbl>
    <w:p w:rsidR="003B5525" w:rsidRPr="00FB261D" w:rsidRDefault="003B5525" w:rsidP="00737E50">
      <w:pPr>
        <w:pStyle w:val="Normalaftertitle"/>
        <w:rPr>
          <w:lang w:val="fr-CH"/>
        </w:rPr>
      </w:pPr>
      <w:r w:rsidRPr="00FB261D">
        <w:rPr>
          <w:lang w:val="fr-CH"/>
        </w:rPr>
        <w:t>On trouvera en annexe au présent document, pour information de la Commission de contrôle budgétaire, le budget de l</w:t>
      </w:r>
      <w:r w:rsidR="00837488">
        <w:rPr>
          <w:lang w:val="fr-CH"/>
        </w:rPr>
        <w:t>'</w:t>
      </w:r>
      <w:r w:rsidRPr="00FB261D">
        <w:rPr>
          <w:lang w:val="fr-CH"/>
        </w:rPr>
        <w:t>Assemblée mondiale de normalisation des télécommunications (AMNT</w:t>
      </w:r>
      <w:r w:rsidRPr="00FB261D">
        <w:rPr>
          <w:lang w:val="fr-CH"/>
        </w:rPr>
        <w:noBreakHyphen/>
        <w:t>1</w:t>
      </w:r>
      <w:r>
        <w:rPr>
          <w:lang w:val="fr-CH"/>
        </w:rPr>
        <w:t>6</w:t>
      </w:r>
      <w:r w:rsidRPr="00FB261D">
        <w:rPr>
          <w:lang w:val="fr-CH"/>
        </w:rPr>
        <w:t>), tel qu</w:t>
      </w:r>
      <w:r w:rsidR="00837488">
        <w:rPr>
          <w:lang w:val="fr-CH"/>
        </w:rPr>
        <w:t>'</w:t>
      </w:r>
      <w:r w:rsidRPr="00FB261D">
        <w:rPr>
          <w:lang w:val="fr-CH"/>
        </w:rPr>
        <w:t xml:space="preserve">il a été approuvé par le Conseil, dans sa </w:t>
      </w:r>
      <w:hyperlink r:id="rId10" w:history="1">
        <w:r w:rsidR="00737E50" w:rsidRPr="00737E50">
          <w:rPr>
            <w:rStyle w:val="Hyperlink"/>
            <w:lang w:val="fr-CH"/>
          </w:rPr>
          <w:t>Résolution 1375</w:t>
        </w:r>
      </w:hyperlink>
      <w:r w:rsidRPr="00FB261D">
        <w:rPr>
          <w:lang w:val="fr-CH"/>
        </w:rPr>
        <w:t>, à sa session de 201</w:t>
      </w:r>
      <w:r>
        <w:rPr>
          <w:lang w:val="fr-CH"/>
        </w:rPr>
        <w:t>5</w:t>
      </w:r>
      <w:r w:rsidRPr="00FB261D">
        <w:rPr>
          <w:lang w:val="fr-CH"/>
        </w:rPr>
        <w:t>.</w:t>
      </w:r>
    </w:p>
    <w:p w:rsidR="003B5525" w:rsidRPr="00FB261D" w:rsidRDefault="003B5525" w:rsidP="00E519B6">
      <w:pPr>
        <w:tabs>
          <w:tab w:val="center" w:pos="7371"/>
        </w:tabs>
        <w:spacing w:before="840"/>
        <w:rPr>
          <w:lang w:val="fr-CH"/>
        </w:rPr>
      </w:pPr>
      <w:r w:rsidRPr="00FB261D">
        <w:rPr>
          <w:lang w:val="fr-CH"/>
        </w:rPr>
        <w:tab/>
      </w:r>
      <w:r w:rsidRPr="00FB261D">
        <w:rPr>
          <w:lang w:val="fr-CH"/>
        </w:rPr>
        <w:tab/>
      </w:r>
      <w:r w:rsidRPr="00FB261D">
        <w:rPr>
          <w:lang w:val="fr-CH"/>
        </w:rPr>
        <w:tab/>
      </w:r>
      <w:r w:rsidRPr="00FB261D">
        <w:rPr>
          <w:lang w:val="fr-CH"/>
        </w:rPr>
        <w:tab/>
      </w:r>
      <w:r>
        <w:rPr>
          <w:lang w:val="fr-CH"/>
        </w:rPr>
        <w:t>Houlin ZHAO</w:t>
      </w:r>
    </w:p>
    <w:p w:rsidR="003B5525" w:rsidRPr="00FB261D" w:rsidRDefault="003B5525" w:rsidP="00E519B6">
      <w:pPr>
        <w:tabs>
          <w:tab w:val="center" w:pos="7371"/>
        </w:tabs>
        <w:spacing w:before="0"/>
        <w:rPr>
          <w:lang w:val="fr-CH"/>
        </w:rPr>
      </w:pPr>
      <w:r w:rsidRPr="00FB261D">
        <w:rPr>
          <w:lang w:val="fr-CH"/>
        </w:rPr>
        <w:tab/>
      </w:r>
      <w:r w:rsidRPr="00FB261D">
        <w:rPr>
          <w:lang w:val="fr-CH"/>
        </w:rPr>
        <w:tab/>
      </w:r>
      <w:r w:rsidRPr="00FB261D">
        <w:rPr>
          <w:lang w:val="fr-CH"/>
        </w:rPr>
        <w:tab/>
      </w:r>
      <w:r w:rsidRPr="00FB261D">
        <w:rPr>
          <w:lang w:val="fr-CH"/>
        </w:rPr>
        <w:tab/>
        <w:t>Secrétaire général</w:t>
      </w:r>
    </w:p>
    <w:p w:rsidR="00F776DF" w:rsidRPr="003B5525" w:rsidRDefault="003B5525" w:rsidP="00E519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3240"/>
        <w:textAlignment w:val="auto"/>
        <w:rPr>
          <w:lang w:val="fr-CH"/>
        </w:rPr>
      </w:pPr>
      <w:r w:rsidRPr="00E519B6">
        <w:rPr>
          <w:b/>
          <w:bCs/>
          <w:lang w:val="fr-CH"/>
        </w:rPr>
        <w:t>Annexe</w:t>
      </w:r>
      <w:r w:rsidRPr="003B5525">
        <w:rPr>
          <w:lang w:val="fr-CH"/>
        </w:rPr>
        <w:t>: 1</w:t>
      </w:r>
      <w:r w:rsidR="00F776DF" w:rsidRPr="003B5525">
        <w:rPr>
          <w:lang w:val="fr-CH"/>
        </w:rPr>
        <w:br w:type="page"/>
      </w:r>
    </w:p>
    <w:p w:rsidR="003B5525" w:rsidRPr="00FB261D" w:rsidRDefault="003B5525" w:rsidP="00E519B6">
      <w:pPr>
        <w:pStyle w:val="AnnexNo"/>
        <w:rPr>
          <w:lang w:val="fr-CH"/>
        </w:rPr>
      </w:pPr>
      <w:r w:rsidRPr="00FB261D">
        <w:rPr>
          <w:lang w:val="fr-CH"/>
        </w:rPr>
        <w:lastRenderedPageBreak/>
        <w:t>ANN</w:t>
      </w:r>
      <w:bookmarkStart w:id="0" w:name="_GoBack"/>
      <w:bookmarkEnd w:id="0"/>
      <w:r w:rsidRPr="00FB261D">
        <w:rPr>
          <w:lang w:val="fr-CH"/>
        </w:rPr>
        <w:t>EXE</w:t>
      </w:r>
    </w:p>
    <w:p w:rsidR="003B5525" w:rsidRDefault="003B5525" w:rsidP="00E519B6">
      <w:pPr>
        <w:pStyle w:val="Annextitle"/>
        <w:spacing w:after="360"/>
        <w:rPr>
          <w:bCs/>
          <w:color w:val="000000"/>
          <w:szCs w:val="28"/>
          <w:lang w:val="fr-CH"/>
        </w:rPr>
      </w:pPr>
      <w:r>
        <w:rPr>
          <w:lang w:val="fr-CH"/>
        </w:rPr>
        <w:t>Budget de l</w:t>
      </w:r>
      <w:r w:rsidR="00837488">
        <w:rPr>
          <w:lang w:val="fr-CH"/>
        </w:rPr>
        <w:t>'</w:t>
      </w:r>
      <w:r>
        <w:rPr>
          <w:lang w:val="fr-CH"/>
        </w:rPr>
        <w:t xml:space="preserve">Assemblée mondiale de normalisation </w:t>
      </w:r>
      <w:r w:rsidR="00837488">
        <w:rPr>
          <w:lang w:val="fr-CH"/>
        </w:rPr>
        <w:br/>
      </w:r>
      <w:r>
        <w:rPr>
          <w:lang w:val="fr-CH"/>
        </w:rPr>
        <w:t>des télécommunications (AMNT-16)</w:t>
      </w:r>
    </w:p>
    <w:tbl>
      <w:tblPr>
        <w:tblW w:w="87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068"/>
      </w:tblGrid>
      <w:tr w:rsidR="003B5525" w:rsidRPr="00837488" w:rsidTr="00837488">
        <w:trPr>
          <w:trHeight w:val="259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i/>
                <w:iCs/>
                <w:color w:val="000000"/>
                <w:szCs w:val="24"/>
                <w:lang w:val="fr-CH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525" w:rsidRDefault="003B5525" w:rsidP="00E519B6">
            <w:pPr>
              <w:spacing w:before="0"/>
              <w:jc w:val="center"/>
              <w:rPr>
                <w:i/>
                <w:iCs/>
                <w:color w:val="000000"/>
                <w:lang w:val="fr-CH"/>
              </w:rPr>
            </w:pPr>
            <w:r>
              <w:rPr>
                <w:i/>
                <w:iCs/>
                <w:color w:val="000000"/>
                <w:lang w:val="fr-CH"/>
              </w:rPr>
              <w:t>Francs suisses (000)</w:t>
            </w:r>
          </w:p>
        </w:tc>
      </w:tr>
      <w:tr w:rsidR="003B5525" w:rsidRPr="00837488" w:rsidTr="00837488">
        <w:trPr>
          <w:trHeight w:val="259"/>
        </w:trPr>
        <w:tc>
          <w:tcPr>
            <w:tcW w:w="6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i/>
                <w:iCs/>
                <w:color w:val="000000"/>
                <w:szCs w:val="24"/>
                <w:lang w:val="fr-CH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525" w:rsidRDefault="003B5525" w:rsidP="00E519B6">
            <w:pPr>
              <w:spacing w:before="0"/>
              <w:jc w:val="center"/>
              <w:rPr>
                <w:i/>
                <w:iCs/>
                <w:color w:val="000000"/>
                <w:lang w:val="fr-CH"/>
              </w:rPr>
            </w:pPr>
          </w:p>
        </w:tc>
      </w:tr>
      <w:tr w:rsidR="003B5525" w:rsidRPr="00837488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Charges de personnel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466</w:t>
            </w:r>
          </w:p>
        </w:tc>
      </w:tr>
      <w:tr w:rsidR="003B5525" w:rsidRPr="00837488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Autres charges de personnel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31</w:t>
            </w:r>
          </w:p>
        </w:tc>
      </w:tr>
      <w:tr w:rsidR="003B5525" w:rsidRPr="00837488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Frais de mission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110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Services contractuels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60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Location et entretien des locaux et des équipements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Matériels et fournitures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</w:tcPr>
          <w:p w:rsidR="003B5525" w:rsidRPr="00B46AF4" w:rsidRDefault="00737E50" w:rsidP="00B46AF4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B46AF4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t xml:space="preserve">Acquisition </w:t>
            </w:r>
            <w:r w:rsidR="00B46AF4" w:rsidRPr="00B46AF4">
              <w:rPr>
                <w:rFonts w:asciiTheme="majorBidi" w:hAnsiTheme="majorBidi" w:cstheme="majorBidi"/>
                <w:color w:val="000000"/>
                <w:szCs w:val="24"/>
                <w:lang w:val="fr-CH" w:eastAsia="zh-CN"/>
              </w:rPr>
              <w:t>de locaux, de mobilier et de matériel</w:t>
            </w:r>
          </w:p>
        </w:tc>
        <w:tc>
          <w:tcPr>
            <w:tcW w:w="2068" w:type="dxa"/>
          </w:tcPr>
          <w:p w:rsidR="003B5525" w:rsidRPr="00737E50" w:rsidRDefault="00737E50" w:rsidP="00E519B6">
            <w:pPr>
              <w:spacing w:before="0"/>
              <w:ind w:right="22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Services publics et services intérieurs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Vérification des comptes, contributions interorganisations et divers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10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Pr="00737E50" w:rsidRDefault="003B5525" w:rsidP="002B61AE">
            <w:pPr>
              <w:spacing w:before="60" w:after="6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 xml:space="preserve">Sous-total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697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Traduction (5 790 pages)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863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Pool (5 790 pages)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345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Reprographie (1 700 000 pages)</w:t>
            </w:r>
          </w:p>
        </w:tc>
        <w:tc>
          <w:tcPr>
            <w:tcW w:w="2068" w:type="dxa"/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249</w:t>
            </w:r>
          </w:p>
        </w:tc>
      </w:tr>
      <w:tr w:rsidR="003B5525" w:rsidTr="00837488">
        <w:trPr>
          <w:trHeight w:val="259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Pr="00737E50" w:rsidRDefault="003B5525" w:rsidP="002B61AE">
            <w:pPr>
              <w:spacing w:before="60" w:after="6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Documentation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Default="003B5525" w:rsidP="002B61AE">
            <w:pPr>
              <w:spacing w:before="6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1 457</w:t>
            </w:r>
          </w:p>
        </w:tc>
      </w:tr>
      <w:tr w:rsidR="003B5525" w:rsidTr="00837488">
        <w:trPr>
          <w:trHeight w:val="274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525" w:rsidRDefault="003B5525" w:rsidP="00E519B6">
            <w:pPr>
              <w:spacing w:before="0"/>
              <w:ind w:right="227"/>
              <w:jc w:val="right"/>
              <w:rPr>
                <w:color w:val="000000"/>
                <w:lang w:val="fr-CH"/>
              </w:rPr>
            </w:pPr>
          </w:p>
        </w:tc>
      </w:tr>
      <w:tr w:rsidR="003B5525" w:rsidTr="00837488">
        <w:trPr>
          <w:trHeight w:val="403"/>
        </w:trPr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Pr="00737E50" w:rsidRDefault="003B5525" w:rsidP="00E519B6">
            <w:pPr>
              <w:spacing w:before="0"/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</w:pPr>
            <w:r w:rsidRPr="00737E50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TOTAL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525" w:rsidRDefault="003B5525" w:rsidP="00E519B6">
            <w:pPr>
              <w:spacing w:before="0"/>
              <w:ind w:right="227"/>
              <w:jc w:val="right"/>
              <w:rPr>
                <w:b/>
                <w:color w:val="000000"/>
                <w:lang w:val="fr-CH"/>
              </w:rPr>
            </w:pPr>
            <w:r>
              <w:rPr>
                <w:b/>
                <w:color w:val="000000"/>
                <w:lang w:val="fr-CH"/>
              </w:rPr>
              <w:t>2 154</w:t>
            </w:r>
          </w:p>
        </w:tc>
      </w:tr>
    </w:tbl>
    <w:p w:rsidR="00E519B6" w:rsidRDefault="00E519B6" w:rsidP="0032202E">
      <w:pPr>
        <w:pStyle w:val="Reasons"/>
      </w:pPr>
    </w:p>
    <w:p w:rsidR="003B5525" w:rsidRDefault="00E519B6" w:rsidP="00E519B6">
      <w:pPr>
        <w:jc w:val="center"/>
        <w:rPr>
          <w:lang w:val="fr-FR"/>
        </w:rPr>
      </w:pPr>
      <w:r>
        <w:t>______________</w:t>
      </w:r>
    </w:p>
    <w:sectPr w:rsidR="003B5525" w:rsidSect="0039169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F5" w:rsidRDefault="008705F5">
      <w:r>
        <w:separator/>
      </w:r>
    </w:p>
  </w:endnote>
  <w:endnote w:type="continuationSeparator" w:id="0">
    <w:p w:rsidR="008705F5" w:rsidRDefault="0087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B5525" w:rsidRDefault="00E45D05">
    <w:pPr>
      <w:ind w:right="360"/>
      <w:rPr>
        <w:lang w:val="en-US"/>
      </w:rPr>
    </w:pPr>
    <w:r>
      <w:fldChar w:fldCharType="begin"/>
    </w:r>
    <w:r w:rsidRPr="003B5525">
      <w:rPr>
        <w:lang w:val="en-US"/>
      </w:rPr>
      <w:instrText xml:space="preserve"> FILENAME \p  \* MERGEFORMAT </w:instrText>
    </w:r>
    <w:r>
      <w:fldChar w:fldCharType="separate"/>
    </w:r>
    <w:r w:rsidR="00957670" w:rsidRPr="003B5525">
      <w:rPr>
        <w:noProof/>
        <w:lang w:val="en-US"/>
      </w:rPr>
      <w:t>E:\Dropbox\ProposalSharing\WTSA-16\Template\WTSA16-F.docx</w:t>
    </w:r>
    <w:r>
      <w:fldChar w:fldCharType="end"/>
    </w:r>
    <w:r w:rsidRPr="003B55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03BC">
      <w:rPr>
        <w:noProof/>
      </w:rPr>
      <w:t>28.06.16</w:t>
    </w:r>
    <w:r>
      <w:fldChar w:fldCharType="end"/>
    </w:r>
    <w:r w:rsidRPr="003B55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203BC" w:rsidRDefault="003203BC" w:rsidP="003203BC">
    <w:pPr>
      <w:pStyle w:val="Footer"/>
      <w:rPr>
        <w:lang w:val="fr-CH"/>
      </w:rPr>
    </w:pPr>
    <w:r w:rsidRPr="003203BC">
      <w:rPr>
        <w:lang w:val="fr-CH"/>
      </w:rPr>
      <w:t>ITU-T\CONF-T\WTSA16\000\031F.DOC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3203BC" w:rsidRDefault="003203BC" w:rsidP="003203BC">
    <w:pPr>
      <w:pStyle w:val="Footer"/>
      <w:rPr>
        <w:lang w:val="fr-CH"/>
      </w:rPr>
    </w:pPr>
    <w:r w:rsidRPr="003203BC">
      <w:rPr>
        <w:lang w:val="fr-CH"/>
      </w:rPr>
      <w:t>ITU-T\CONF-T\WTSA16\000\031F.DOC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F5" w:rsidRDefault="008705F5">
      <w:r>
        <w:rPr>
          <w:b/>
        </w:rPr>
        <w:t>_______________</w:t>
      </w:r>
    </w:p>
  </w:footnote>
  <w:footnote w:type="continuationSeparator" w:id="0">
    <w:p w:rsidR="008705F5" w:rsidRDefault="0087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203BC">
      <w:rPr>
        <w:noProof/>
      </w:rPr>
      <w:t>2</w:t>
    </w:r>
    <w:r>
      <w:fldChar w:fldCharType="end"/>
    </w:r>
  </w:p>
  <w:p w:rsidR="00987C1F" w:rsidRDefault="00E07AF5" w:rsidP="003203BC">
    <w:pPr>
      <w:pStyle w:val="Header"/>
    </w:pPr>
    <w:r>
      <w:t>AMNT16</w:t>
    </w:r>
    <w:r w:rsidR="00837488">
      <w:t>/31-F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F73FF"/>
    <w:rsid w:val="00114CF7"/>
    <w:rsid w:val="00123B68"/>
    <w:rsid w:val="00126F2E"/>
    <w:rsid w:val="00146F6F"/>
    <w:rsid w:val="00164C14"/>
    <w:rsid w:val="00187BD9"/>
    <w:rsid w:val="00190B55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B61AE"/>
    <w:rsid w:val="002D58BE"/>
    <w:rsid w:val="002E210D"/>
    <w:rsid w:val="003203BC"/>
    <w:rsid w:val="003236A6"/>
    <w:rsid w:val="00332C56"/>
    <w:rsid w:val="00377BD3"/>
    <w:rsid w:val="003832C0"/>
    <w:rsid w:val="00384088"/>
    <w:rsid w:val="0039169B"/>
    <w:rsid w:val="003A7F8C"/>
    <w:rsid w:val="003B532E"/>
    <w:rsid w:val="003B5525"/>
    <w:rsid w:val="003D0F8B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50139F"/>
    <w:rsid w:val="0055140B"/>
    <w:rsid w:val="00595780"/>
    <w:rsid w:val="005964AB"/>
    <w:rsid w:val="005C099A"/>
    <w:rsid w:val="005C31A5"/>
    <w:rsid w:val="005C49DC"/>
    <w:rsid w:val="005E10C9"/>
    <w:rsid w:val="005E61DD"/>
    <w:rsid w:val="006023DF"/>
    <w:rsid w:val="00657DE0"/>
    <w:rsid w:val="00685313"/>
    <w:rsid w:val="0069092B"/>
    <w:rsid w:val="00692833"/>
    <w:rsid w:val="006A6E9B"/>
    <w:rsid w:val="006B7C2A"/>
    <w:rsid w:val="006C23DA"/>
    <w:rsid w:val="006E3D45"/>
    <w:rsid w:val="006F580E"/>
    <w:rsid w:val="007149F9"/>
    <w:rsid w:val="00733A30"/>
    <w:rsid w:val="00737E5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37488"/>
    <w:rsid w:val="00864CD2"/>
    <w:rsid w:val="008705F5"/>
    <w:rsid w:val="00872FC8"/>
    <w:rsid w:val="008845D0"/>
    <w:rsid w:val="008A69FB"/>
    <w:rsid w:val="008B1AEA"/>
    <w:rsid w:val="008B43F2"/>
    <w:rsid w:val="008B6CFF"/>
    <w:rsid w:val="008C27E9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3B85"/>
    <w:rsid w:val="00A94A88"/>
    <w:rsid w:val="00AA0B18"/>
    <w:rsid w:val="00AA666F"/>
    <w:rsid w:val="00AB5A50"/>
    <w:rsid w:val="00AB7C5F"/>
    <w:rsid w:val="00B31EF6"/>
    <w:rsid w:val="00B46AF4"/>
    <w:rsid w:val="00B639E9"/>
    <w:rsid w:val="00B817CD"/>
    <w:rsid w:val="00B94AD0"/>
    <w:rsid w:val="00BA5265"/>
    <w:rsid w:val="00BB3A95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19B6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A811DC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styleId="Index1">
    <w:name w:val="index 1"/>
    <w:basedOn w:val="Normal"/>
    <w:next w:val="Normal"/>
    <w:rsid w:val="003B55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Times New Roman"/>
      <w:lang w:val="fr-FR"/>
    </w:rPr>
  </w:style>
  <w:style w:type="character" w:styleId="Hyperlink">
    <w:name w:val="Hyperlink"/>
    <w:basedOn w:val="DefaultParagraphFont"/>
    <w:rsid w:val="00737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7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5-CL-C-0117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3CC7-C5D6-4D03-BAD4-075CF42A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Royer, Veronique</dc:creator>
  <dc:description>Template used by DPM and CPI for the WTSA-16</dc:description>
  <cp:lastModifiedBy>Clark, Robert</cp:lastModifiedBy>
  <cp:revision>9</cp:revision>
  <cp:lastPrinted>2016-06-07T13:22:00Z</cp:lastPrinted>
  <dcterms:created xsi:type="dcterms:W3CDTF">2016-06-28T10:09:00Z</dcterms:created>
  <dcterms:modified xsi:type="dcterms:W3CDTF">2016-07-06T06:14:00Z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