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092FC2" w:rsidRDefault="00FF650C" w:rsidP="00092FC2">
            <w:pPr>
              <w:spacing w:before="80"/>
              <w:jc w:val="left"/>
              <w:rPr>
                <w:rFonts w:ascii="Calibri" w:hAnsi="Calibri"/>
                <w:b/>
                <w:bCs/>
                <w:sz w:val="26"/>
                <w:szCs w:val="36"/>
                <w:rtl/>
                <w:lang w:bidi="ar-EG"/>
              </w:rPr>
            </w:pPr>
            <w:r w:rsidRPr="00102A03">
              <w:rPr>
                <w:rFonts w:ascii="Calibri" w:hAnsi="Calibri" w:hint="cs"/>
                <w:b/>
                <w:bCs/>
                <w:sz w:val="20"/>
                <w:szCs w:val="28"/>
                <w:rtl/>
                <w:lang w:bidi="ar-EG"/>
              </w:rPr>
              <w:t xml:space="preserve">ياسمين </w:t>
            </w:r>
            <w:r>
              <w:rPr>
                <w:rFonts w:ascii="Calibri" w:hAnsi="Calibri" w:hint="cs"/>
                <w:b/>
                <w:bCs/>
                <w:sz w:val="20"/>
                <w:szCs w:val="28"/>
                <w:rtl/>
                <w:lang w:bidi="ar-EG"/>
              </w:rPr>
              <w:t>ال</w:t>
            </w:r>
            <w:r w:rsidRPr="00102A03">
              <w:rPr>
                <w:rFonts w:ascii="Calibri" w:hAnsi="Calibri" w:hint="cs"/>
                <w:b/>
                <w:bCs/>
                <w:sz w:val="20"/>
                <w:szCs w:val="28"/>
                <w:rtl/>
                <w:lang w:bidi="ar-EG"/>
              </w:rPr>
              <w:t xml:space="preserve">حمامات، </w:t>
            </w:r>
            <w:r w:rsidRPr="00102A03">
              <w:rPr>
                <w:rFonts w:ascii="Calibri" w:hAnsi="Calibri"/>
                <w:b/>
                <w:bCs/>
                <w:sz w:val="20"/>
                <w:szCs w:val="28"/>
                <w:lang w:bidi="ar-SY"/>
              </w:rPr>
              <w:t>25</w:t>
            </w:r>
            <w:r w:rsidRPr="00102A03">
              <w:rPr>
                <w:rFonts w:ascii="Calibri" w:hAnsi="Calibri" w:hint="cs"/>
                <w:b/>
                <w:bCs/>
                <w:sz w:val="20"/>
                <w:szCs w:val="28"/>
                <w:rtl/>
                <w:lang w:bidi="ar-EG"/>
              </w:rPr>
              <w:t xml:space="preserve"> أكتوبر - </w:t>
            </w:r>
            <w:r w:rsidRPr="00102A03">
              <w:rPr>
                <w:rFonts w:ascii="Calibri" w:hAnsi="Calibri"/>
                <w:b/>
                <w:bCs/>
                <w:sz w:val="20"/>
                <w:szCs w:val="28"/>
                <w:lang w:bidi="ar-EG"/>
              </w:rPr>
              <w:t>3</w:t>
            </w:r>
            <w:r w:rsidRPr="00102A03">
              <w:rPr>
                <w:rFonts w:ascii="Calibri" w:hAnsi="Calibri" w:hint="cs"/>
                <w:b/>
                <w:bCs/>
                <w:sz w:val="20"/>
                <w:szCs w:val="28"/>
                <w:rtl/>
                <w:lang w:bidi="ar-EG"/>
              </w:rPr>
              <w:t xml:space="preserve"> نوفمبر </w:t>
            </w:r>
            <w:r w:rsidRPr="00102A03">
              <w:rPr>
                <w:rFonts w:ascii="Calibri" w:hAnsi="Calibri"/>
                <w:b/>
                <w:bCs/>
                <w:sz w:val="20"/>
                <w:szCs w:val="28"/>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bookmarkStart w:id="1" w:name="dmeeting"/>
            <w:bookmarkEnd w:id="1"/>
          </w:p>
        </w:tc>
        <w:tc>
          <w:tcPr>
            <w:tcW w:w="1572" w:type="pct"/>
            <w:gridSpan w:val="2"/>
            <w:vAlign w:val="center"/>
          </w:tcPr>
          <w:p w:rsidR="00E07379" w:rsidRPr="00E07379" w:rsidRDefault="00E07379" w:rsidP="00FA5411">
            <w:pPr>
              <w:spacing w:before="0" w:line="4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FA5411">
              <w:rPr>
                <w:rFonts w:ascii="Verdana Bold" w:hAnsi="Verdana Bold"/>
                <w:b/>
                <w:bCs/>
                <w:sz w:val="19"/>
                <w:lang w:bidi="ar-SY"/>
              </w:rPr>
              <w:t>33</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FA5411"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يونيو</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FA5411" w:rsidP="00FA5411">
            <w:pPr>
              <w:pStyle w:val="Source"/>
              <w:rPr>
                <w:rtl/>
                <w:lang w:bidi="ar-EG"/>
              </w:rPr>
            </w:pPr>
            <w:r w:rsidRPr="00FA5411">
              <w:rPr>
                <w:rtl/>
                <w:lang w:bidi="ar-SA"/>
              </w:rPr>
              <w:t>مذكرة من الأمين العام</w:t>
            </w:r>
          </w:p>
        </w:tc>
      </w:tr>
      <w:tr w:rsidR="00E07379" w:rsidRPr="00E07379" w:rsidTr="00616260">
        <w:trPr>
          <w:cantSplit/>
          <w:jc w:val="center"/>
        </w:trPr>
        <w:tc>
          <w:tcPr>
            <w:tcW w:w="5000" w:type="pct"/>
            <w:gridSpan w:val="4"/>
          </w:tcPr>
          <w:p w:rsidR="00E07379" w:rsidRPr="00E07379" w:rsidRDefault="00FA5411" w:rsidP="00FA5411">
            <w:pPr>
              <w:pStyle w:val="Title1"/>
              <w:rPr>
                <w:lang w:bidi="ar-EG"/>
              </w:rPr>
            </w:pPr>
            <w:r w:rsidRPr="00FA5411">
              <w:rPr>
                <w:rFonts w:hint="cs"/>
                <w:rtl/>
                <w:lang w:bidi="ar-SA"/>
              </w:rPr>
              <w:t>ال</w:t>
            </w:r>
            <w:r w:rsidR="00384F81">
              <w:rPr>
                <w:rFonts w:hint="cs"/>
                <w:rtl/>
                <w:lang w:bidi="ar-SA"/>
              </w:rPr>
              <w:t>‍</w:t>
            </w:r>
            <w:r w:rsidRPr="00FA5411">
              <w:rPr>
                <w:rFonts w:hint="cs"/>
                <w:rtl/>
                <w:lang w:bidi="ar-SA"/>
              </w:rPr>
              <w:t>مسؤوليات ال</w:t>
            </w:r>
            <w:r w:rsidR="00384F81">
              <w:rPr>
                <w:rFonts w:hint="cs"/>
                <w:rtl/>
                <w:lang w:bidi="ar-SA"/>
              </w:rPr>
              <w:t>‍</w:t>
            </w:r>
            <w:r w:rsidRPr="00FA5411">
              <w:rPr>
                <w:rFonts w:hint="cs"/>
                <w:rtl/>
                <w:lang w:bidi="ar-SA"/>
              </w:rPr>
              <w:t>مالية للجمعيات العال</w:t>
            </w:r>
            <w:r w:rsidR="00384F81">
              <w:rPr>
                <w:rFonts w:hint="cs"/>
                <w:rtl/>
                <w:lang w:bidi="ar-SA"/>
              </w:rPr>
              <w:t>‍</w:t>
            </w:r>
            <w:r w:rsidRPr="00FA5411">
              <w:rPr>
                <w:rFonts w:hint="cs"/>
                <w:rtl/>
                <w:lang w:bidi="ar-SA"/>
              </w:rPr>
              <w:t>مية لتقييس الاتصالات</w:t>
            </w:r>
          </w:p>
        </w:tc>
      </w:tr>
      <w:tr w:rsidR="00E07379" w:rsidRPr="00E07379" w:rsidTr="00616260">
        <w:trPr>
          <w:cantSplit/>
          <w:jc w:val="center"/>
        </w:trPr>
        <w:tc>
          <w:tcPr>
            <w:tcW w:w="5000" w:type="pct"/>
            <w:gridSpan w:val="4"/>
          </w:tcPr>
          <w:p w:rsidR="00E07379" w:rsidRPr="00616260" w:rsidRDefault="00E07379" w:rsidP="00FA5411">
            <w:pPr>
              <w:rPr>
                <w:rtl/>
                <w:lang w:bidi="ar-EG"/>
              </w:rPr>
            </w:pPr>
          </w:p>
        </w:tc>
      </w:tr>
    </w:tbl>
    <w:p w:rsidR="00FA5411" w:rsidRPr="00442D6B" w:rsidRDefault="00FA5411" w:rsidP="00FA5411">
      <w:pPr>
        <w:tabs>
          <w:tab w:val="left" w:pos="850"/>
        </w:tabs>
        <w:rPr>
          <w:spacing w:val="-2"/>
          <w:rtl/>
          <w:lang w:bidi="ar-EG"/>
        </w:rPr>
      </w:pPr>
      <w:r>
        <w:t>1</w:t>
      </w:r>
      <w:r>
        <w:rPr>
          <w:rFonts w:hint="cs"/>
          <w:rtl/>
        </w:rPr>
        <w:tab/>
      </w:r>
      <w:r w:rsidRPr="00442D6B">
        <w:rPr>
          <w:rFonts w:hint="cs"/>
          <w:spacing w:val="-2"/>
          <w:rtl/>
          <w:lang w:bidi="ar-EG"/>
        </w:rPr>
        <w:t>ي</w:t>
      </w:r>
      <w:r>
        <w:rPr>
          <w:rFonts w:hint="cs"/>
          <w:spacing w:val="-2"/>
          <w:rtl/>
          <w:lang w:bidi="ar-EG"/>
        </w:rPr>
        <w:t>ُ</w:t>
      </w:r>
      <w:r w:rsidRPr="00442D6B">
        <w:rPr>
          <w:rFonts w:hint="cs"/>
          <w:spacing w:val="-2"/>
          <w:rtl/>
          <w:lang w:bidi="ar-EG"/>
        </w:rPr>
        <w:t>سترعى انتباه الجمعية العالمية لتقييس الاتصالات</w:t>
      </w:r>
      <w:r w:rsidRPr="00442D6B">
        <w:rPr>
          <w:rFonts w:hint="eastAsia"/>
          <w:spacing w:val="-2"/>
          <w:rtl/>
          <w:lang w:bidi="ar-EG"/>
        </w:rPr>
        <w:t> </w:t>
      </w:r>
      <w:r w:rsidRPr="00442D6B">
        <w:rPr>
          <w:spacing w:val="-2"/>
          <w:lang w:bidi="ar-EG"/>
        </w:rPr>
        <w:t>(WTSA</w:t>
      </w:r>
      <w:r w:rsidRPr="00442D6B">
        <w:rPr>
          <w:spacing w:val="-2"/>
          <w:lang w:bidi="ar-EG"/>
        </w:rPr>
        <w:sym w:font="Symbol" w:char="F02D"/>
      </w:r>
      <w:r w:rsidRPr="00442D6B">
        <w:rPr>
          <w:spacing w:val="-2"/>
          <w:lang w:bidi="ar-EG"/>
        </w:rPr>
        <w:t>1</w:t>
      </w:r>
      <w:r>
        <w:rPr>
          <w:spacing w:val="-2"/>
          <w:lang w:bidi="ar-EG"/>
        </w:rPr>
        <w:t>6</w:t>
      </w:r>
      <w:r w:rsidRPr="00442D6B">
        <w:rPr>
          <w:spacing w:val="-2"/>
          <w:lang w:bidi="ar-EG"/>
        </w:rPr>
        <w:t>)</w:t>
      </w:r>
      <w:r w:rsidRPr="00442D6B">
        <w:rPr>
          <w:rFonts w:hint="cs"/>
          <w:spacing w:val="-2"/>
          <w:rtl/>
          <w:lang w:bidi="ar-EG"/>
        </w:rPr>
        <w:t xml:space="preserve"> إلى الرقم</w:t>
      </w:r>
      <w:r w:rsidRPr="00442D6B">
        <w:rPr>
          <w:rFonts w:hint="eastAsia"/>
          <w:spacing w:val="-2"/>
          <w:rtl/>
          <w:lang w:bidi="ar-EG"/>
        </w:rPr>
        <w:t> </w:t>
      </w:r>
      <w:r w:rsidRPr="00442D6B">
        <w:rPr>
          <w:spacing w:val="-2"/>
          <w:lang w:bidi="ar-EG"/>
        </w:rPr>
        <w:t>115</w:t>
      </w:r>
      <w:r w:rsidRPr="00442D6B">
        <w:rPr>
          <w:rFonts w:hint="cs"/>
          <w:spacing w:val="-2"/>
          <w:rtl/>
          <w:lang w:bidi="ar-EG"/>
        </w:rPr>
        <w:t xml:space="preserve"> من دستور الاتحاد الدولي للاتصالات الذي ينص على ما</w:t>
      </w:r>
      <w:r w:rsidRPr="00442D6B">
        <w:rPr>
          <w:rFonts w:hint="eastAsia"/>
          <w:spacing w:val="-2"/>
          <w:rtl/>
          <w:lang w:bidi="ar-EG"/>
        </w:rPr>
        <w:t> </w:t>
      </w:r>
      <w:r w:rsidRPr="00442D6B">
        <w:rPr>
          <w:rFonts w:hint="cs"/>
          <w:spacing w:val="-2"/>
          <w:rtl/>
          <w:lang w:bidi="ar-EG"/>
        </w:rPr>
        <w:t>يلي:</w:t>
      </w:r>
    </w:p>
    <w:p w:rsidR="00FA5411" w:rsidRPr="009A33EE" w:rsidRDefault="00FA5411" w:rsidP="00F13D6F">
      <w:pPr>
        <w:pStyle w:val="Tabletext"/>
        <w:tabs>
          <w:tab w:val="clear" w:pos="1134"/>
        </w:tabs>
        <w:spacing w:before="120" w:after="0" w:line="192" w:lineRule="auto"/>
        <w:jc w:val="both"/>
        <w:rPr>
          <w:sz w:val="22"/>
          <w:szCs w:val="30"/>
          <w:rtl/>
        </w:rPr>
      </w:pPr>
      <w:r>
        <w:rPr>
          <w:rFonts w:hint="cs"/>
          <w:sz w:val="22"/>
          <w:szCs w:val="30"/>
          <w:rtl/>
        </w:rPr>
        <w:t>"</w:t>
      </w:r>
      <w:r w:rsidRPr="009A33EE">
        <w:rPr>
          <w:sz w:val="22"/>
          <w:szCs w:val="30"/>
        </w:rPr>
        <w:t>3</w:t>
      </w:r>
      <w:r w:rsidRPr="009A33EE">
        <w:rPr>
          <w:sz w:val="22"/>
          <w:szCs w:val="30"/>
          <w:rtl/>
        </w:rPr>
        <w:tab/>
        <w:t xml:space="preserve">يجب أن تتوافق مقررات الجمعيات العالمية لتقييس الاتصالات في جميع الأحوال مع أحكام هذا الدستور والاتفاقية واللوائح الإدارية. ويجب على الجمعيات، عند </w:t>
      </w:r>
      <w:r w:rsidRPr="009A33EE">
        <w:rPr>
          <w:rFonts w:hint="cs"/>
          <w:sz w:val="22"/>
          <w:szCs w:val="30"/>
          <w:rtl/>
        </w:rPr>
        <w:t>اعتمادها</w:t>
      </w:r>
      <w:r w:rsidRPr="009A33EE">
        <w:rPr>
          <w:sz w:val="22"/>
          <w:szCs w:val="30"/>
          <w:rtl/>
        </w:rPr>
        <w:t xml:space="preserve"> قرارات أو مقررات، أن تأخذ في الاعتبار </w:t>
      </w:r>
      <w:r w:rsidRPr="009A33EE">
        <w:rPr>
          <w:rFonts w:hint="cs"/>
          <w:sz w:val="22"/>
          <w:szCs w:val="30"/>
          <w:rtl/>
        </w:rPr>
        <w:t>الآثار</w:t>
      </w:r>
      <w:r w:rsidRPr="009A33EE">
        <w:rPr>
          <w:sz w:val="22"/>
          <w:szCs w:val="30"/>
          <w:rtl/>
        </w:rPr>
        <w:t xml:space="preserve"> المالية</w:t>
      </w:r>
      <w:r>
        <w:rPr>
          <w:sz w:val="22"/>
          <w:szCs w:val="30"/>
          <w:rtl/>
        </w:rPr>
        <w:t xml:space="preserve"> التي قد تترتب عليها، وينبغي أن</w:t>
      </w:r>
      <w:r w:rsidRPr="009A33EE">
        <w:rPr>
          <w:rFonts w:hint="cs"/>
          <w:sz w:val="22"/>
          <w:szCs w:val="30"/>
          <w:rtl/>
        </w:rPr>
        <w:t xml:space="preserve"> تتجنب </w:t>
      </w:r>
      <w:r w:rsidRPr="009A33EE">
        <w:rPr>
          <w:sz w:val="22"/>
          <w:szCs w:val="30"/>
          <w:rtl/>
        </w:rPr>
        <w:t xml:space="preserve">اعتماد قرارات ومقررات </w:t>
      </w:r>
      <w:r w:rsidRPr="009A33EE">
        <w:rPr>
          <w:rFonts w:hint="cs"/>
          <w:sz w:val="22"/>
          <w:szCs w:val="30"/>
          <w:rtl/>
        </w:rPr>
        <w:t>من شأنها</w:t>
      </w:r>
      <w:r w:rsidRPr="009A33EE">
        <w:rPr>
          <w:sz w:val="22"/>
          <w:szCs w:val="30"/>
          <w:rtl/>
        </w:rPr>
        <w:t xml:space="preserve"> أن تؤدي إلى نفقات تتجاوز الحدود المالية التي </w:t>
      </w:r>
      <w:r w:rsidRPr="009A33EE">
        <w:rPr>
          <w:rFonts w:hint="cs"/>
          <w:sz w:val="22"/>
          <w:szCs w:val="30"/>
          <w:rtl/>
        </w:rPr>
        <w:t>يضعها</w:t>
      </w:r>
      <w:r w:rsidRPr="009A33EE">
        <w:rPr>
          <w:sz w:val="22"/>
          <w:szCs w:val="30"/>
          <w:rtl/>
        </w:rPr>
        <w:t xml:space="preserve"> مؤتمر المندوبين</w:t>
      </w:r>
      <w:r>
        <w:rPr>
          <w:rFonts w:hint="eastAsia"/>
          <w:rtl/>
        </w:rPr>
        <w:t> </w:t>
      </w:r>
      <w:r w:rsidRPr="009A33EE">
        <w:rPr>
          <w:sz w:val="22"/>
          <w:szCs w:val="30"/>
          <w:rtl/>
        </w:rPr>
        <w:t>المفوضين</w:t>
      </w:r>
      <w:r>
        <w:rPr>
          <w:rFonts w:hint="cs"/>
          <w:sz w:val="22"/>
          <w:szCs w:val="30"/>
          <w:rtl/>
        </w:rPr>
        <w:t>".</w:t>
      </w:r>
    </w:p>
    <w:p w:rsidR="00FA5411" w:rsidRPr="009A33EE" w:rsidRDefault="00FA5411" w:rsidP="00FA5411">
      <w:pPr>
        <w:tabs>
          <w:tab w:val="left" w:pos="850"/>
        </w:tabs>
        <w:rPr>
          <w:rtl/>
          <w:lang w:bidi="ar-EG"/>
        </w:rPr>
      </w:pPr>
      <w:r>
        <w:t>2</w:t>
      </w:r>
      <w:r>
        <w:rPr>
          <w:rFonts w:hint="cs"/>
          <w:rtl/>
        </w:rPr>
        <w:tab/>
      </w:r>
      <w:r w:rsidRPr="009A33EE">
        <w:rPr>
          <w:rFonts w:hint="cs"/>
          <w:rtl/>
        </w:rPr>
        <w:t>وي</w:t>
      </w:r>
      <w:r>
        <w:rPr>
          <w:rFonts w:hint="cs"/>
          <w:rtl/>
        </w:rPr>
        <w:t>ُ</w:t>
      </w:r>
      <w:r w:rsidRPr="009A33EE">
        <w:rPr>
          <w:rFonts w:hint="cs"/>
          <w:rtl/>
        </w:rPr>
        <w:t xml:space="preserve">سترعى انتباه </w:t>
      </w:r>
      <w:r>
        <w:rPr>
          <w:rFonts w:hint="cs"/>
          <w:rtl/>
        </w:rPr>
        <w:t>الجمعية</w:t>
      </w:r>
      <w:r w:rsidRPr="009A33EE">
        <w:rPr>
          <w:rFonts w:hint="cs"/>
          <w:rtl/>
        </w:rPr>
        <w:t xml:space="preserve"> أيضاً إلى الرقمين</w:t>
      </w:r>
      <w:r>
        <w:rPr>
          <w:rFonts w:hint="eastAsia"/>
          <w:rtl/>
          <w:lang w:bidi="ar-EG"/>
        </w:rPr>
        <w:t> </w:t>
      </w:r>
      <w:r w:rsidRPr="009A33EE">
        <w:t>488</w:t>
      </w:r>
      <w:r w:rsidRPr="009A33EE">
        <w:rPr>
          <w:rFonts w:hint="cs"/>
          <w:rtl/>
          <w:lang w:bidi="ar-EG"/>
        </w:rPr>
        <w:t xml:space="preserve"> و</w:t>
      </w:r>
      <w:r w:rsidRPr="009A33EE">
        <w:rPr>
          <w:lang w:bidi="ar-EG"/>
        </w:rPr>
        <w:t>489</w:t>
      </w:r>
      <w:r w:rsidRPr="009A33EE">
        <w:rPr>
          <w:rFonts w:hint="cs"/>
          <w:rtl/>
          <w:lang w:bidi="ar-EG"/>
        </w:rPr>
        <w:t xml:space="preserve"> من اتفاقية الاتحاد الدولي للاتصالات اللذين ينصان على ما</w:t>
      </w:r>
      <w:r w:rsidRPr="009A33EE">
        <w:rPr>
          <w:rFonts w:hint="eastAsia"/>
          <w:rtl/>
          <w:lang w:bidi="ar-EG"/>
        </w:rPr>
        <w:t> </w:t>
      </w:r>
      <w:r w:rsidRPr="009A33EE">
        <w:rPr>
          <w:rFonts w:hint="cs"/>
          <w:rtl/>
          <w:lang w:bidi="ar-EG"/>
        </w:rPr>
        <w:t>يلي:</w:t>
      </w:r>
    </w:p>
    <w:p w:rsidR="00FA5411" w:rsidRPr="009A33EE" w:rsidRDefault="00FA5411" w:rsidP="00FA5411">
      <w:pPr>
        <w:tabs>
          <w:tab w:val="left" w:pos="850"/>
        </w:tabs>
        <w:rPr>
          <w:spacing w:val="-2"/>
          <w:rtl/>
        </w:rPr>
      </w:pPr>
      <w:r>
        <w:rPr>
          <w:rFonts w:hint="cs"/>
          <w:spacing w:val="-2"/>
          <w:rtl/>
        </w:rPr>
        <w:t>"</w:t>
      </w:r>
      <w:r w:rsidRPr="009A33EE">
        <w:rPr>
          <w:spacing w:val="-2"/>
        </w:rPr>
        <w:t>1</w:t>
      </w:r>
      <w:r w:rsidRPr="009A33EE">
        <w:rPr>
          <w:spacing w:val="-2"/>
          <w:rtl/>
        </w:rPr>
        <w:tab/>
      </w:r>
      <w:r w:rsidRPr="009A33EE">
        <w:rPr>
          <w:rFonts w:hint="cs"/>
          <w:spacing w:val="-2"/>
          <w:rtl/>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مخولاً للسماح</w:t>
      </w:r>
      <w:r>
        <w:rPr>
          <w:rFonts w:hint="eastAsia"/>
          <w:rtl/>
          <w:lang w:bidi="ar-EG"/>
        </w:rPr>
        <w:t> </w:t>
      </w:r>
      <w:r w:rsidRPr="009A33EE">
        <w:rPr>
          <w:rFonts w:hint="cs"/>
          <w:spacing w:val="-2"/>
          <w:rtl/>
        </w:rPr>
        <w:t>بها.</w:t>
      </w:r>
    </w:p>
    <w:p w:rsidR="00FA5411" w:rsidRDefault="00FA5411" w:rsidP="00F13D6F">
      <w:pPr>
        <w:tabs>
          <w:tab w:val="left" w:pos="850"/>
        </w:tabs>
        <w:rPr>
          <w:rtl/>
          <w:lang w:bidi="ar-EG"/>
        </w:rPr>
      </w:pPr>
      <w:r w:rsidRPr="009A33EE">
        <w:t>2</w:t>
      </w:r>
      <w:r w:rsidRPr="009A33EE">
        <w:rPr>
          <w:rtl/>
        </w:rPr>
        <w:tab/>
      </w:r>
      <w:r w:rsidRPr="009A33EE">
        <w:rPr>
          <w:rFonts w:hint="cs"/>
          <w:rtl/>
        </w:rPr>
        <w:t>لا</w:t>
      </w:r>
      <w:r>
        <w:rPr>
          <w:rFonts w:hint="eastAsia"/>
          <w:rtl/>
          <w:lang w:bidi="ar-EG"/>
        </w:rPr>
        <w:t> </w:t>
      </w:r>
      <w:r>
        <w:rPr>
          <w:rFonts w:hint="cs"/>
          <w:rtl/>
        </w:rPr>
        <w:t>يُتخذ</w:t>
      </w:r>
      <w:r w:rsidRPr="009A33EE">
        <w:rPr>
          <w:rFonts w:hint="cs"/>
          <w:rtl/>
        </w:rPr>
        <w:t xml:space="preserve"> أي إجراء لتنفيذ أي قرار اتخذه أحد المؤتمرات إذا كان يستدعي زيادة مباشرة أو غير مباشرة في</w:t>
      </w:r>
      <w:r>
        <w:rPr>
          <w:rFonts w:hint="eastAsia"/>
          <w:rtl/>
          <w:lang w:bidi="ar-EG"/>
        </w:rPr>
        <w:t> </w:t>
      </w:r>
      <w:r w:rsidRPr="009A33EE">
        <w:rPr>
          <w:rFonts w:hint="cs"/>
          <w:rtl/>
        </w:rPr>
        <w:t>النفقات بما</w:t>
      </w:r>
      <w:r w:rsidR="00AF4171">
        <w:rPr>
          <w:rFonts w:hint="eastAsia"/>
          <w:rtl/>
        </w:rPr>
        <w:t> </w:t>
      </w:r>
      <w:r w:rsidRPr="009A33EE">
        <w:rPr>
          <w:rFonts w:hint="cs"/>
          <w:rtl/>
        </w:rPr>
        <w:t>يتجاوز الاعتمادات التي يكون المجلس مخولاً للسماح</w:t>
      </w:r>
      <w:r>
        <w:rPr>
          <w:rFonts w:hint="eastAsia"/>
          <w:rtl/>
          <w:lang w:bidi="ar-EG"/>
        </w:rPr>
        <w:t> </w:t>
      </w:r>
      <w:r w:rsidRPr="009A33EE">
        <w:rPr>
          <w:rFonts w:hint="cs"/>
          <w:rtl/>
        </w:rPr>
        <w:t>بها</w:t>
      </w:r>
      <w:r>
        <w:rPr>
          <w:rFonts w:hint="cs"/>
          <w:rtl/>
        </w:rPr>
        <w:t>"</w:t>
      </w:r>
      <w:r w:rsidR="0060454B">
        <w:rPr>
          <w:rFonts w:hint="cs"/>
          <w:rtl/>
          <w:lang w:bidi="ar-EG"/>
        </w:rPr>
        <w:t>.</w:t>
      </w:r>
    </w:p>
    <w:p w:rsidR="00FA5411" w:rsidRDefault="00FA5411" w:rsidP="006045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0"/>
        <w:ind w:left="5954"/>
        <w:jc w:val="center"/>
        <w:rPr>
          <w:lang w:bidi="ar-EG"/>
        </w:rPr>
      </w:pPr>
      <w:r>
        <w:rPr>
          <w:rFonts w:hint="cs"/>
          <w:rtl/>
          <w:lang w:bidi="ar-EG"/>
        </w:rPr>
        <w:t>هولين جاو</w:t>
      </w:r>
      <w:r>
        <w:rPr>
          <w:rtl/>
          <w:lang w:bidi="ar-EG"/>
        </w:rPr>
        <w:br/>
      </w:r>
      <w:bookmarkStart w:id="5" w:name="_GoBack"/>
      <w:bookmarkEnd w:id="5"/>
      <w:r>
        <w:rPr>
          <w:rFonts w:hint="cs"/>
          <w:rtl/>
          <w:lang w:bidi="ar-EG"/>
        </w:rPr>
        <w:t>الأمين العام</w:t>
      </w:r>
    </w:p>
    <w:sectPr w:rsidR="00FA5411" w:rsidSect="00E07379">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411" w:rsidRDefault="00FA5411" w:rsidP="00E07379">
      <w:pPr>
        <w:spacing w:before="0" w:line="240" w:lineRule="auto"/>
      </w:pPr>
      <w:r>
        <w:separator/>
      </w:r>
    </w:p>
  </w:endnote>
  <w:endnote w:type="continuationSeparator" w:id="0">
    <w:p w:rsidR="00FA5411" w:rsidRDefault="00FA54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E4EBA" w:rsidRDefault="00EE4EBA" w:rsidP="00EE4EBA">
    <w:pPr>
      <w:pStyle w:val="Footer"/>
      <w:rPr>
        <w:lang w:val="fr-CH"/>
      </w:rPr>
    </w:pPr>
    <w:r w:rsidRPr="00EE4EBA">
      <w:rPr>
        <w:rFonts w:eastAsiaTheme="minorEastAsia"/>
        <w:sz w:val="16"/>
        <w:szCs w:val="16"/>
        <w:lang w:val="fr-CH" w:eastAsia="zh-CN"/>
      </w:rPr>
      <w:t>I</w:t>
    </w:r>
    <w:r>
      <w:rPr>
        <w:rFonts w:eastAsiaTheme="minorEastAsia"/>
        <w:sz w:val="16"/>
        <w:szCs w:val="16"/>
        <w:lang w:val="fr-CH" w:eastAsia="zh-CN"/>
      </w:rPr>
      <w:t>TU-T\CONF-T\WTSA16\000\033A.DOC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411" w:rsidRDefault="00FA5411" w:rsidP="00E07379">
      <w:pPr>
        <w:spacing w:before="0" w:line="240" w:lineRule="auto"/>
      </w:pPr>
      <w:r>
        <w:separator/>
      </w:r>
    </w:p>
  </w:footnote>
  <w:footnote w:type="continuationSeparator" w:id="0">
    <w:p w:rsidR="00FA5411" w:rsidRDefault="00FA54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07379" w:rsidRDefault="00E07379" w:rsidP="00616260">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3368AB">
      <w:rPr>
        <w:rFonts w:cs="Times New Roman"/>
        <w:noProof/>
        <w:sz w:val="20"/>
        <w:szCs w:val="20"/>
      </w:rPr>
      <w:t>2</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sidR="00606660">
      <w:rPr>
        <w:rFonts w:cs="Times New Roman"/>
        <w:sz w:val="20"/>
        <w:szCs w:val="20"/>
      </w:rPr>
      <w:t>16</w:t>
    </w:r>
    <w:r w:rsidRPr="00E07379">
      <w:rPr>
        <w:rFonts w:cs="Times New Roman"/>
        <w:sz w:val="20"/>
        <w:szCs w:val="20"/>
      </w:rPr>
      <w:t>/</w:t>
    </w:r>
    <w:r>
      <w:rPr>
        <w:rFonts w:cs="Times New Roman"/>
        <w:sz w:val="20"/>
        <w:szCs w:val="20"/>
      </w:rPr>
      <w:t>x</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11"/>
    <w:rsid w:val="00090574"/>
    <w:rsid w:val="00092FC2"/>
    <w:rsid w:val="000A1677"/>
    <w:rsid w:val="00173915"/>
    <w:rsid w:val="0023283D"/>
    <w:rsid w:val="00252E0C"/>
    <w:rsid w:val="002978F4"/>
    <w:rsid w:val="002B028D"/>
    <w:rsid w:val="002B435E"/>
    <w:rsid w:val="002E6541"/>
    <w:rsid w:val="0030486B"/>
    <w:rsid w:val="003368AB"/>
    <w:rsid w:val="003409F4"/>
    <w:rsid w:val="00357185"/>
    <w:rsid w:val="00384F81"/>
    <w:rsid w:val="003F678F"/>
    <w:rsid w:val="0042686F"/>
    <w:rsid w:val="00443869"/>
    <w:rsid w:val="00501E0E"/>
    <w:rsid w:val="00552BC5"/>
    <w:rsid w:val="0055516A"/>
    <w:rsid w:val="0056374C"/>
    <w:rsid w:val="0057656F"/>
    <w:rsid w:val="0059285F"/>
    <w:rsid w:val="0060454B"/>
    <w:rsid w:val="00606660"/>
    <w:rsid w:val="00616260"/>
    <w:rsid w:val="0065591D"/>
    <w:rsid w:val="006F63F7"/>
    <w:rsid w:val="00706D7A"/>
    <w:rsid w:val="00803F08"/>
    <w:rsid w:val="008235CD"/>
    <w:rsid w:val="00835FEC"/>
    <w:rsid w:val="008513CB"/>
    <w:rsid w:val="00915674"/>
    <w:rsid w:val="00982B28"/>
    <w:rsid w:val="00A97F94"/>
    <w:rsid w:val="00AB1309"/>
    <w:rsid w:val="00AC2C52"/>
    <w:rsid w:val="00AF4171"/>
    <w:rsid w:val="00B2000C"/>
    <w:rsid w:val="00B970AE"/>
    <w:rsid w:val="00BF2C38"/>
    <w:rsid w:val="00C674FE"/>
    <w:rsid w:val="00C75633"/>
    <w:rsid w:val="00CA571F"/>
    <w:rsid w:val="00CE2EE1"/>
    <w:rsid w:val="00CF3FFD"/>
    <w:rsid w:val="00D77D0F"/>
    <w:rsid w:val="00D80EFA"/>
    <w:rsid w:val="00DA1CF0"/>
    <w:rsid w:val="00DC24B4"/>
    <w:rsid w:val="00DD7A05"/>
    <w:rsid w:val="00DF16DC"/>
    <w:rsid w:val="00E07379"/>
    <w:rsid w:val="00E17033"/>
    <w:rsid w:val="00E45211"/>
    <w:rsid w:val="00E67FDE"/>
    <w:rsid w:val="00E96624"/>
    <w:rsid w:val="00EE4EBA"/>
    <w:rsid w:val="00F13D6F"/>
    <w:rsid w:val="00F401D0"/>
    <w:rsid w:val="00F62AB6"/>
    <w:rsid w:val="00F84366"/>
    <w:rsid w:val="00F85089"/>
    <w:rsid w:val="00FA5411"/>
    <w:rsid w:val="00FB342C"/>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BF2020-660B-43E4-96E2-9EB4A67B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Tabletext">
    <w:name w:val="Table_text"/>
    <w:basedOn w:val="Normal"/>
    <w:link w:val="TabletextChar"/>
    <w:qFormat/>
    <w:rsid w:val="00FA54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FA5411"/>
    <w:rPr>
      <w:rFonts w:ascii="Times New Roman" w:eastAsia="Times New Roman" w:hAnsi="Times New Roman" w:cs="Traditional Arabic"/>
      <w:sz w:val="20"/>
      <w:szCs w:val="26"/>
      <w:lang w:val="fr-FR"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846A9-1777-4972-B761-D802382D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PA_WTSA.dotx</Template>
  <TotalTime>18</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Clark, Robert</cp:lastModifiedBy>
  <cp:revision>10</cp:revision>
  <dcterms:created xsi:type="dcterms:W3CDTF">2016-07-05T14:35:00Z</dcterms:created>
  <dcterms:modified xsi:type="dcterms:W3CDTF">2016-07-06T14:44:00Z</dcterms:modified>
</cp:coreProperties>
</file>