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C25255" w:rsidTr="004B520A">
        <w:trPr>
          <w:cantSplit/>
        </w:trPr>
        <w:tc>
          <w:tcPr>
            <w:tcW w:w="1379" w:type="dxa"/>
            <w:vAlign w:val="center"/>
          </w:tcPr>
          <w:p w:rsidR="000E5EE9" w:rsidRPr="00C25255" w:rsidRDefault="000E5EE9" w:rsidP="00996C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C25255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C25255" w:rsidRDefault="000E5EE9" w:rsidP="00996C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C25255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C25255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C25255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C25255" w:rsidRDefault="0028017B" w:rsidP="00996C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C2525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C25255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C2525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C25255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C2525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C25255" w:rsidRDefault="000E5EE9" w:rsidP="004B520A">
            <w:pPr>
              <w:spacing w:before="0"/>
              <w:jc w:val="right"/>
            </w:pPr>
            <w:r w:rsidRPr="00C25255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C25255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C25255" w:rsidRDefault="00F0220A" w:rsidP="00996C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C25255" w:rsidRDefault="00F0220A" w:rsidP="00996C0A">
            <w:pPr>
              <w:spacing w:before="0"/>
            </w:pPr>
          </w:p>
        </w:tc>
      </w:tr>
      <w:tr w:rsidR="005A374D" w:rsidRPr="00C25255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C25255" w:rsidRDefault="005A374D" w:rsidP="00996C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C25255" w:rsidRDefault="005A374D" w:rsidP="00996C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C25255" w:rsidTr="004B520A">
        <w:trPr>
          <w:cantSplit/>
        </w:trPr>
        <w:tc>
          <w:tcPr>
            <w:tcW w:w="6613" w:type="dxa"/>
            <w:gridSpan w:val="2"/>
          </w:tcPr>
          <w:p w:rsidR="00E83D45" w:rsidRPr="00C25255" w:rsidRDefault="00E83D45" w:rsidP="00996C0A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C25255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C25255" w:rsidRDefault="00E83D45" w:rsidP="00996C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C25255">
              <w:rPr>
                <w:rFonts w:ascii="Verdana" w:hAnsi="Verdana"/>
                <w:b/>
                <w:sz w:val="20"/>
              </w:rPr>
              <w:t>Addéndum 15 al</w:t>
            </w:r>
            <w:r w:rsidRPr="00C25255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C25255" w:rsidTr="004B520A">
        <w:trPr>
          <w:cantSplit/>
        </w:trPr>
        <w:tc>
          <w:tcPr>
            <w:tcW w:w="6613" w:type="dxa"/>
            <w:gridSpan w:val="2"/>
          </w:tcPr>
          <w:p w:rsidR="00E83D45" w:rsidRPr="00C25255" w:rsidRDefault="00E83D45" w:rsidP="00996C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C25255" w:rsidRDefault="00E83D45" w:rsidP="00996C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C25255">
              <w:rPr>
                <w:rFonts w:ascii="Verdana" w:hAnsi="Verdana"/>
                <w:b/>
                <w:sz w:val="20"/>
              </w:rPr>
              <w:t>10 de octubre de 2016</w:t>
            </w:r>
          </w:p>
        </w:tc>
      </w:tr>
      <w:tr w:rsidR="00E83D45" w:rsidRPr="00C25255" w:rsidTr="004B520A">
        <w:trPr>
          <w:cantSplit/>
        </w:trPr>
        <w:tc>
          <w:tcPr>
            <w:tcW w:w="6613" w:type="dxa"/>
            <w:gridSpan w:val="2"/>
          </w:tcPr>
          <w:p w:rsidR="00E83D45" w:rsidRPr="00C25255" w:rsidRDefault="00E83D45" w:rsidP="00996C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C25255" w:rsidRDefault="00E83D45" w:rsidP="00996C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C25255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C25255" w:rsidTr="004B520A">
        <w:trPr>
          <w:cantSplit/>
        </w:trPr>
        <w:tc>
          <w:tcPr>
            <w:tcW w:w="9811" w:type="dxa"/>
            <w:gridSpan w:val="4"/>
          </w:tcPr>
          <w:p w:rsidR="00681766" w:rsidRPr="00C25255" w:rsidRDefault="00681766" w:rsidP="00996C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C25255" w:rsidTr="004B520A">
        <w:trPr>
          <w:cantSplit/>
        </w:trPr>
        <w:tc>
          <w:tcPr>
            <w:tcW w:w="9811" w:type="dxa"/>
            <w:gridSpan w:val="4"/>
          </w:tcPr>
          <w:p w:rsidR="00E83D45" w:rsidRPr="00C25255" w:rsidRDefault="00E83D45" w:rsidP="00996C0A">
            <w:pPr>
              <w:pStyle w:val="Source"/>
            </w:pPr>
            <w:r w:rsidRPr="00C25255">
              <w:t>Administraciones de la Unión Africana de Telecomunicaciones</w:t>
            </w:r>
          </w:p>
        </w:tc>
      </w:tr>
      <w:tr w:rsidR="00E83D45" w:rsidRPr="00C25255" w:rsidTr="004B520A">
        <w:trPr>
          <w:cantSplit/>
        </w:trPr>
        <w:tc>
          <w:tcPr>
            <w:tcW w:w="9811" w:type="dxa"/>
            <w:gridSpan w:val="4"/>
          </w:tcPr>
          <w:p w:rsidR="00E83D45" w:rsidRPr="00C25255" w:rsidRDefault="00996C0A" w:rsidP="004C535F">
            <w:pPr>
              <w:pStyle w:val="Title1"/>
            </w:pPr>
            <w:r w:rsidRPr="00C25255">
              <w:t>PROYECTO DE NUEVA RESOLUCIÓN</w:t>
            </w:r>
            <w:r w:rsidR="00E83D45" w:rsidRPr="00C25255">
              <w:t xml:space="preserve"> [AFCP-4] </w:t>
            </w:r>
            <w:r w:rsidRPr="00C25255">
              <w:t xml:space="preserve">– Participación del Sector de Normalización de las Telecomunicaciones en el examen y la revisión periódicos del Reglamento </w:t>
            </w:r>
            <w:r w:rsidR="004C535F" w:rsidRPr="00C25255">
              <w:br/>
            </w:r>
            <w:r w:rsidRPr="00C25255">
              <w:t>de las Telecomunicaciones Internacionales</w:t>
            </w:r>
          </w:p>
        </w:tc>
      </w:tr>
      <w:tr w:rsidR="00E83D45" w:rsidRPr="00C25255" w:rsidTr="004B520A">
        <w:trPr>
          <w:cantSplit/>
        </w:trPr>
        <w:tc>
          <w:tcPr>
            <w:tcW w:w="9811" w:type="dxa"/>
            <w:gridSpan w:val="4"/>
          </w:tcPr>
          <w:p w:rsidR="00E83D45" w:rsidRPr="00C25255" w:rsidRDefault="00E83D45" w:rsidP="00996C0A">
            <w:pPr>
              <w:pStyle w:val="Title2"/>
            </w:pPr>
          </w:p>
        </w:tc>
      </w:tr>
      <w:tr w:rsidR="00E83D45" w:rsidRPr="00C25255" w:rsidTr="004B520A">
        <w:trPr>
          <w:cantSplit/>
        </w:trPr>
        <w:tc>
          <w:tcPr>
            <w:tcW w:w="9811" w:type="dxa"/>
            <w:gridSpan w:val="4"/>
          </w:tcPr>
          <w:p w:rsidR="00E83D45" w:rsidRPr="00C25255" w:rsidRDefault="00E83D45" w:rsidP="00996C0A">
            <w:pPr>
              <w:pStyle w:val="Agendaitem"/>
            </w:pPr>
          </w:p>
        </w:tc>
      </w:tr>
    </w:tbl>
    <w:p w:rsidR="00EC607E" w:rsidRPr="00C25255" w:rsidRDefault="00EC607E"/>
    <w:tbl>
      <w:tblPr>
        <w:tblW w:w="5089" w:type="pct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C25255" w:rsidTr="00193AD1">
        <w:trPr>
          <w:cantSplit/>
        </w:trPr>
        <w:tc>
          <w:tcPr>
            <w:tcW w:w="1560" w:type="dxa"/>
          </w:tcPr>
          <w:p w:rsidR="006B0F54" w:rsidRPr="00C25255" w:rsidRDefault="006B0F54" w:rsidP="00EF05A8">
            <w:r w:rsidRPr="00C25255">
              <w:rPr>
                <w:b/>
                <w:bCs/>
              </w:rPr>
              <w:t>Resumen:</w:t>
            </w:r>
          </w:p>
        </w:tc>
        <w:tc>
          <w:tcPr>
            <w:tcW w:w="8251" w:type="dxa"/>
          </w:tcPr>
          <w:sdt>
            <w:sdtPr>
              <w:alias w:val="Abstract"/>
              <w:tag w:val="Abstract"/>
              <w:id w:val="-939903723"/>
              <w:placeholder>
                <w:docPart w:val="46295EEC0E10457DA5ACD55DDA65957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EndPr/>
            <w:sdtContent>
              <w:p w:rsidR="006B0F54" w:rsidRPr="00C25255" w:rsidRDefault="00996C0A" w:rsidP="00EF05A8">
                <w:pPr>
                  <w:rPr>
                    <w:color w:val="000000" w:themeColor="text1"/>
                  </w:rPr>
                </w:pPr>
                <w:r w:rsidRPr="00C25255">
                  <w:t xml:space="preserve">En la presente contribución, los Estados Miembros africanos proponen un nuevo proyecto de </w:t>
                </w:r>
                <w:r w:rsidR="00E4153B" w:rsidRPr="00C25255">
                  <w:t xml:space="preserve">Resolución </w:t>
                </w:r>
                <w:r w:rsidRPr="00C25255">
                  <w:t>sobre los estudios realizados por el UIT-T con miras al seguimiento y la evaluación de la aplicación de las Resoluciones de la AMNT.</w:t>
                </w:r>
              </w:p>
            </w:sdtContent>
          </w:sdt>
        </w:tc>
      </w:tr>
    </w:tbl>
    <w:p w:rsidR="00B87042" w:rsidRPr="00C25255" w:rsidRDefault="00B87042" w:rsidP="00557849">
      <w:pPr>
        <w:pStyle w:val="Heading1"/>
      </w:pPr>
      <w:r w:rsidRPr="00C25255">
        <w:t>1</w:t>
      </w:r>
      <w:r w:rsidRPr="00C25255">
        <w:tab/>
      </w:r>
      <w:bookmarkStart w:id="0" w:name="lt_pId013"/>
      <w:r w:rsidRPr="00C25255">
        <w:t>Introdu</w:t>
      </w:r>
      <w:bookmarkEnd w:id="0"/>
      <w:r w:rsidR="00996C0A" w:rsidRPr="00C25255">
        <w:t>cción</w:t>
      </w:r>
    </w:p>
    <w:p w:rsidR="00B87042" w:rsidRPr="00C25255" w:rsidRDefault="00996C0A" w:rsidP="00827AAB">
      <w:bookmarkStart w:id="1" w:name="lt_pId014"/>
      <w:r w:rsidRPr="00C25255">
        <w:t>La Conferencia Mundial de Telecomunicaciones Internacionales de 2012 (CMTI-12)</w:t>
      </w:r>
      <w:r w:rsidR="0070310D" w:rsidRPr="00C25255">
        <w:t>, celebrada en Dubái,</w:t>
      </w:r>
      <w:r w:rsidRPr="00C25255">
        <w:t xml:space="preserve"> adoptó el Reglamento de las Telecomunicaciones Internacionales (RTI). </w:t>
      </w:r>
      <w:r w:rsidR="00647DD4" w:rsidRPr="00C25255">
        <w:t xml:space="preserve">Sin embargo, habida cuenta de </w:t>
      </w:r>
      <w:r w:rsidRPr="00C25255">
        <w:t>la divergencia de opiniones</w:t>
      </w:r>
      <w:r w:rsidR="0070310D" w:rsidRPr="00C25255">
        <w:t xml:space="preserve"> que</w:t>
      </w:r>
      <w:r w:rsidR="00794855" w:rsidRPr="00C25255">
        <w:t xml:space="preserve"> suscitó</w:t>
      </w:r>
      <w:r w:rsidR="0070310D" w:rsidRPr="00C25255">
        <w:t xml:space="preserve"> </w:t>
      </w:r>
      <w:r w:rsidR="00827AAB" w:rsidRPr="00C25255">
        <w:t>este instrumento</w:t>
      </w:r>
      <w:r w:rsidRPr="00C25255">
        <w:t>, se</w:t>
      </w:r>
      <w:r w:rsidR="0070310D" w:rsidRPr="00C25255">
        <w:t xml:space="preserve"> </w:t>
      </w:r>
      <w:r w:rsidR="00827AAB" w:rsidRPr="00C25255">
        <w:t>pensó</w:t>
      </w:r>
      <w:r w:rsidR="0070310D" w:rsidRPr="00C25255">
        <w:t xml:space="preserve"> que </w:t>
      </w:r>
      <w:r w:rsidR="00827AAB" w:rsidRPr="00C25255">
        <w:t>su</w:t>
      </w:r>
      <w:r w:rsidR="0070310D" w:rsidRPr="00C25255">
        <w:t xml:space="preserve"> examen</w:t>
      </w:r>
      <w:r w:rsidRPr="00C25255">
        <w:t xml:space="preserve"> </w:t>
      </w:r>
      <w:r w:rsidR="0070310D" w:rsidRPr="00C25255">
        <w:t>podría verse enriquecido si se solicitaba a</w:t>
      </w:r>
      <w:r w:rsidRPr="00C25255">
        <w:t xml:space="preserve"> los miembros del UIT-T que formulasen observaciones al respecto.</w:t>
      </w:r>
      <w:bookmarkEnd w:id="1"/>
    </w:p>
    <w:p w:rsidR="00B87042" w:rsidRPr="00C25255" w:rsidRDefault="00B87042" w:rsidP="00557849">
      <w:pPr>
        <w:pStyle w:val="Heading1"/>
      </w:pPr>
      <w:r w:rsidRPr="00C25255">
        <w:t>2</w:t>
      </w:r>
      <w:r w:rsidRPr="00C25255">
        <w:tab/>
      </w:r>
      <w:r w:rsidR="00996C0A" w:rsidRPr="00C25255">
        <w:t>Desafíos</w:t>
      </w:r>
    </w:p>
    <w:p w:rsidR="00B87042" w:rsidRPr="00C25255" w:rsidRDefault="00647DD4" w:rsidP="00647DD4">
      <w:bookmarkStart w:id="2" w:name="lt_pId018"/>
      <w:r w:rsidRPr="00C25255">
        <w:t>El</w:t>
      </w:r>
      <w:r w:rsidR="00EF05A8" w:rsidRPr="00C25255">
        <w:t xml:space="preserve"> RTI es un instrumento</w:t>
      </w:r>
      <w:r w:rsidRPr="00C25255">
        <w:t xml:space="preserve"> adecuado</w:t>
      </w:r>
      <w:r w:rsidR="00EF05A8" w:rsidRPr="00C25255">
        <w:t xml:space="preserve"> para regir las relaciones entre los Estados Miembros y las telecomunicaciones internacionales. </w:t>
      </w:r>
      <w:r w:rsidRPr="00C25255">
        <w:t xml:space="preserve">No obstante, su puesta en práctica requiere de </w:t>
      </w:r>
      <w:r w:rsidR="00EF05A8" w:rsidRPr="00C25255">
        <w:t>un consenso relativo a</w:t>
      </w:r>
      <w:r w:rsidRPr="00C25255">
        <w:t>l importante papel que desempeña en la promoción del</w:t>
      </w:r>
      <w:r w:rsidR="00EF05A8" w:rsidRPr="00C25255">
        <w:t xml:space="preserve"> crecimiento armonizado de las telecomunicaciones en todas las regiones del mundo, ya sean desarrolladas o en desarrollo. </w:t>
      </w:r>
      <w:r w:rsidR="00C74D61" w:rsidRPr="00C25255">
        <w:t xml:space="preserve">La creación del Grupo de Expertos sobre el RTI (GE-RTI) brinda una excelente oportunidad </w:t>
      </w:r>
      <w:r w:rsidR="00EF05A8" w:rsidRPr="00C25255">
        <w:t>para que las principales partes implicadas, l</w:t>
      </w:r>
      <w:r w:rsidR="00C74D61" w:rsidRPr="00C25255">
        <w:t xml:space="preserve">as Comisiones de Estudio </w:t>
      </w:r>
      <w:r w:rsidR="00EF05A8" w:rsidRPr="00C25255">
        <w:t xml:space="preserve">del UIT-T, </w:t>
      </w:r>
      <w:r w:rsidR="00C74D61" w:rsidRPr="00C25255">
        <w:t xml:space="preserve">participen </w:t>
      </w:r>
      <w:r w:rsidR="00EF05A8" w:rsidRPr="00C25255">
        <w:t xml:space="preserve">en el proceso </w:t>
      </w:r>
      <w:r w:rsidRPr="00C25255">
        <w:t>encaminado a</w:t>
      </w:r>
      <w:r w:rsidR="00C74D61" w:rsidRPr="00C25255">
        <w:t>l</w:t>
      </w:r>
      <w:r w:rsidR="00EF05A8" w:rsidRPr="00C25255">
        <w:t xml:space="preserve"> posible</w:t>
      </w:r>
      <w:r w:rsidR="00C74D61" w:rsidRPr="00C25255">
        <w:t xml:space="preserve"> exame</w:t>
      </w:r>
      <w:r w:rsidR="00EF05A8" w:rsidRPr="00C25255">
        <w:t xml:space="preserve">n del RTI </w:t>
      </w:r>
      <w:r w:rsidR="004D5740" w:rsidRPr="00C25255">
        <w:t>y</w:t>
      </w:r>
      <w:r w:rsidR="00EF05A8" w:rsidRPr="00C25255">
        <w:t xml:space="preserve"> consider</w:t>
      </w:r>
      <w:r w:rsidR="004D5740" w:rsidRPr="00C25255">
        <w:t>en</w:t>
      </w:r>
      <w:r w:rsidR="00EF05A8" w:rsidRPr="00C25255">
        <w:t xml:space="preserve"> la</w:t>
      </w:r>
      <w:r w:rsidR="004D5740" w:rsidRPr="00C25255">
        <w:t xml:space="preserve"> necesaria</w:t>
      </w:r>
      <w:r w:rsidRPr="00C25255">
        <w:t xml:space="preserve"> adaptación</w:t>
      </w:r>
      <w:r w:rsidR="00EF05A8" w:rsidRPr="00C25255">
        <w:t xml:space="preserve"> de sus mandatos</w:t>
      </w:r>
      <w:r w:rsidRPr="00C25255">
        <w:t xml:space="preserve"> a</w:t>
      </w:r>
      <w:r w:rsidR="00EF05A8" w:rsidRPr="00C25255">
        <w:t>l RTI</w:t>
      </w:r>
      <w:r w:rsidR="004D5740" w:rsidRPr="00C25255">
        <w:t xml:space="preserve"> de</w:t>
      </w:r>
      <w:r w:rsidR="00EF05A8" w:rsidRPr="00C25255">
        <w:t xml:space="preserve"> 2012.</w:t>
      </w:r>
      <w:bookmarkEnd w:id="2"/>
    </w:p>
    <w:p w:rsidR="00B87042" w:rsidRPr="00C25255" w:rsidRDefault="00B87042" w:rsidP="00EE1A50">
      <w:pPr>
        <w:pStyle w:val="Heading1"/>
      </w:pPr>
      <w:r w:rsidRPr="00C25255">
        <w:lastRenderedPageBreak/>
        <w:t>3</w:t>
      </w:r>
      <w:r w:rsidRPr="00C25255">
        <w:tab/>
      </w:r>
      <w:r w:rsidR="004D5740" w:rsidRPr="00C25255">
        <w:t>Conclusiones y propuestas relativas a un nuevo proyecto de Resolución</w:t>
      </w:r>
    </w:p>
    <w:p w:rsidR="00B87042" w:rsidRPr="00C25255" w:rsidRDefault="004D5740" w:rsidP="003348FD">
      <w:bookmarkStart w:id="3" w:name="lt_pId023"/>
      <w:r w:rsidRPr="00C25255">
        <w:t xml:space="preserve">Se propone que la AMNT adopte una nueva Resolución con objeto de que las Comisiones de Estudio del UIT-T participen en las actividades del GE-RTI, formulando </w:t>
      </w:r>
      <w:r w:rsidR="003348FD" w:rsidRPr="00C25255">
        <w:t>propuestas</w:t>
      </w:r>
      <w:r w:rsidRPr="00C25255">
        <w:t xml:space="preserve"> basadas en sus puntos de vista sobre las repercusiones del RTI en sus mandatos. Se insta a los Estados Miembros y Miembros de Sector a</w:t>
      </w:r>
      <w:r w:rsidR="003348FD" w:rsidRPr="00C25255">
        <w:t xml:space="preserve"> que</w:t>
      </w:r>
      <w:r w:rsidRPr="00C25255">
        <w:t xml:space="preserve"> particip</w:t>
      </w:r>
      <w:r w:rsidR="003348FD" w:rsidRPr="00C25255">
        <w:t>en</w:t>
      </w:r>
      <w:r w:rsidRPr="00C25255">
        <w:t xml:space="preserve"> en estas actividades.</w:t>
      </w:r>
      <w:bookmarkEnd w:id="3"/>
    </w:p>
    <w:p w:rsidR="00973AAE" w:rsidRDefault="00973AAE" w:rsidP="001118A4">
      <w:r>
        <w:br w:type="page"/>
      </w:r>
    </w:p>
    <w:p w:rsidR="007F35EA" w:rsidRPr="00C25255" w:rsidRDefault="006A2A32" w:rsidP="00D81D4D">
      <w:pPr>
        <w:pStyle w:val="Proposal"/>
      </w:pPr>
      <w:r w:rsidRPr="00C25255">
        <w:t>ADD</w:t>
      </w:r>
      <w:r w:rsidRPr="00C25255">
        <w:tab/>
        <w:t>AFCP/42A15/1</w:t>
      </w:r>
    </w:p>
    <w:p w:rsidR="007F35EA" w:rsidRPr="00C25255" w:rsidRDefault="006A2A32" w:rsidP="00D81D4D">
      <w:pPr>
        <w:pStyle w:val="ResNo"/>
      </w:pPr>
      <w:r w:rsidRPr="00C25255">
        <w:t>PROYECTO DE NUEVA RESOLUCIÓN [AFCP-4]</w:t>
      </w:r>
    </w:p>
    <w:p w:rsidR="00B87042" w:rsidRPr="00C25255" w:rsidRDefault="004D5740" w:rsidP="004B50D5">
      <w:pPr>
        <w:pStyle w:val="Restitle"/>
      </w:pPr>
      <w:r w:rsidRPr="00C25255">
        <w:t xml:space="preserve">Participación del Sector de Normalización de las Telecomunicaciones </w:t>
      </w:r>
      <w:r w:rsidR="004B50D5" w:rsidRPr="00C25255">
        <w:br/>
      </w:r>
      <w:r w:rsidRPr="00C25255">
        <w:t xml:space="preserve">en el examen y la revisión periódicos del Reglamento </w:t>
      </w:r>
      <w:r w:rsidR="004B50D5" w:rsidRPr="00C25255">
        <w:br/>
      </w:r>
      <w:r w:rsidRPr="00C25255">
        <w:t>de las Telecomunicaciones Internacionales</w:t>
      </w:r>
    </w:p>
    <w:p w:rsidR="00B87042" w:rsidRPr="00C25255" w:rsidRDefault="00B87042" w:rsidP="00BE1D54">
      <w:pPr>
        <w:pStyle w:val="Resref"/>
      </w:pPr>
      <w:bookmarkStart w:id="4" w:name="lt_pId029"/>
      <w:r w:rsidRPr="00C25255">
        <w:t>(Hammamet, 2016)</w:t>
      </w:r>
      <w:bookmarkEnd w:id="4"/>
    </w:p>
    <w:p w:rsidR="00B87042" w:rsidRPr="00C25255" w:rsidRDefault="004D5740" w:rsidP="00755FDE">
      <w:pPr>
        <w:pStyle w:val="Normalaftertitle"/>
      </w:pPr>
      <w:bookmarkStart w:id="5" w:name="lt_pId030"/>
      <w:r w:rsidRPr="00C25255">
        <w:t>La Asamblea Mundial de Normalización de las Telecomunicaciones (Hammamet, 2016),</w:t>
      </w:r>
      <w:bookmarkEnd w:id="5"/>
    </w:p>
    <w:p w:rsidR="00B87042" w:rsidRPr="00C25255" w:rsidRDefault="004D5740" w:rsidP="00D81D4D">
      <w:pPr>
        <w:pStyle w:val="Call"/>
      </w:pPr>
      <w:r w:rsidRPr="00C25255">
        <w:t>recordando</w:t>
      </w:r>
    </w:p>
    <w:p w:rsidR="00D81D4D" w:rsidRPr="00C25255" w:rsidRDefault="00D81D4D" w:rsidP="00D81D4D">
      <w:r w:rsidRPr="00C25255">
        <w:rPr>
          <w:i/>
        </w:rPr>
        <w:t>a)</w:t>
      </w:r>
      <w:r w:rsidRPr="00C25255">
        <w:tab/>
        <w:t>el Artículo 25 de la Constitución de la UIT sobre las Conferencias Mundiales de Telecomunicaciones Internacionales (CMTI);</w:t>
      </w:r>
    </w:p>
    <w:p w:rsidR="00D81D4D" w:rsidRPr="00C25255" w:rsidRDefault="00D81D4D" w:rsidP="00D81D4D">
      <w:r w:rsidRPr="00C25255">
        <w:rPr>
          <w:i/>
        </w:rPr>
        <w:t>b)</w:t>
      </w:r>
      <w:r w:rsidRPr="00C25255">
        <w:tab/>
        <w:t>el número 48 del Artículo 3 del Convenio de la UIT sobre otras Conferencias y Asambleas;</w:t>
      </w:r>
    </w:p>
    <w:p w:rsidR="00B87042" w:rsidRPr="00C25255" w:rsidRDefault="00D81D4D" w:rsidP="00D81D4D">
      <w:r w:rsidRPr="00C25255">
        <w:rPr>
          <w:i/>
          <w:iCs/>
        </w:rPr>
        <w:t>c)</w:t>
      </w:r>
      <w:r w:rsidRPr="00C25255">
        <w:tab/>
        <w:t>l</w:t>
      </w:r>
      <w:r w:rsidR="006D5F46" w:rsidRPr="00C25255">
        <w:t xml:space="preserve">a Resolución 4 (Dubái, 2012) de la Conferencia Mundial de Telecomunicaciones Internacionales sobre </w:t>
      </w:r>
      <w:r w:rsidRPr="00C25255">
        <w:t>la revisión periódica del Reglamento de las Telecomunicaciones Internacionales;</w:t>
      </w:r>
    </w:p>
    <w:p w:rsidR="00B87042" w:rsidRPr="00C25255" w:rsidRDefault="00D81D4D" w:rsidP="003348FD">
      <w:r w:rsidRPr="00C25255">
        <w:rPr>
          <w:i/>
          <w:iCs/>
        </w:rPr>
        <w:t>d)</w:t>
      </w:r>
      <w:r w:rsidRPr="00C25255">
        <w:tab/>
        <w:t>que, de conformidad con la Resolución 146 (Rev. Busán, 2014) de la Conferencia de Plenipotenciarios</w:t>
      </w:r>
      <w:r w:rsidR="003348FD" w:rsidRPr="00C25255">
        <w:t xml:space="preserve"> sobre e</w:t>
      </w:r>
      <w:r w:rsidRPr="00C25255">
        <w:t xml:space="preserve">l examen periódico y </w:t>
      </w:r>
      <w:r w:rsidR="003348FD" w:rsidRPr="00C25255">
        <w:t xml:space="preserve">la </w:t>
      </w:r>
      <w:r w:rsidRPr="00C25255">
        <w:t>revisión del Reglamento de las Telecomunicaciones Internacionales, la mayor parte de la labor pertinente a dicho Reglamento está a cargo del Sector de Normalización de las Telecomunicaciones</w:t>
      </w:r>
      <w:r w:rsidR="009B2E1A" w:rsidRPr="00C25255">
        <w:t>;</w:t>
      </w:r>
    </w:p>
    <w:p w:rsidR="00D81D4D" w:rsidRPr="00C25255" w:rsidRDefault="00D81D4D" w:rsidP="00D81D4D">
      <w:r w:rsidRPr="00C25255">
        <w:rPr>
          <w:i/>
          <w:iCs/>
        </w:rPr>
        <w:t>e)</w:t>
      </w:r>
      <w:r w:rsidRPr="00C25255">
        <w:tab/>
        <w:t xml:space="preserve">la Resolución 1379 del Consejo, relativa al Grupo de </w:t>
      </w:r>
      <w:r w:rsidR="007D3284" w:rsidRPr="00C25255">
        <w:t xml:space="preserve">Expertos </w:t>
      </w:r>
      <w:r w:rsidRPr="00C25255">
        <w:t>sobre el Reglamento de las Telecomunicaciones Internacionales (GE-RTI),</w:t>
      </w:r>
    </w:p>
    <w:p w:rsidR="00B87042" w:rsidRPr="00C25255" w:rsidRDefault="00D81D4D" w:rsidP="00D81D4D">
      <w:pPr>
        <w:pStyle w:val="Call"/>
      </w:pPr>
      <w:r w:rsidRPr="00C25255">
        <w:t>teniendo en cuenta</w:t>
      </w:r>
    </w:p>
    <w:p w:rsidR="00D81D4D" w:rsidRPr="00C25255" w:rsidRDefault="00D81D4D" w:rsidP="00C933BB">
      <w:r w:rsidRPr="00C25255">
        <w:rPr>
          <w:i/>
        </w:rPr>
        <w:t>a)</w:t>
      </w:r>
      <w:r w:rsidRPr="00C25255">
        <w:tab/>
      </w:r>
      <w:r w:rsidR="00C933BB" w:rsidRPr="00C25255">
        <w:t xml:space="preserve">la posibilidad de que </w:t>
      </w:r>
      <w:r w:rsidRPr="00C25255">
        <w:t>las nuevas tecnologías</w:t>
      </w:r>
      <w:r w:rsidR="00C933BB" w:rsidRPr="00C25255">
        <w:t xml:space="preserve"> </w:t>
      </w:r>
      <w:r w:rsidRPr="00C25255">
        <w:t>no se ajust</w:t>
      </w:r>
      <w:r w:rsidR="00C933BB" w:rsidRPr="00C25255">
        <w:t>e</w:t>
      </w:r>
      <w:r w:rsidRPr="00C25255">
        <w:t>n a los requisitos de las sociedades, especialmente, de los países en desarrollo y menos</w:t>
      </w:r>
      <w:bookmarkStart w:id="6" w:name="lt_pId040"/>
      <w:r w:rsidR="00774EBF" w:rsidRPr="00C25255">
        <w:t xml:space="preserve"> adelantados;</w:t>
      </w:r>
    </w:p>
    <w:p w:rsidR="00D81D4D" w:rsidRPr="00C25255" w:rsidRDefault="00D81D4D" w:rsidP="00827AAB">
      <w:r w:rsidRPr="00C25255">
        <w:rPr>
          <w:i/>
        </w:rPr>
        <w:t>b)</w:t>
      </w:r>
      <w:r w:rsidRPr="00C25255">
        <w:tab/>
        <w:t>la creciente utilización de redes y aplicaciones basadas en protocolos de Internet, lo que otorga una importancia cada vez mayor a la ciberseguridad;</w:t>
      </w:r>
    </w:p>
    <w:p w:rsidR="00B87042" w:rsidRPr="00C25255" w:rsidRDefault="00D81D4D" w:rsidP="003348FD">
      <w:r w:rsidRPr="00C25255">
        <w:rPr>
          <w:i/>
        </w:rPr>
        <w:t>c)</w:t>
      </w:r>
      <w:r w:rsidRPr="00C25255">
        <w:tab/>
        <w:t>l</w:t>
      </w:r>
      <w:r w:rsidR="003348FD" w:rsidRPr="00C25255">
        <w:t>a tesis</w:t>
      </w:r>
      <w:r w:rsidRPr="00C25255">
        <w:t xml:space="preserve"> consens</w:t>
      </w:r>
      <w:r w:rsidR="003348FD" w:rsidRPr="00C25255">
        <w:t>uada de</w:t>
      </w:r>
      <w:r w:rsidRPr="00C25255">
        <w:t xml:space="preserve"> que el RTI debe adaptarse para responder a la rápida evolución de nuestro mundo</w:t>
      </w:r>
      <w:bookmarkEnd w:id="6"/>
      <w:r w:rsidR="00D727E5" w:rsidRPr="00C25255">
        <w:t>,</w:t>
      </w:r>
    </w:p>
    <w:p w:rsidR="00B87042" w:rsidRPr="00C25255" w:rsidRDefault="00D81D4D" w:rsidP="002F271B">
      <w:pPr>
        <w:pStyle w:val="Call"/>
      </w:pPr>
      <w:r w:rsidRPr="00C25255">
        <w:t>resuelve encargar al Director de la Oficina de Normalización de las Telecomunicaciones</w:t>
      </w:r>
      <w:r w:rsidR="00B87042" w:rsidRPr="00C25255">
        <w:t xml:space="preserve"> </w:t>
      </w:r>
    </w:p>
    <w:p w:rsidR="00B87042" w:rsidRPr="00C25255" w:rsidRDefault="006D5F46" w:rsidP="002F271B">
      <w:bookmarkStart w:id="7" w:name="lt_pId043"/>
      <w:r w:rsidRPr="00C25255">
        <w:t>1</w:t>
      </w:r>
      <w:r w:rsidRPr="00C25255">
        <w:tab/>
      </w:r>
      <w:r w:rsidR="001A7E74" w:rsidRPr="00C25255">
        <w:t xml:space="preserve">que </w:t>
      </w:r>
      <w:r w:rsidR="00BC2D63" w:rsidRPr="00C25255">
        <w:t xml:space="preserve">señale a la atención de las Comisiones de Estudio </w:t>
      </w:r>
      <w:r w:rsidR="001A7E74" w:rsidRPr="00C25255">
        <w:t xml:space="preserve">los artículos </w:t>
      </w:r>
      <w:r w:rsidR="00BC2D63" w:rsidRPr="00C25255">
        <w:t xml:space="preserve">del Reglamento de las Telecomunicaciones Internacionales de </w:t>
      </w:r>
      <w:r w:rsidR="001A7E74" w:rsidRPr="00C25255">
        <w:t>2012 que</w:t>
      </w:r>
      <w:r w:rsidR="00BC2D63" w:rsidRPr="00C25255">
        <w:t xml:space="preserve"> pueden repercutir en</w:t>
      </w:r>
      <w:r w:rsidR="001A7E74" w:rsidRPr="00C25255">
        <w:t xml:space="preserve"> sus mandatos o requerir la </w:t>
      </w:r>
      <w:r w:rsidR="00BC2D63" w:rsidRPr="00C25255">
        <w:t>elaboración</w:t>
      </w:r>
      <w:r w:rsidR="001A7E74" w:rsidRPr="00C25255">
        <w:t xml:space="preserve"> de nuevos mandatos</w:t>
      </w:r>
      <w:bookmarkEnd w:id="7"/>
      <w:r w:rsidR="0042356E" w:rsidRPr="00C25255">
        <w:t>;</w:t>
      </w:r>
    </w:p>
    <w:p w:rsidR="00B87042" w:rsidRPr="00C25255" w:rsidRDefault="006D5F46" w:rsidP="003F7B39">
      <w:bookmarkStart w:id="8" w:name="lt_pId044"/>
      <w:r w:rsidRPr="00C25255">
        <w:lastRenderedPageBreak/>
        <w:t>2</w:t>
      </w:r>
      <w:r w:rsidRPr="00C25255">
        <w:tab/>
      </w:r>
      <w:r w:rsidR="00BC2D63" w:rsidRPr="00C25255">
        <w:t>que solicite a las Comisiones de Estudio del UIT-T que examinen</w:t>
      </w:r>
      <w:r w:rsidR="003348FD" w:rsidRPr="00C25255">
        <w:t xml:space="preserve"> sus mandatos</w:t>
      </w:r>
      <w:r w:rsidR="00BC2D63" w:rsidRPr="00C25255">
        <w:t xml:space="preserve"> y propongan revisiones</w:t>
      </w:r>
      <w:r w:rsidR="003348FD" w:rsidRPr="00C25255">
        <w:t xml:space="preserve"> al respecto,</w:t>
      </w:r>
      <w:r w:rsidR="003F7B39" w:rsidRPr="00C25255">
        <w:t xml:space="preserve"> o planteen la elaboración de</w:t>
      </w:r>
      <w:r w:rsidR="00BC2D63" w:rsidRPr="00C25255">
        <w:t xml:space="preserve"> mandatos nuevos</w:t>
      </w:r>
      <w:r w:rsidR="003F7B39" w:rsidRPr="00C25255">
        <w:t xml:space="preserve">, </w:t>
      </w:r>
      <w:r w:rsidR="00BC2D63" w:rsidRPr="00C25255">
        <w:t>de conformidad con los artículos pertinentes del Reglamento de las Telecomunicaciones Internacionales de 2012</w:t>
      </w:r>
      <w:bookmarkEnd w:id="8"/>
      <w:r w:rsidR="00F60EB0" w:rsidRPr="00C25255">
        <w:t>;</w:t>
      </w:r>
    </w:p>
    <w:p w:rsidR="00B87042" w:rsidRPr="00C25255" w:rsidRDefault="006D5F46" w:rsidP="00E715DD">
      <w:pPr>
        <w:keepNext/>
        <w:keepLines/>
      </w:pPr>
      <w:bookmarkStart w:id="9" w:name="lt_pId045"/>
      <w:r w:rsidRPr="00C25255">
        <w:t>3</w:t>
      </w:r>
      <w:r w:rsidRPr="00C25255">
        <w:tab/>
      </w:r>
      <w:r w:rsidR="00BC2D63" w:rsidRPr="00C25255">
        <w:t xml:space="preserve">que someta las propuestas de las Comisiones de Estudio </w:t>
      </w:r>
      <w:r w:rsidR="003F7B39" w:rsidRPr="00C25255">
        <w:t>en relación</w:t>
      </w:r>
      <w:r w:rsidR="00BC2D63" w:rsidRPr="00C25255">
        <w:t xml:space="preserve"> con el Reglamento de las Telecomunicaciones Internacionales</w:t>
      </w:r>
      <w:r w:rsidR="003F7B39" w:rsidRPr="00C25255">
        <w:t xml:space="preserve"> </w:t>
      </w:r>
      <w:r w:rsidR="00BC2D63" w:rsidRPr="00C25255">
        <w:t>directamente al GE-RTI en su próxima reunión</w:t>
      </w:r>
      <w:r w:rsidR="003F7B39" w:rsidRPr="00C25255">
        <w:t>,</w:t>
      </w:r>
      <w:r w:rsidR="00BC2D63" w:rsidRPr="00C25255">
        <w:t xml:space="preserve"> si el Grupo Asesor de Normalización de las Telecomunicaciones no se reúne antes de </w:t>
      </w:r>
      <w:r w:rsidR="003F7B39" w:rsidRPr="00C25255">
        <w:t xml:space="preserve">que </w:t>
      </w:r>
      <w:r w:rsidR="00BC2D63" w:rsidRPr="00C25255">
        <w:t>el GE-RTI</w:t>
      </w:r>
      <w:r w:rsidR="003F7B39" w:rsidRPr="00C25255">
        <w:t xml:space="preserve"> celebre su reunión final</w:t>
      </w:r>
      <w:bookmarkEnd w:id="9"/>
      <w:r w:rsidR="004117AA" w:rsidRPr="00C25255">
        <w:t>,</w:t>
      </w:r>
      <w:bookmarkStart w:id="10" w:name="_GoBack"/>
      <w:bookmarkEnd w:id="10"/>
    </w:p>
    <w:p w:rsidR="00B87042" w:rsidRPr="00C25255" w:rsidRDefault="00BC2D63" w:rsidP="003F7B39">
      <w:pPr>
        <w:pStyle w:val="Call"/>
      </w:pPr>
      <w:r w:rsidRPr="00C25255">
        <w:t>encarga al Grupo Asesor de Normalización de las Telecomunicaciones</w:t>
      </w:r>
    </w:p>
    <w:p w:rsidR="00B87042" w:rsidRPr="00C25255" w:rsidRDefault="006D5F46" w:rsidP="002F271B">
      <w:bookmarkStart w:id="11" w:name="lt_pId047"/>
      <w:r w:rsidRPr="00C25255">
        <w:t>1</w:t>
      </w:r>
      <w:r w:rsidRPr="00C25255">
        <w:tab/>
      </w:r>
      <w:r w:rsidR="00BC2D63" w:rsidRPr="00C25255">
        <w:t>que examine las propuestas de las Comisiones de Estudio en relación con el Reglamento de las Telecomunicaciones Internacionales de 2012</w:t>
      </w:r>
      <w:bookmarkEnd w:id="11"/>
      <w:r w:rsidR="005028F2" w:rsidRPr="00C25255">
        <w:t>;</w:t>
      </w:r>
    </w:p>
    <w:p w:rsidR="00B87042" w:rsidRPr="00C25255" w:rsidRDefault="006D5F46" w:rsidP="002F271B">
      <w:bookmarkStart w:id="12" w:name="lt_pId048"/>
      <w:r w:rsidRPr="00C25255">
        <w:t>2</w:t>
      </w:r>
      <w:r w:rsidRPr="00C25255">
        <w:tab/>
      </w:r>
      <w:r w:rsidR="00BC2D63" w:rsidRPr="00C25255">
        <w:t>que someta a la consideración del GE-RTI sus recomendaciones con respecto al RTI</w:t>
      </w:r>
      <w:bookmarkEnd w:id="12"/>
      <w:r w:rsidR="005028F2" w:rsidRPr="00C25255">
        <w:t>,</w:t>
      </w:r>
    </w:p>
    <w:p w:rsidR="00B87042" w:rsidRPr="00C25255" w:rsidRDefault="00BC2D63" w:rsidP="003F7B39">
      <w:pPr>
        <w:pStyle w:val="Call"/>
      </w:pPr>
      <w:r w:rsidRPr="00C25255">
        <w:t>encarga a las Comisiones de Estudio del Sector de Normalización de las Telecomunicaciones</w:t>
      </w:r>
    </w:p>
    <w:p w:rsidR="00B87042" w:rsidRPr="00C25255" w:rsidRDefault="002F271B" w:rsidP="002F271B">
      <w:bookmarkStart w:id="13" w:name="lt_pId050"/>
      <w:r w:rsidRPr="00C25255">
        <w:t>que participen en los trabajos relacionados con el RTI, de conformidad con sus mandatos, y presenten propuestas a la reunión del Grupo Asesor de Normalización de las Telecomunicaciones</w:t>
      </w:r>
      <w:bookmarkEnd w:id="13"/>
      <w:r w:rsidR="00521CF2" w:rsidRPr="00C25255">
        <w:t>,</w:t>
      </w:r>
    </w:p>
    <w:p w:rsidR="00B87042" w:rsidRPr="00C25255" w:rsidRDefault="002F271B" w:rsidP="002F271B">
      <w:pPr>
        <w:pStyle w:val="Call"/>
      </w:pPr>
      <w:r w:rsidRPr="00C25255">
        <w:t>invita a los Estados Miembros y Miembros de Sector</w:t>
      </w:r>
    </w:p>
    <w:p w:rsidR="007F35EA" w:rsidRPr="00C25255" w:rsidRDefault="003F7B39" w:rsidP="003F7B39">
      <w:bookmarkStart w:id="14" w:name="lt_pId052"/>
      <w:r w:rsidRPr="00C25255">
        <w:t xml:space="preserve">a realizar contribuciones al respecto y a </w:t>
      </w:r>
      <w:r w:rsidR="002F271B" w:rsidRPr="00C25255">
        <w:t>participar en las actividades de las Comisiones de Estudio relacionadas con el examen del Reglamento de las Telecomunicaciones Internacionales</w:t>
      </w:r>
      <w:r w:rsidR="00B87042" w:rsidRPr="00C25255">
        <w:t>.</w:t>
      </w:r>
      <w:bookmarkEnd w:id="14"/>
    </w:p>
    <w:p w:rsidR="004E14F7" w:rsidRPr="00C25255" w:rsidRDefault="004E14F7" w:rsidP="0032202E">
      <w:pPr>
        <w:pStyle w:val="Reasons"/>
      </w:pPr>
    </w:p>
    <w:p w:rsidR="004E14F7" w:rsidRPr="00C25255" w:rsidRDefault="004E14F7">
      <w:pPr>
        <w:jc w:val="center"/>
      </w:pPr>
      <w:r w:rsidRPr="00C25255">
        <w:t>______________</w:t>
      </w:r>
    </w:p>
    <w:sectPr w:rsidR="004E14F7" w:rsidRPr="00C2525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E4153B" w:rsidRDefault="0077084A">
    <w:pPr>
      <w:ind w:right="360"/>
      <w:rPr>
        <w:lang w:val="fr-CH"/>
      </w:rPr>
    </w:pPr>
    <w:r>
      <w:fldChar w:fldCharType="begin"/>
    </w:r>
    <w:r w:rsidRPr="00E4153B">
      <w:rPr>
        <w:lang w:val="fr-CH"/>
      </w:rPr>
      <w:instrText xml:space="preserve"> FILENAME \p  \* MERGEFORMAT </w:instrText>
    </w:r>
    <w:r>
      <w:fldChar w:fldCharType="separate"/>
    </w:r>
    <w:r w:rsidR="00E4153B">
      <w:rPr>
        <w:noProof/>
        <w:lang w:val="fr-CH"/>
      </w:rPr>
      <w:t>P:\ESP\ITU-T\CONF-T\WTSA16\000\042ADD15S.docx</w:t>
    </w:r>
    <w:r>
      <w:fldChar w:fldCharType="end"/>
    </w:r>
    <w:r w:rsidRPr="00E4153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153B">
      <w:rPr>
        <w:noProof/>
      </w:rPr>
      <w:t>14.10.16</w:t>
    </w:r>
    <w:r>
      <w:fldChar w:fldCharType="end"/>
    </w:r>
    <w:r w:rsidRPr="00E4153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153B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0F" w:rsidRPr="004C535F" w:rsidRDefault="00F06D0F" w:rsidP="00F06D0F">
    <w:pPr>
      <w:pStyle w:val="Footer"/>
      <w:rPr>
        <w:lang w:val="fr-CH"/>
      </w:rPr>
    </w:pPr>
    <w:r>
      <w:fldChar w:fldCharType="begin"/>
    </w:r>
    <w:r w:rsidRPr="004C535F">
      <w:rPr>
        <w:lang w:val="fr-CH"/>
      </w:rPr>
      <w:instrText xml:space="preserve"> FILENAME \p  \* MERGEFORMAT </w:instrText>
    </w:r>
    <w:r>
      <w:fldChar w:fldCharType="separate"/>
    </w:r>
    <w:r w:rsidR="00E4153B">
      <w:rPr>
        <w:lang w:val="fr-CH"/>
      </w:rPr>
      <w:t>P:\ESP\ITU-T\CONF-T\WTSA16\000\042ADD15S.docx</w:t>
    </w:r>
    <w:r>
      <w:fldChar w:fldCharType="end"/>
    </w:r>
    <w:r w:rsidRPr="004C535F">
      <w:rPr>
        <w:lang w:val="fr-CH"/>
      </w:rPr>
      <w:t xml:space="preserve"> (406498)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4C535F" w:rsidRDefault="006A2A32" w:rsidP="00A12632">
    <w:pPr>
      <w:pStyle w:val="Footer"/>
      <w:rPr>
        <w:lang w:val="fr-CH"/>
      </w:rPr>
    </w:pPr>
    <w:r>
      <w:fldChar w:fldCharType="begin"/>
    </w:r>
    <w:r w:rsidRPr="004C535F">
      <w:rPr>
        <w:lang w:val="fr-CH"/>
      </w:rPr>
      <w:instrText xml:space="preserve"> FILENAME \p  \* MERGEFORMAT </w:instrText>
    </w:r>
    <w:r>
      <w:fldChar w:fldCharType="separate"/>
    </w:r>
    <w:r w:rsidR="00E4153B">
      <w:rPr>
        <w:lang w:val="fr-CH"/>
      </w:rPr>
      <w:t>P:\ESP\ITU-T\CONF-T\WTSA16\000\042ADD15S.docx</w:t>
    </w:r>
    <w:r>
      <w:fldChar w:fldCharType="end"/>
    </w:r>
    <w:r w:rsidR="00F06D0F" w:rsidRPr="004C535F">
      <w:rPr>
        <w:lang w:val="fr-CH"/>
      </w:rPr>
      <w:t xml:space="preserve"> (406498)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715DD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16/42(Add.15)-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1E5B32FE"/>
    <w:multiLevelType w:val="hybridMultilevel"/>
    <w:tmpl w:val="E59E7D88"/>
    <w:lvl w:ilvl="0" w:tplc="7CEE4F72">
      <w:start w:val="1"/>
      <w:numFmt w:val="decimal"/>
      <w:lvlText w:val="%1."/>
      <w:lvlJc w:val="left"/>
      <w:pPr>
        <w:ind w:left="360" w:hanging="360"/>
      </w:pPr>
    </w:lvl>
    <w:lvl w:ilvl="1" w:tplc="197626C4" w:tentative="1">
      <w:start w:val="1"/>
      <w:numFmt w:val="lowerLetter"/>
      <w:lvlText w:val="%2."/>
      <w:lvlJc w:val="left"/>
      <w:pPr>
        <w:ind w:left="1080" w:hanging="360"/>
      </w:pPr>
    </w:lvl>
    <w:lvl w:ilvl="2" w:tplc="9E8CCA96" w:tentative="1">
      <w:start w:val="1"/>
      <w:numFmt w:val="lowerRoman"/>
      <w:lvlText w:val="%3."/>
      <w:lvlJc w:val="right"/>
      <w:pPr>
        <w:ind w:left="1800" w:hanging="180"/>
      </w:pPr>
    </w:lvl>
    <w:lvl w:ilvl="3" w:tplc="6748D156" w:tentative="1">
      <w:start w:val="1"/>
      <w:numFmt w:val="decimal"/>
      <w:lvlText w:val="%4."/>
      <w:lvlJc w:val="left"/>
      <w:pPr>
        <w:ind w:left="2520" w:hanging="360"/>
      </w:pPr>
    </w:lvl>
    <w:lvl w:ilvl="4" w:tplc="5EBEFCF8" w:tentative="1">
      <w:start w:val="1"/>
      <w:numFmt w:val="lowerLetter"/>
      <w:lvlText w:val="%5."/>
      <w:lvlJc w:val="left"/>
      <w:pPr>
        <w:ind w:left="3240" w:hanging="360"/>
      </w:pPr>
    </w:lvl>
    <w:lvl w:ilvl="5" w:tplc="5BC63FCC" w:tentative="1">
      <w:start w:val="1"/>
      <w:numFmt w:val="lowerRoman"/>
      <w:lvlText w:val="%6."/>
      <w:lvlJc w:val="right"/>
      <w:pPr>
        <w:ind w:left="3960" w:hanging="180"/>
      </w:pPr>
    </w:lvl>
    <w:lvl w:ilvl="6" w:tplc="C254C1F8" w:tentative="1">
      <w:start w:val="1"/>
      <w:numFmt w:val="decimal"/>
      <w:lvlText w:val="%7."/>
      <w:lvlJc w:val="left"/>
      <w:pPr>
        <w:ind w:left="4680" w:hanging="360"/>
      </w:pPr>
    </w:lvl>
    <w:lvl w:ilvl="7" w:tplc="DC88F4E6" w:tentative="1">
      <w:start w:val="1"/>
      <w:numFmt w:val="lowerLetter"/>
      <w:lvlText w:val="%8."/>
      <w:lvlJc w:val="left"/>
      <w:pPr>
        <w:ind w:left="5400" w:hanging="360"/>
      </w:pPr>
    </w:lvl>
    <w:lvl w:ilvl="8" w:tplc="A748FE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33C07"/>
    <w:multiLevelType w:val="hybridMultilevel"/>
    <w:tmpl w:val="1700A5AA"/>
    <w:lvl w:ilvl="0" w:tplc="B608E72C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301AC7B2" w:tentative="1">
      <w:start w:val="1"/>
      <w:numFmt w:val="lowerLetter"/>
      <w:lvlText w:val="%2."/>
      <w:lvlJc w:val="left"/>
      <w:pPr>
        <w:ind w:left="1080" w:hanging="360"/>
      </w:pPr>
    </w:lvl>
    <w:lvl w:ilvl="2" w:tplc="AFFA8C4E" w:tentative="1">
      <w:start w:val="1"/>
      <w:numFmt w:val="lowerRoman"/>
      <w:lvlText w:val="%3."/>
      <w:lvlJc w:val="right"/>
      <w:pPr>
        <w:ind w:left="1800" w:hanging="180"/>
      </w:pPr>
    </w:lvl>
    <w:lvl w:ilvl="3" w:tplc="17428078" w:tentative="1">
      <w:start w:val="1"/>
      <w:numFmt w:val="decimal"/>
      <w:lvlText w:val="%4."/>
      <w:lvlJc w:val="left"/>
      <w:pPr>
        <w:ind w:left="2520" w:hanging="360"/>
      </w:pPr>
    </w:lvl>
    <w:lvl w:ilvl="4" w:tplc="194AB118" w:tentative="1">
      <w:start w:val="1"/>
      <w:numFmt w:val="lowerLetter"/>
      <w:lvlText w:val="%5."/>
      <w:lvlJc w:val="left"/>
      <w:pPr>
        <w:ind w:left="3240" w:hanging="360"/>
      </w:pPr>
    </w:lvl>
    <w:lvl w:ilvl="5" w:tplc="6954136C" w:tentative="1">
      <w:start w:val="1"/>
      <w:numFmt w:val="lowerRoman"/>
      <w:lvlText w:val="%6."/>
      <w:lvlJc w:val="right"/>
      <w:pPr>
        <w:ind w:left="3960" w:hanging="180"/>
      </w:pPr>
    </w:lvl>
    <w:lvl w:ilvl="6" w:tplc="8FAC6012" w:tentative="1">
      <w:start w:val="1"/>
      <w:numFmt w:val="decimal"/>
      <w:lvlText w:val="%7."/>
      <w:lvlJc w:val="left"/>
      <w:pPr>
        <w:ind w:left="4680" w:hanging="360"/>
      </w:pPr>
    </w:lvl>
    <w:lvl w:ilvl="7" w:tplc="1D522200" w:tentative="1">
      <w:start w:val="1"/>
      <w:numFmt w:val="lowerLetter"/>
      <w:lvlText w:val="%8."/>
      <w:lvlJc w:val="left"/>
      <w:pPr>
        <w:ind w:left="5400" w:hanging="360"/>
      </w:pPr>
    </w:lvl>
    <w:lvl w:ilvl="8" w:tplc="E53A92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60A86"/>
    <w:multiLevelType w:val="hybridMultilevel"/>
    <w:tmpl w:val="B4222286"/>
    <w:lvl w:ilvl="0" w:tplc="2880444E">
      <w:start w:val="1"/>
      <w:numFmt w:val="decimal"/>
      <w:lvlText w:val="%1."/>
      <w:lvlJc w:val="left"/>
      <w:pPr>
        <w:ind w:left="360" w:hanging="360"/>
      </w:pPr>
    </w:lvl>
    <w:lvl w:ilvl="1" w:tplc="D3061EB0" w:tentative="1">
      <w:start w:val="1"/>
      <w:numFmt w:val="lowerLetter"/>
      <w:lvlText w:val="%2."/>
      <w:lvlJc w:val="left"/>
      <w:pPr>
        <w:ind w:left="1080" w:hanging="360"/>
      </w:pPr>
    </w:lvl>
    <w:lvl w:ilvl="2" w:tplc="8946B582" w:tentative="1">
      <w:start w:val="1"/>
      <w:numFmt w:val="lowerRoman"/>
      <w:lvlText w:val="%3."/>
      <w:lvlJc w:val="right"/>
      <w:pPr>
        <w:ind w:left="1800" w:hanging="180"/>
      </w:pPr>
    </w:lvl>
    <w:lvl w:ilvl="3" w:tplc="CAEEBD66" w:tentative="1">
      <w:start w:val="1"/>
      <w:numFmt w:val="decimal"/>
      <w:lvlText w:val="%4."/>
      <w:lvlJc w:val="left"/>
      <w:pPr>
        <w:ind w:left="2520" w:hanging="360"/>
      </w:pPr>
    </w:lvl>
    <w:lvl w:ilvl="4" w:tplc="68585216" w:tentative="1">
      <w:start w:val="1"/>
      <w:numFmt w:val="lowerLetter"/>
      <w:lvlText w:val="%5."/>
      <w:lvlJc w:val="left"/>
      <w:pPr>
        <w:ind w:left="3240" w:hanging="360"/>
      </w:pPr>
    </w:lvl>
    <w:lvl w:ilvl="5" w:tplc="ADE8428C" w:tentative="1">
      <w:start w:val="1"/>
      <w:numFmt w:val="lowerRoman"/>
      <w:lvlText w:val="%6."/>
      <w:lvlJc w:val="right"/>
      <w:pPr>
        <w:ind w:left="3960" w:hanging="180"/>
      </w:pPr>
    </w:lvl>
    <w:lvl w:ilvl="6" w:tplc="5CE2C758" w:tentative="1">
      <w:start w:val="1"/>
      <w:numFmt w:val="decimal"/>
      <w:lvlText w:val="%7."/>
      <w:lvlJc w:val="left"/>
      <w:pPr>
        <w:ind w:left="4680" w:hanging="360"/>
      </w:pPr>
    </w:lvl>
    <w:lvl w:ilvl="7" w:tplc="2FD66BF0" w:tentative="1">
      <w:start w:val="1"/>
      <w:numFmt w:val="lowerLetter"/>
      <w:lvlText w:val="%8."/>
      <w:lvlJc w:val="left"/>
      <w:pPr>
        <w:ind w:left="5400" w:hanging="360"/>
      </w:pPr>
    </w:lvl>
    <w:lvl w:ilvl="8" w:tplc="442835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C163D3"/>
    <w:multiLevelType w:val="hybridMultilevel"/>
    <w:tmpl w:val="A7B6A54C"/>
    <w:lvl w:ilvl="0" w:tplc="3542A96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B58E8644" w:tentative="1">
      <w:start w:val="1"/>
      <w:numFmt w:val="lowerLetter"/>
      <w:lvlText w:val="%2."/>
      <w:lvlJc w:val="left"/>
      <w:pPr>
        <w:ind w:left="1080" w:hanging="360"/>
      </w:pPr>
    </w:lvl>
    <w:lvl w:ilvl="2" w:tplc="667AF290" w:tentative="1">
      <w:start w:val="1"/>
      <w:numFmt w:val="lowerRoman"/>
      <w:lvlText w:val="%3."/>
      <w:lvlJc w:val="right"/>
      <w:pPr>
        <w:ind w:left="1800" w:hanging="180"/>
      </w:pPr>
    </w:lvl>
    <w:lvl w:ilvl="3" w:tplc="01E85DA8" w:tentative="1">
      <w:start w:val="1"/>
      <w:numFmt w:val="decimal"/>
      <w:lvlText w:val="%4."/>
      <w:lvlJc w:val="left"/>
      <w:pPr>
        <w:ind w:left="2520" w:hanging="360"/>
      </w:pPr>
    </w:lvl>
    <w:lvl w:ilvl="4" w:tplc="91BC50D6" w:tentative="1">
      <w:start w:val="1"/>
      <w:numFmt w:val="lowerLetter"/>
      <w:lvlText w:val="%5."/>
      <w:lvlJc w:val="left"/>
      <w:pPr>
        <w:ind w:left="3240" w:hanging="360"/>
      </w:pPr>
    </w:lvl>
    <w:lvl w:ilvl="5" w:tplc="90BCFBF4" w:tentative="1">
      <w:start w:val="1"/>
      <w:numFmt w:val="lowerRoman"/>
      <w:lvlText w:val="%6."/>
      <w:lvlJc w:val="right"/>
      <w:pPr>
        <w:ind w:left="3960" w:hanging="180"/>
      </w:pPr>
    </w:lvl>
    <w:lvl w:ilvl="6" w:tplc="73307EB4" w:tentative="1">
      <w:start w:val="1"/>
      <w:numFmt w:val="decimal"/>
      <w:lvlText w:val="%7."/>
      <w:lvlJc w:val="left"/>
      <w:pPr>
        <w:ind w:left="4680" w:hanging="360"/>
      </w:pPr>
    </w:lvl>
    <w:lvl w:ilvl="7" w:tplc="25B05AB6" w:tentative="1">
      <w:start w:val="1"/>
      <w:numFmt w:val="lowerLetter"/>
      <w:lvlText w:val="%8."/>
      <w:lvlJc w:val="left"/>
      <w:pPr>
        <w:ind w:left="5400" w:hanging="360"/>
      </w:pPr>
    </w:lvl>
    <w:lvl w:ilvl="8" w:tplc="633098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71DEA"/>
    <w:rsid w:val="00087AE8"/>
    <w:rsid w:val="000A5B9A"/>
    <w:rsid w:val="000C7758"/>
    <w:rsid w:val="000E5BF9"/>
    <w:rsid w:val="000E5EE9"/>
    <w:rsid w:val="000F0E6D"/>
    <w:rsid w:val="001118A4"/>
    <w:rsid w:val="00120191"/>
    <w:rsid w:val="00121170"/>
    <w:rsid w:val="00123CC5"/>
    <w:rsid w:val="0015142D"/>
    <w:rsid w:val="001616DC"/>
    <w:rsid w:val="00163962"/>
    <w:rsid w:val="00191A97"/>
    <w:rsid w:val="001A083F"/>
    <w:rsid w:val="001A7E74"/>
    <w:rsid w:val="001B5D7A"/>
    <w:rsid w:val="001C2674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2F271B"/>
    <w:rsid w:val="003075FD"/>
    <w:rsid w:val="003237B0"/>
    <w:rsid w:val="003248A9"/>
    <w:rsid w:val="00324FFA"/>
    <w:rsid w:val="0032680B"/>
    <w:rsid w:val="003348FD"/>
    <w:rsid w:val="00353A4D"/>
    <w:rsid w:val="00363A65"/>
    <w:rsid w:val="00377EC9"/>
    <w:rsid w:val="003B1E8C"/>
    <w:rsid w:val="003C2508"/>
    <w:rsid w:val="003C2DDE"/>
    <w:rsid w:val="003D0AA3"/>
    <w:rsid w:val="003F7B39"/>
    <w:rsid w:val="004104AC"/>
    <w:rsid w:val="004117AA"/>
    <w:rsid w:val="0042356E"/>
    <w:rsid w:val="00454553"/>
    <w:rsid w:val="00476FB2"/>
    <w:rsid w:val="004A6B94"/>
    <w:rsid w:val="004B124A"/>
    <w:rsid w:val="004B1979"/>
    <w:rsid w:val="004B50D5"/>
    <w:rsid w:val="004B520A"/>
    <w:rsid w:val="004C3636"/>
    <w:rsid w:val="004C3A5A"/>
    <w:rsid w:val="004C535F"/>
    <w:rsid w:val="004D5740"/>
    <w:rsid w:val="004E14F7"/>
    <w:rsid w:val="005028F2"/>
    <w:rsid w:val="00521CF2"/>
    <w:rsid w:val="00523269"/>
    <w:rsid w:val="00532097"/>
    <w:rsid w:val="00532A53"/>
    <w:rsid w:val="00557849"/>
    <w:rsid w:val="00565A99"/>
    <w:rsid w:val="00566BEE"/>
    <w:rsid w:val="0058350F"/>
    <w:rsid w:val="005A374D"/>
    <w:rsid w:val="005A7855"/>
    <w:rsid w:val="005E782D"/>
    <w:rsid w:val="005F2605"/>
    <w:rsid w:val="00610116"/>
    <w:rsid w:val="006325DF"/>
    <w:rsid w:val="00647DD4"/>
    <w:rsid w:val="00662039"/>
    <w:rsid w:val="00662970"/>
    <w:rsid w:val="00662BA0"/>
    <w:rsid w:val="00665E2A"/>
    <w:rsid w:val="00681766"/>
    <w:rsid w:val="00692AAE"/>
    <w:rsid w:val="006A2A32"/>
    <w:rsid w:val="006B0F54"/>
    <w:rsid w:val="006D5F46"/>
    <w:rsid w:val="006D6E67"/>
    <w:rsid w:val="006E0078"/>
    <w:rsid w:val="006E1A13"/>
    <w:rsid w:val="006E76B9"/>
    <w:rsid w:val="00701C20"/>
    <w:rsid w:val="00702F3D"/>
    <w:rsid w:val="0070310D"/>
    <w:rsid w:val="0070518E"/>
    <w:rsid w:val="00734034"/>
    <w:rsid w:val="007354E9"/>
    <w:rsid w:val="00755FDE"/>
    <w:rsid w:val="00765578"/>
    <w:rsid w:val="0077084A"/>
    <w:rsid w:val="00774EBF"/>
    <w:rsid w:val="00786250"/>
    <w:rsid w:val="00790506"/>
    <w:rsid w:val="00794855"/>
    <w:rsid w:val="007952C7"/>
    <w:rsid w:val="007C2317"/>
    <w:rsid w:val="007C39FA"/>
    <w:rsid w:val="007D3284"/>
    <w:rsid w:val="007D330A"/>
    <w:rsid w:val="007E667F"/>
    <w:rsid w:val="007F35EA"/>
    <w:rsid w:val="00827AAB"/>
    <w:rsid w:val="00866AE6"/>
    <w:rsid w:val="00866BBD"/>
    <w:rsid w:val="00873B75"/>
    <w:rsid w:val="008750A8"/>
    <w:rsid w:val="008B5F55"/>
    <w:rsid w:val="008E35DA"/>
    <w:rsid w:val="008E4453"/>
    <w:rsid w:val="0090121B"/>
    <w:rsid w:val="00902EAE"/>
    <w:rsid w:val="00913F0C"/>
    <w:rsid w:val="009144C9"/>
    <w:rsid w:val="00916196"/>
    <w:rsid w:val="0094091F"/>
    <w:rsid w:val="00973754"/>
    <w:rsid w:val="00973AAE"/>
    <w:rsid w:val="0097673E"/>
    <w:rsid w:val="00990278"/>
    <w:rsid w:val="00996C0A"/>
    <w:rsid w:val="009A137D"/>
    <w:rsid w:val="009B2E1A"/>
    <w:rsid w:val="009C0BED"/>
    <w:rsid w:val="009E11EC"/>
    <w:rsid w:val="009F6A67"/>
    <w:rsid w:val="00A118DB"/>
    <w:rsid w:val="00A12632"/>
    <w:rsid w:val="00A24AC0"/>
    <w:rsid w:val="00A4450C"/>
    <w:rsid w:val="00AA5E6C"/>
    <w:rsid w:val="00AB4E90"/>
    <w:rsid w:val="00AD55C2"/>
    <w:rsid w:val="00AE5677"/>
    <w:rsid w:val="00AE658F"/>
    <w:rsid w:val="00AF2F78"/>
    <w:rsid w:val="00B07178"/>
    <w:rsid w:val="00B142E4"/>
    <w:rsid w:val="00B1727C"/>
    <w:rsid w:val="00B173B3"/>
    <w:rsid w:val="00B2325F"/>
    <w:rsid w:val="00B257B2"/>
    <w:rsid w:val="00B51263"/>
    <w:rsid w:val="00B52D55"/>
    <w:rsid w:val="00B61807"/>
    <w:rsid w:val="00B627DD"/>
    <w:rsid w:val="00B710C1"/>
    <w:rsid w:val="00B75455"/>
    <w:rsid w:val="00B8288C"/>
    <w:rsid w:val="00B87042"/>
    <w:rsid w:val="00BB6977"/>
    <w:rsid w:val="00BC2D63"/>
    <w:rsid w:val="00BD5FE4"/>
    <w:rsid w:val="00BE1D54"/>
    <w:rsid w:val="00BE2E80"/>
    <w:rsid w:val="00BE5EDD"/>
    <w:rsid w:val="00BE6A1F"/>
    <w:rsid w:val="00C126C4"/>
    <w:rsid w:val="00C25255"/>
    <w:rsid w:val="00C614DC"/>
    <w:rsid w:val="00C63EB5"/>
    <w:rsid w:val="00C66458"/>
    <w:rsid w:val="00C74D61"/>
    <w:rsid w:val="00C858D0"/>
    <w:rsid w:val="00C933BB"/>
    <w:rsid w:val="00CA1F40"/>
    <w:rsid w:val="00CB35C9"/>
    <w:rsid w:val="00CC01E0"/>
    <w:rsid w:val="00CD5FEE"/>
    <w:rsid w:val="00CD663E"/>
    <w:rsid w:val="00CE60D2"/>
    <w:rsid w:val="00D0288A"/>
    <w:rsid w:val="00D25FFD"/>
    <w:rsid w:val="00D56781"/>
    <w:rsid w:val="00D727E5"/>
    <w:rsid w:val="00D72A5D"/>
    <w:rsid w:val="00D74BDC"/>
    <w:rsid w:val="00D81D4D"/>
    <w:rsid w:val="00DC629B"/>
    <w:rsid w:val="00E01BA0"/>
    <w:rsid w:val="00E05BFF"/>
    <w:rsid w:val="00E21778"/>
    <w:rsid w:val="00E262F1"/>
    <w:rsid w:val="00E32BEE"/>
    <w:rsid w:val="00E333FA"/>
    <w:rsid w:val="00E4153B"/>
    <w:rsid w:val="00E47B44"/>
    <w:rsid w:val="00E715DD"/>
    <w:rsid w:val="00E71D14"/>
    <w:rsid w:val="00E8097C"/>
    <w:rsid w:val="00E83D45"/>
    <w:rsid w:val="00E94A4A"/>
    <w:rsid w:val="00EB1DDC"/>
    <w:rsid w:val="00EC607E"/>
    <w:rsid w:val="00EE1779"/>
    <w:rsid w:val="00EE1A50"/>
    <w:rsid w:val="00EF05A8"/>
    <w:rsid w:val="00EF0D6D"/>
    <w:rsid w:val="00F0220A"/>
    <w:rsid w:val="00F02C63"/>
    <w:rsid w:val="00F06D0F"/>
    <w:rsid w:val="00F247BB"/>
    <w:rsid w:val="00F26F4E"/>
    <w:rsid w:val="00F54E0E"/>
    <w:rsid w:val="00F606A0"/>
    <w:rsid w:val="00F60EB0"/>
    <w:rsid w:val="00F62AB3"/>
    <w:rsid w:val="00F63177"/>
    <w:rsid w:val="00F66597"/>
    <w:rsid w:val="00F7212F"/>
    <w:rsid w:val="00F7531E"/>
    <w:rsid w:val="00F8150C"/>
    <w:rsid w:val="00F81B7B"/>
    <w:rsid w:val="00FA560A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B87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D5F46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rsid w:val="00D81D4D"/>
    <w:rPr>
      <w:rFonts w:ascii="Times New Roman" w:hAnsi="Times New Roman"/>
      <w:i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827A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7AAB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8238c49-4f53-4113-af23-dc71d625bce5">Documents Proposals Manager (DPM)</DPM_x0020_Author>
    <DPM_x0020_File_x0020_name xmlns="a8238c49-4f53-4113-af23-dc71d625bce5">T13-WTSA.16-C-0042!A15!MSW-S</DPM_x0020_File_x0020_name>
    <DPM_x0020_Version xmlns="a8238c49-4f53-4113-af23-dc71d625bce5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8238c49-4f53-4113-af23-dc71d625bce5" targetNamespace="http://schemas.microsoft.com/office/2006/metadata/properties" ma:root="true" ma:fieldsID="d41af5c836d734370eb92e7ee5f83852" ns2:_="" ns3:_="">
    <xsd:import namespace="996b2e75-67fd-4955-a3b0-5ab9934cb50b"/>
    <xsd:import namespace="a8238c49-4f53-4113-af23-dc71d625bce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8c49-4f53-4113-af23-dc71d625bce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microsoft.com/office/2006/documentManagement/types"/>
    <ds:schemaRef ds:uri="a8238c49-4f53-4113-af23-dc71d625bce5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8238c49-4f53-4113-af23-dc71d625b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56EDE-16BC-41D2-825C-2E10254E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825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T13-WTSA.16-C-0042!A15!MSW-S</vt:lpstr>
    </vt:vector>
  </TitlesOfParts>
  <Manager>Secretaría General - Pool</Manager>
  <Company>International Telecommunication Union (ITU)</Company>
  <LinksUpToDate>false</LinksUpToDate>
  <CharactersWithSpaces>5563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T13-WTSA.16-C-0042!A15!MSW-S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Ricardo Sáez Grau</cp:lastModifiedBy>
  <cp:revision>53</cp:revision>
  <cp:lastPrinted>2016-10-14T07:33:00Z</cp:lastPrinted>
  <dcterms:created xsi:type="dcterms:W3CDTF">2016-10-14T07:25:00Z</dcterms:created>
  <dcterms:modified xsi:type="dcterms:W3CDTF">2016-10-14T07:47:00Z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