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A38CE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A38C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A38CE" w:rsidRDefault="0022345D" w:rsidP="004076DD">
            <w:pPr>
              <w:pStyle w:val="Adress"/>
              <w:framePr w:hSpace="0" w:wrap="auto" w:xAlign="left" w:yAlign="inline"/>
              <w:rPr>
                <w:rtl/>
              </w:rPr>
            </w:pPr>
            <w:r w:rsidRPr="003A38CE">
              <w:rPr>
                <w:rtl/>
              </w:rPr>
              <w:t xml:space="preserve">الإضافة </w:t>
            </w:r>
            <w:r w:rsidRPr="003A38CE">
              <w:t>13</w:t>
            </w:r>
            <w:r w:rsidRPr="003A38CE">
              <w:br/>
            </w:r>
            <w:r w:rsidRPr="003A38CE">
              <w:rPr>
                <w:rtl/>
              </w:rPr>
              <w:t xml:space="preserve">للوثيقة </w:t>
            </w:r>
            <w:r w:rsidRPr="003A38CE">
              <w:t>46-</w:t>
            </w:r>
            <w:r w:rsidR="003A38CE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A38C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A38C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3A38CE">
              <w:rPr>
                <w:rFonts w:eastAsia="SimSun"/>
              </w:rPr>
              <w:t>22</w:t>
            </w:r>
            <w:r w:rsidRPr="003A38CE">
              <w:rPr>
                <w:rFonts w:eastAsia="SimSun"/>
                <w:rtl/>
              </w:rPr>
              <w:t xml:space="preserve"> سبتمبر </w:t>
            </w:r>
            <w:r w:rsidRPr="003A38CE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A38CE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A38CE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A38CE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3A38CE" w:rsidP="00A25A43">
            <w:pPr>
              <w:pStyle w:val="Source"/>
              <w:rPr>
                <w:rtl/>
              </w:rPr>
            </w:pPr>
            <w:r w:rsidRPr="00461B17">
              <w:rPr>
                <w:rtl/>
                <w:lang w:bidi="ar-SA"/>
              </w:rPr>
              <w:t>الدول الأعضاء في لجنة البلدان الأمريكية للاتصالات</w:t>
            </w:r>
            <w:r w:rsidRPr="00461B17">
              <w:rPr>
                <w:rFonts w:hint="cs"/>
                <w:rtl/>
                <w:lang w:bidi="ar-SA"/>
              </w:rPr>
              <w:t xml:space="preserve"> </w:t>
            </w:r>
            <w:r w:rsidRPr="00461B17">
              <w:t xml:space="preserve"> 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B50485" w:rsidP="006933D0">
            <w:pPr>
              <w:pStyle w:val="Title1"/>
              <w:spacing w:before="240"/>
              <w:rPr>
                <w:rtl/>
                <w:lang w:bidi="ar-SA"/>
              </w:rPr>
            </w:pPr>
            <w:r w:rsidRPr="003B7985">
              <w:rPr>
                <w:rFonts w:hint="cs"/>
                <w:rtl/>
                <w:lang w:bidi="ar-SA"/>
              </w:rPr>
              <w:t>مقترح لإلغاء</w:t>
            </w:r>
            <w:r w:rsidR="003A38CE" w:rsidRPr="003B7985">
              <w:rPr>
                <w:rFonts w:hint="cs"/>
                <w:rtl/>
                <w:lang w:bidi="ar-SA"/>
              </w:rPr>
              <w:t xml:space="preserve"> القرار</w:t>
            </w:r>
            <w:r w:rsidR="006933D0">
              <w:rPr>
                <w:rFonts w:hint="eastAsia"/>
                <w:rtl/>
                <w:lang w:bidi="ar-SA"/>
              </w:rPr>
              <w:t> </w:t>
            </w:r>
            <w:r w:rsidR="003A38CE">
              <w:t>1</w:t>
            </w:r>
            <w:r w:rsidR="003A38CE" w:rsidRPr="003A38CE">
              <w:t>1</w:t>
            </w:r>
            <w:r>
              <w:rPr>
                <w:rFonts w:hint="cs"/>
                <w:rtl/>
              </w:rPr>
              <w:t xml:space="preserve"> للجمعية العالمية لتقييس الاتصالات</w:t>
            </w:r>
            <w:r w:rsidR="006933D0">
              <w:rPr>
                <w:rFonts w:hint="eastAsia"/>
                <w:rtl/>
                <w:lang w:bidi="ar-SA"/>
              </w:rPr>
              <w:t> </w:t>
            </w:r>
            <w:r w:rsidR="003A38CE" w:rsidRPr="003A38CE">
              <w:t>(WTSA-12)</w:t>
            </w:r>
            <w:r w:rsidR="006933D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BA04DE" w:rsidRPr="00BA04DE">
              <w:rPr>
                <w:rFonts w:hint="cs"/>
                <w:rtl/>
                <w:lang w:bidi="ar-SA"/>
              </w:rPr>
              <w:t>التعاون مع مجلس العمليات البريدية للاتحاد البريدي العالمي</w:t>
            </w:r>
            <w:r w:rsidR="006933D0">
              <w:rPr>
                <w:rtl/>
                <w:lang w:bidi="ar-SA"/>
              </w:rPr>
              <w:br/>
            </w:r>
            <w:r w:rsidR="00BA04DE" w:rsidRPr="00BA04DE">
              <w:rPr>
                <w:rFonts w:hint="cs"/>
                <w:rtl/>
                <w:lang w:bidi="ar-SA"/>
              </w:rPr>
              <w:t>في دراسة الخدمات المتصلة بقطاعي البريد والاتصالات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F611DA">
        <w:trPr>
          <w:cantSplit/>
          <w:jc w:val="right"/>
        </w:trPr>
        <w:tc>
          <w:tcPr>
            <w:tcW w:w="8648" w:type="dxa"/>
          </w:tcPr>
          <w:p w:rsidR="006157A3" w:rsidRPr="00984EA5" w:rsidRDefault="00F611DA" w:rsidP="00F611DA">
            <w:r w:rsidRPr="00F611DA">
              <w:rPr>
                <w:rtl/>
              </w:rPr>
              <w:t>تقترح لجنة البلدان الأمريكية للاتصالات إلغاء القرار ‏</w:t>
            </w:r>
            <w:r w:rsidRPr="00F611DA">
              <w:rPr>
                <w:cs/>
              </w:rPr>
              <w:t>‎</w:t>
            </w:r>
            <w:r w:rsidRPr="00F611DA">
              <w:t>11</w:t>
            </w:r>
            <w:r w:rsidRPr="00F611DA">
              <w:rPr>
                <w:cs/>
              </w:rPr>
              <w:t>‎</w:t>
            </w:r>
            <w:r w:rsidRPr="00F611DA">
              <w:rPr>
                <w:rtl/>
              </w:rPr>
              <w:t>‏ الذي أدى الغرض الأصلي منه ولم تعد هناك حاجة</w:t>
            </w:r>
            <w:r>
              <w:rPr>
                <w:rFonts w:hint="cs"/>
                <w:rtl/>
              </w:rPr>
              <w:t> </w:t>
            </w:r>
            <w:r w:rsidRPr="00F611DA">
              <w:rPr>
                <w:rtl/>
              </w:rPr>
              <w:t>إليه.‏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BA04DE" w:rsidRDefault="00BA04DE" w:rsidP="00BA04D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A04DE" w:rsidRDefault="00B50485" w:rsidP="004076DD">
      <w:pPr>
        <w:rPr>
          <w:rtl/>
        </w:rPr>
      </w:pPr>
      <w:r>
        <w:rPr>
          <w:rFonts w:hint="cs"/>
          <w:rtl/>
        </w:rPr>
        <w:t>إن القرار</w:t>
      </w:r>
      <w:r w:rsidR="00494B8D">
        <w:rPr>
          <w:rFonts w:hint="eastAsia"/>
          <w:rtl/>
        </w:rPr>
        <w:t> </w:t>
      </w:r>
      <w:r w:rsidR="00FA0306">
        <w:t>11</w:t>
      </w:r>
      <w:r>
        <w:rPr>
          <w:rFonts w:hint="cs"/>
          <w:rtl/>
        </w:rPr>
        <w:t xml:space="preserve"> بشأن </w:t>
      </w:r>
      <w:r w:rsidR="00BA04DE" w:rsidRPr="00BA04DE">
        <w:rPr>
          <w:rFonts w:hint="cs"/>
          <w:rtl/>
        </w:rPr>
        <w:t>التعاون مع مجلس العمليات البريدية للاتحاد البريدي العالمي</w:t>
      </w:r>
      <w:r w:rsidR="00BA04DE">
        <w:rPr>
          <w:rFonts w:hint="cs"/>
          <w:rtl/>
        </w:rPr>
        <w:t xml:space="preserve"> </w:t>
      </w:r>
      <w:r w:rsidR="00BA04DE" w:rsidRPr="00BA04DE">
        <w:rPr>
          <w:rFonts w:hint="cs"/>
          <w:rtl/>
        </w:rPr>
        <w:t>في دراسة الخدمات المتصلة بقطاعي البريد والاتصالات</w:t>
      </w:r>
      <w:r w:rsidR="00BA04DE">
        <w:rPr>
          <w:rFonts w:hint="cs"/>
          <w:rtl/>
        </w:rPr>
        <w:t xml:space="preserve">، </w:t>
      </w:r>
      <w:r>
        <w:rPr>
          <w:rFonts w:hint="cs"/>
          <w:rtl/>
        </w:rPr>
        <w:t>قائم منذ أن اعتمدته الجمعية العمومية للجنة الاستشارية الدولية للبرق والهاتف</w:t>
      </w:r>
      <w:r w:rsidR="00494B8D">
        <w:rPr>
          <w:rFonts w:hint="eastAsia"/>
          <w:rtl/>
        </w:rPr>
        <w:t> </w:t>
      </w:r>
      <w:r>
        <w:t>(CCITT)</w:t>
      </w:r>
      <w:r>
        <w:rPr>
          <w:rFonts w:hint="cs"/>
          <w:rtl/>
          <w:lang w:bidi="ar-EG"/>
        </w:rPr>
        <w:t xml:space="preserve"> في عام</w:t>
      </w:r>
      <w:r w:rsidR="00494B8D">
        <w:rPr>
          <w:rFonts w:hint="eastAsia"/>
          <w:rtl/>
          <w:lang w:bidi="ar-EG"/>
        </w:rPr>
        <w:t> </w:t>
      </w:r>
      <w:r w:rsidR="00FA0306">
        <w:rPr>
          <w:lang w:bidi="ar-EG"/>
        </w:rPr>
        <w:t>1984</w:t>
      </w:r>
      <w:r>
        <w:rPr>
          <w:rFonts w:hint="cs"/>
          <w:rtl/>
          <w:lang w:bidi="ar-EG"/>
        </w:rPr>
        <w:t xml:space="preserve"> في</w:t>
      </w:r>
      <w:r w:rsidR="00494B8D"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مالقة</w:t>
      </w:r>
      <w:proofErr w:type="spellEnd"/>
      <w:r>
        <w:rPr>
          <w:rFonts w:hint="cs"/>
          <w:rtl/>
          <w:lang w:bidi="ar-EG"/>
        </w:rPr>
        <w:t>،</w:t>
      </w:r>
      <w:r w:rsidR="004076DD"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طورمولينوس</w:t>
      </w:r>
      <w:proofErr w:type="spellEnd"/>
      <w:r>
        <w:rPr>
          <w:rFonts w:hint="cs"/>
          <w:rtl/>
          <w:lang w:bidi="ar-EG"/>
        </w:rPr>
        <w:t xml:space="preserve"> وقررت فيه</w:t>
      </w:r>
      <w:r w:rsidR="00BA04DE">
        <w:rPr>
          <w:rFonts w:hint="cs"/>
          <w:rtl/>
        </w:rPr>
        <w:t xml:space="preserve"> "</w:t>
      </w:r>
      <w:r w:rsidR="00BA04DE" w:rsidRPr="00BA04DE">
        <w:rPr>
          <w:rtl/>
        </w:rPr>
        <w:t>أن تواصل لجان الدراسات المعنية التابعة لقطاع تقييس الاتصالات التعاون مع مجلس العمليات البريدية</w:t>
      </w:r>
      <w:r w:rsidR="00494B8D">
        <w:rPr>
          <w:rFonts w:hint="eastAsia"/>
          <w:rtl/>
        </w:rPr>
        <w:t> </w:t>
      </w:r>
      <w:r w:rsidR="00BA04DE" w:rsidRPr="00BA04DE">
        <w:t>(POC)</w:t>
      </w:r>
      <w:r>
        <w:rPr>
          <w:rFonts w:hint="cs"/>
          <w:rtl/>
        </w:rPr>
        <w:t xml:space="preserve"> </w:t>
      </w:r>
      <w:r w:rsidR="00BA04DE" w:rsidRPr="00BA04DE">
        <w:rPr>
          <w:rtl/>
        </w:rPr>
        <w:t>ولجانه كلما كان ذلك ضرورياً، على أساس المعاملة بالم</w:t>
      </w:r>
      <w:r w:rsidR="00494B8D">
        <w:rPr>
          <w:rtl/>
        </w:rPr>
        <w:t>ثل وبأقل قدر من الشكليات، خاصة</w:t>
      </w:r>
      <w:r w:rsidR="00494B8D">
        <w:rPr>
          <w:rFonts w:hint="cs"/>
          <w:rtl/>
        </w:rPr>
        <w:t xml:space="preserve"> </w:t>
      </w:r>
      <w:r w:rsidR="00BA04DE" w:rsidRPr="00BA04DE">
        <w:rPr>
          <w:rtl/>
        </w:rPr>
        <w:t>من خلال دراسة القضايا ذات الاهتمام المشترك مثل جودة الخدمة والخدمات الإلكترونية وأمن عمليات ال</w:t>
      </w:r>
      <w:r w:rsidR="008D6578">
        <w:rPr>
          <w:rtl/>
        </w:rPr>
        <w:t>دفع باستخدام الاتصالات المتنقلة</w:t>
      </w:r>
      <w:r w:rsidR="00BA04DE">
        <w:rPr>
          <w:rFonts w:hint="cs"/>
          <w:rtl/>
        </w:rPr>
        <w:t>"</w:t>
      </w:r>
      <w:r w:rsidR="008D6578">
        <w:rPr>
          <w:rFonts w:hint="cs"/>
          <w:rtl/>
        </w:rPr>
        <w:t xml:space="preserve">. </w:t>
      </w:r>
      <w:r w:rsidR="00FA0306">
        <w:rPr>
          <w:rFonts w:hint="cs"/>
          <w:rtl/>
        </w:rPr>
        <w:t>وأضيفت عبارة "خاصة من خلال" في عام</w:t>
      </w:r>
      <w:r w:rsidR="00494B8D">
        <w:rPr>
          <w:rFonts w:hint="eastAsia"/>
          <w:rtl/>
        </w:rPr>
        <w:t> </w:t>
      </w:r>
      <w:r w:rsidR="00FA0306">
        <w:t>2012</w:t>
      </w:r>
      <w:r w:rsidR="00FA0306">
        <w:rPr>
          <w:rFonts w:hint="cs"/>
          <w:rtl/>
        </w:rPr>
        <w:t>. ويكلف القرار أيضاً مدير مكتب تقييس الاتصالات</w:t>
      </w:r>
      <w:r w:rsidR="008D6578">
        <w:rPr>
          <w:rFonts w:hint="cs"/>
          <w:rtl/>
        </w:rPr>
        <w:t xml:space="preserve"> "</w:t>
      </w:r>
      <w:r w:rsidR="00FA0306">
        <w:rPr>
          <w:rFonts w:hint="cs"/>
          <w:color w:val="000000"/>
          <w:rtl/>
        </w:rPr>
        <w:t>ب</w:t>
      </w:r>
      <w:r w:rsidR="008D6578" w:rsidRPr="008D6578">
        <w:rPr>
          <w:rtl/>
        </w:rPr>
        <w:t xml:space="preserve">أن يشجع التعاون بين </w:t>
      </w:r>
      <w:bookmarkStart w:id="0" w:name="_GoBack"/>
      <w:r w:rsidR="008D6578" w:rsidRPr="008D6578">
        <w:rPr>
          <w:rtl/>
        </w:rPr>
        <w:t>الجهازين ويساعد عليه</w:t>
      </w:r>
      <w:r w:rsidR="008D6578">
        <w:rPr>
          <w:rFonts w:hint="cs"/>
          <w:rtl/>
        </w:rPr>
        <w:t>".</w:t>
      </w:r>
    </w:p>
    <w:bookmarkEnd w:id="0"/>
    <w:p w:rsidR="008D6578" w:rsidRDefault="00FA0306" w:rsidP="00F611DA">
      <w:pPr>
        <w:keepNext/>
        <w:keepLines/>
        <w:rPr>
          <w:rtl/>
        </w:rPr>
      </w:pPr>
      <w:r>
        <w:rPr>
          <w:rFonts w:hint="cs"/>
          <w:rtl/>
        </w:rPr>
        <w:lastRenderedPageBreak/>
        <w:t>و</w:t>
      </w:r>
      <w:r w:rsidR="00494B8D">
        <w:rPr>
          <w:rFonts w:hint="cs"/>
          <w:rtl/>
        </w:rPr>
        <w:t>ل</w:t>
      </w:r>
      <w:r>
        <w:rPr>
          <w:rFonts w:hint="cs"/>
          <w:rtl/>
        </w:rPr>
        <w:t>م يتعاون قطاع تقييس الاتصالات بالاتحاد مع الاتحاد البريدي العالمي فيما</w:t>
      </w:r>
      <w:r w:rsidR="00494B8D">
        <w:rPr>
          <w:rFonts w:hint="eastAsia"/>
          <w:rtl/>
        </w:rPr>
        <w:t> </w:t>
      </w:r>
      <w:r>
        <w:rPr>
          <w:rFonts w:hint="cs"/>
          <w:rtl/>
        </w:rPr>
        <w:t>يتعلق بأي مسألة من المسائل المحددة "ذات الاهتمام المشترك". وفي فترة الدراسة الحالية لم</w:t>
      </w:r>
      <w:r w:rsidR="00494B8D">
        <w:rPr>
          <w:rFonts w:hint="eastAsia"/>
          <w:rtl/>
        </w:rPr>
        <w:t> </w:t>
      </w:r>
      <w:r>
        <w:rPr>
          <w:rFonts w:hint="cs"/>
          <w:rtl/>
        </w:rPr>
        <w:t>يكن هناك سوى بيان اتصال واحد من لجنة الدراسات</w:t>
      </w:r>
      <w:r w:rsidR="00494B8D">
        <w:rPr>
          <w:rFonts w:hint="eastAsia"/>
          <w:rtl/>
        </w:rPr>
        <w:t> </w:t>
      </w:r>
      <w:r w:rsidR="00A873DD">
        <w:t>17</w:t>
      </w:r>
      <w:r>
        <w:rPr>
          <w:rFonts w:hint="cs"/>
          <w:rtl/>
        </w:rPr>
        <w:t xml:space="preserve"> إلى الاتحاد ا</w:t>
      </w:r>
      <w:r w:rsidR="00A873DD">
        <w:rPr>
          <w:rFonts w:hint="cs"/>
          <w:rtl/>
        </w:rPr>
        <w:t>لبريدي العالمي لالتماس تعليقات ب</w:t>
      </w:r>
      <w:r>
        <w:rPr>
          <w:rFonts w:hint="cs"/>
          <w:rtl/>
        </w:rPr>
        <w:t>شأن التوصية</w:t>
      </w:r>
      <w:r w:rsidR="00494B8D">
        <w:rPr>
          <w:rFonts w:hint="eastAsia"/>
          <w:rtl/>
        </w:rPr>
        <w:t> </w:t>
      </w:r>
      <w:r w:rsidR="00A873DD" w:rsidRPr="002A7B9A">
        <w:rPr>
          <w:rFonts w:cs="Times New Roman"/>
          <w:sz w:val="24"/>
          <w:szCs w:val="20"/>
        </w:rPr>
        <w:t>ITU</w:t>
      </w:r>
      <w:r w:rsidR="00494B8D">
        <w:rPr>
          <w:rFonts w:cs="Times New Roman"/>
          <w:sz w:val="24"/>
          <w:szCs w:val="20"/>
        </w:rPr>
        <w:noBreakHyphen/>
      </w:r>
      <w:r w:rsidR="00A873DD" w:rsidRPr="002A7B9A">
        <w:rPr>
          <w:rFonts w:cs="Times New Roman"/>
          <w:sz w:val="24"/>
          <w:szCs w:val="20"/>
        </w:rPr>
        <w:t>T</w:t>
      </w:r>
      <w:r w:rsidR="00494B8D">
        <w:rPr>
          <w:rFonts w:cs="Times New Roman"/>
          <w:sz w:val="24"/>
          <w:szCs w:val="20"/>
        </w:rPr>
        <w:t> </w:t>
      </w:r>
      <w:r w:rsidR="00A873DD" w:rsidRPr="002A7B9A">
        <w:rPr>
          <w:rFonts w:cs="Times New Roman"/>
          <w:sz w:val="24"/>
          <w:szCs w:val="20"/>
        </w:rPr>
        <w:t>X.1341</w:t>
      </w:r>
      <w:r>
        <w:rPr>
          <w:rFonts w:hint="cs"/>
          <w:rtl/>
        </w:rPr>
        <w:t xml:space="preserve"> المقترحة ورد واحد يفيد تحديداً بعدد من القضايا التقنية المتعلقة بمشروع الوثيقة. وسلط الاتحاد البريدي العالمي أيضاً الضوء في رده على أنه بصدد </w:t>
      </w:r>
      <w:r w:rsidR="00A873DD">
        <w:rPr>
          <w:rFonts w:hint="cs"/>
          <w:rtl/>
        </w:rPr>
        <w:t>القيام "بجهود مكثفة خاصة بأعمال التقييس واللوائح التنظيمية" سعياً إلى التوصل إلى معيار مشترك. ولا يوجد في السجلات ذات</w:t>
      </w:r>
      <w:r w:rsidR="00494B8D">
        <w:rPr>
          <w:rFonts w:hint="eastAsia"/>
          <w:rtl/>
        </w:rPr>
        <w:t> </w:t>
      </w:r>
      <w:r w:rsidR="00A873DD">
        <w:rPr>
          <w:rFonts w:hint="cs"/>
          <w:rtl/>
        </w:rPr>
        <w:t>الصلة ما</w:t>
      </w:r>
      <w:r w:rsidR="00494B8D">
        <w:rPr>
          <w:rFonts w:hint="eastAsia"/>
          <w:rtl/>
        </w:rPr>
        <w:t> </w:t>
      </w:r>
      <w:r w:rsidR="00A873DD">
        <w:rPr>
          <w:rFonts w:hint="cs"/>
          <w:rtl/>
        </w:rPr>
        <w:t>يفيد بأن لجنة الدراسات</w:t>
      </w:r>
      <w:r w:rsidR="00494B8D">
        <w:rPr>
          <w:rFonts w:hint="eastAsia"/>
          <w:rtl/>
        </w:rPr>
        <w:t> </w:t>
      </w:r>
      <w:r w:rsidR="00A873DD">
        <w:t>17</w:t>
      </w:r>
      <w:r w:rsidR="00A873DD">
        <w:rPr>
          <w:rFonts w:hint="cs"/>
          <w:rtl/>
        </w:rPr>
        <w:t xml:space="preserve"> قد ردت على الاتحاد البريدي العالمي فيما</w:t>
      </w:r>
      <w:r w:rsidR="00494B8D">
        <w:rPr>
          <w:rFonts w:hint="eastAsia"/>
          <w:rtl/>
        </w:rPr>
        <w:t> </w:t>
      </w:r>
      <w:r w:rsidR="00A873DD">
        <w:rPr>
          <w:rFonts w:hint="cs"/>
          <w:rtl/>
        </w:rPr>
        <w:t>يتعلق بالقضايا التقنية التي أشار إليها قبل نشر التوصية</w:t>
      </w:r>
      <w:r w:rsidR="00494B8D">
        <w:rPr>
          <w:rFonts w:hint="eastAsia"/>
          <w:rtl/>
        </w:rPr>
        <w:t> </w:t>
      </w:r>
      <w:r w:rsidR="00A873DD" w:rsidRPr="002A7B9A">
        <w:rPr>
          <w:rFonts w:cs="Times New Roman"/>
          <w:sz w:val="24"/>
          <w:szCs w:val="20"/>
        </w:rPr>
        <w:t>ITU</w:t>
      </w:r>
      <w:r w:rsidR="00494B8D">
        <w:rPr>
          <w:rFonts w:cs="Times New Roman"/>
          <w:sz w:val="24"/>
          <w:szCs w:val="20"/>
        </w:rPr>
        <w:noBreakHyphen/>
      </w:r>
      <w:r w:rsidR="00A873DD" w:rsidRPr="002A7B9A">
        <w:rPr>
          <w:rFonts w:cs="Times New Roman"/>
          <w:sz w:val="24"/>
          <w:szCs w:val="20"/>
        </w:rPr>
        <w:t>T</w:t>
      </w:r>
      <w:r w:rsidR="00494B8D">
        <w:rPr>
          <w:rFonts w:cs="Times New Roman"/>
          <w:sz w:val="24"/>
          <w:szCs w:val="20"/>
        </w:rPr>
        <w:t> </w:t>
      </w:r>
      <w:r w:rsidR="00A873DD" w:rsidRPr="002A7B9A">
        <w:rPr>
          <w:rFonts w:cs="Times New Roman"/>
          <w:sz w:val="24"/>
          <w:szCs w:val="20"/>
        </w:rPr>
        <w:t>X.1341</w:t>
      </w:r>
      <w:r w:rsidR="00A873DD" w:rsidRPr="00A873DD">
        <w:rPr>
          <w:rFonts w:hint="cs"/>
          <w:rtl/>
        </w:rPr>
        <w:t xml:space="preserve"> </w:t>
      </w:r>
      <w:r w:rsidR="00A873DD">
        <w:rPr>
          <w:rFonts w:hint="cs"/>
          <w:rtl/>
        </w:rPr>
        <w:t>في عام</w:t>
      </w:r>
      <w:r w:rsidR="00494B8D">
        <w:rPr>
          <w:rFonts w:hint="eastAsia"/>
          <w:rtl/>
        </w:rPr>
        <w:t> </w:t>
      </w:r>
      <w:r w:rsidR="00A873DD">
        <w:t>2015</w:t>
      </w:r>
      <w:r w:rsidR="00A873DD">
        <w:rPr>
          <w:rFonts w:hint="cs"/>
          <w:rtl/>
        </w:rPr>
        <w:t>.</w:t>
      </w:r>
    </w:p>
    <w:p w:rsidR="008D6578" w:rsidRDefault="003B7985" w:rsidP="00494B8D">
      <w:pPr>
        <w:rPr>
          <w:rtl/>
          <w:lang w:bidi="ar-EG"/>
        </w:rPr>
      </w:pPr>
      <w:r>
        <w:rPr>
          <w:rFonts w:hint="cs"/>
          <w:rtl/>
          <w:lang w:bidi="ar-EG"/>
        </w:rPr>
        <w:t>لم</w:t>
      </w:r>
      <w:r w:rsidR="00494B8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تعد هناك حاجة إلى هذا القرار المتعلق بالتعاون مع الاتحاد البريدي العالمي، إذ</w:t>
      </w:r>
      <w:r w:rsidR="00494B8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تم الوفاء بالغرض الأصلي منه عندما وُضعت توصيات السلسلة</w:t>
      </w:r>
      <w:r w:rsidR="00494B8D">
        <w:rPr>
          <w:rFonts w:hint="eastAsia"/>
          <w:rtl/>
          <w:lang w:bidi="ar-EG"/>
        </w:rPr>
        <w:t> </w:t>
      </w:r>
      <w:r w:rsidRPr="002A7B9A">
        <w:rPr>
          <w:rFonts w:cs="Times New Roman"/>
          <w:sz w:val="24"/>
          <w:szCs w:val="20"/>
        </w:rPr>
        <w:t>ITU</w:t>
      </w:r>
      <w:r w:rsidR="00494B8D">
        <w:rPr>
          <w:rFonts w:cs="Times New Roman"/>
          <w:sz w:val="24"/>
          <w:szCs w:val="20"/>
        </w:rPr>
        <w:noBreakHyphen/>
      </w:r>
      <w:r w:rsidRPr="002A7B9A">
        <w:rPr>
          <w:rFonts w:cs="Times New Roman"/>
          <w:sz w:val="24"/>
          <w:szCs w:val="20"/>
        </w:rPr>
        <w:t>T</w:t>
      </w:r>
      <w:r w:rsidR="00494B8D">
        <w:rPr>
          <w:rFonts w:cs="Times New Roman"/>
          <w:sz w:val="24"/>
          <w:szCs w:val="20"/>
        </w:rPr>
        <w:t> </w:t>
      </w:r>
      <w:r w:rsidRPr="002A7B9A">
        <w:rPr>
          <w:rFonts w:cs="Times New Roman"/>
          <w:sz w:val="24"/>
          <w:szCs w:val="20"/>
        </w:rPr>
        <w:t>X.400</w:t>
      </w:r>
      <w:r w:rsidRPr="003B798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تسعينيات القرن الماضي. وتماشياً مع المبدأ</w:t>
      </w:r>
      <w:r w:rsidR="00494B8D">
        <w:rPr>
          <w:rFonts w:hint="eastAsia"/>
          <w:rtl/>
          <w:lang w:bidi="ar-EG"/>
        </w:rPr>
        <w:t> </w:t>
      </w:r>
      <w:r>
        <w:t>1</w:t>
      </w:r>
      <w:r>
        <w:rPr>
          <w:rFonts w:hint="cs"/>
          <w:rtl/>
          <w:lang w:bidi="ar-EG"/>
        </w:rPr>
        <w:t xml:space="preserve"> من المبادئ التي اقترحها مدير مكتب تقييس الاتصالات فيما</w:t>
      </w:r>
      <w:r w:rsidR="00494B8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باستعر</w:t>
      </w:r>
      <w:r w:rsidR="00494B8D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ض قرارات الجمعية العالمية لتقييس الاتصالات ينبغي إلغاء هذا القرار.</w:t>
      </w:r>
    </w:p>
    <w:p w:rsidR="008D6578" w:rsidRDefault="008D6578" w:rsidP="008D6578">
      <w:pPr>
        <w:pStyle w:val="Headingb"/>
        <w:rPr>
          <w:rtl/>
        </w:rPr>
      </w:pPr>
      <w:r w:rsidRPr="003B7985">
        <w:rPr>
          <w:rtl/>
          <w:lang w:bidi="ar-SA"/>
        </w:rPr>
        <w:t>المقترح</w:t>
      </w:r>
    </w:p>
    <w:p w:rsidR="00494B8D" w:rsidRPr="00494B8D" w:rsidRDefault="008D6578" w:rsidP="00494B8D">
      <w:pPr>
        <w:rPr>
          <w:rtl/>
        </w:rPr>
      </w:pPr>
      <w:r w:rsidRPr="008D6578">
        <w:rPr>
          <w:rtl/>
        </w:rPr>
        <w:t>تقترح لجنة البلدان الأمريكية للاتصالات</w:t>
      </w:r>
      <w:r w:rsidRPr="008D6578">
        <w:rPr>
          <w:rFonts w:hint="cs"/>
          <w:rtl/>
        </w:rPr>
        <w:t xml:space="preserve"> </w:t>
      </w:r>
      <w:r w:rsidRPr="008D6578">
        <w:t>(CITEL)</w:t>
      </w:r>
      <w:r w:rsidRPr="008D6578">
        <w:rPr>
          <w:rtl/>
        </w:rPr>
        <w:t xml:space="preserve"> إلغاء القرار </w:t>
      </w:r>
      <w:r>
        <w:t>11</w:t>
      </w:r>
      <w:r w:rsidR="003B7985">
        <w:rPr>
          <w:rFonts w:hint="cs"/>
          <w:rtl/>
        </w:rPr>
        <w:t>.</w:t>
      </w:r>
    </w:p>
    <w:p w:rsidR="00C82615" w:rsidRDefault="00C82615" w:rsidP="00BA04DE">
      <w:pPr>
        <w:tabs>
          <w:tab w:val="clear" w:pos="1134"/>
        </w:tabs>
        <w:spacing w:before="0" w:after="160" w:line="259" w:lineRule="auto"/>
        <w:jc w:val="left"/>
        <w:rPr>
          <w:rtl/>
        </w:rPr>
      </w:pPr>
      <w:r>
        <w:br w:type="page"/>
      </w:r>
    </w:p>
    <w:p w:rsidR="00800335" w:rsidRDefault="008D6578">
      <w:pPr>
        <w:pStyle w:val="Proposal"/>
      </w:pPr>
      <w:r>
        <w:lastRenderedPageBreak/>
        <w:t>SUP</w:t>
      </w:r>
      <w:r>
        <w:tab/>
        <w:t>IAP/46A13/1</w:t>
      </w:r>
    </w:p>
    <w:p w:rsidR="00973933" w:rsidRPr="00A606A8" w:rsidRDefault="008D6578" w:rsidP="008D6578">
      <w:pPr>
        <w:pStyle w:val="ResNo"/>
        <w:rPr>
          <w:rtl/>
        </w:rPr>
      </w:pPr>
      <w:bookmarkStart w:id="1" w:name="_Toc219795410"/>
      <w:bookmarkStart w:id="2" w:name="_Toc348952934"/>
      <w:bookmarkStart w:id="3" w:name="_Toc349551551"/>
      <w:r w:rsidRPr="00A606A8">
        <w:rPr>
          <w:rFonts w:hint="cs"/>
          <w:rtl/>
        </w:rPr>
        <w:t>ال</w:t>
      </w:r>
      <w:r w:rsidRPr="00A606A8">
        <w:rPr>
          <w:rtl/>
        </w:rPr>
        <w:t>ق</w:t>
      </w:r>
      <w:r w:rsidRPr="00A606A8">
        <w:rPr>
          <w:rFonts w:hint="cs"/>
          <w:rtl/>
        </w:rPr>
        <w:t>ـ</w:t>
      </w:r>
      <w:r w:rsidRPr="00A606A8">
        <w:rPr>
          <w:rtl/>
        </w:rPr>
        <w:t xml:space="preserve">رار </w:t>
      </w:r>
      <w:r w:rsidRPr="00B126A0">
        <w:rPr>
          <w:rStyle w:val="href"/>
        </w:rPr>
        <w:t>11</w:t>
      </w:r>
      <w:bookmarkEnd w:id="1"/>
      <w:r w:rsidRPr="002B7C81">
        <w:rPr>
          <w:rFonts w:hint="cs"/>
          <w:rtl/>
        </w:rPr>
        <w:t xml:space="preserve"> (المراجَع في دبي، </w:t>
      </w:r>
      <w:r w:rsidRPr="002B7C81">
        <w:t>2012</w:t>
      </w:r>
      <w:r w:rsidRPr="002B7C81">
        <w:rPr>
          <w:rFonts w:hint="cs"/>
          <w:rtl/>
        </w:rPr>
        <w:t>)</w:t>
      </w:r>
      <w:bookmarkEnd w:id="2"/>
      <w:bookmarkEnd w:id="3"/>
    </w:p>
    <w:p w:rsidR="00973933" w:rsidRDefault="008D6578" w:rsidP="00973933">
      <w:pPr>
        <w:pStyle w:val="Restitle"/>
        <w:rPr>
          <w:rtl/>
        </w:rPr>
      </w:pPr>
      <w:bookmarkStart w:id="4" w:name="_Toc219803520"/>
      <w:bookmarkStart w:id="5" w:name="_Toc348952935"/>
      <w:bookmarkStart w:id="6" w:name="_Toc349551552"/>
      <w:r>
        <w:rPr>
          <w:rFonts w:hint="cs"/>
          <w:rtl/>
        </w:rPr>
        <w:t>التعاون مع مجلس العمليات البريدية للاتحاد البريدي العالمي</w:t>
      </w:r>
      <w:r>
        <w:rPr>
          <w:rtl/>
        </w:rPr>
        <w:br/>
      </w:r>
      <w:r>
        <w:rPr>
          <w:rFonts w:hint="cs"/>
          <w:rtl/>
        </w:rPr>
        <w:t>في دراسة الخدمات المتصلة بقطاعي البريد والاتصالات</w:t>
      </w:r>
      <w:bookmarkEnd w:id="4"/>
      <w:bookmarkEnd w:id="5"/>
      <w:bookmarkEnd w:id="6"/>
    </w:p>
    <w:p w:rsidR="009E6895" w:rsidRPr="00A71B99" w:rsidRDefault="008D6578" w:rsidP="009E6895">
      <w:pPr>
        <w:pStyle w:val="Resref"/>
        <w:rPr>
          <w:i w:val="0"/>
          <w:iCs/>
          <w:rtl/>
        </w:rPr>
      </w:pPr>
      <w:r w:rsidRPr="00A71B99">
        <w:rPr>
          <w:rFonts w:hint="cs"/>
          <w:i w:val="0"/>
          <w:iCs/>
          <w:rtl/>
        </w:rPr>
        <w:t xml:space="preserve">(مالقة-طورمولينوس، </w:t>
      </w:r>
      <w:r w:rsidRPr="00A71B99">
        <w:t>1984</w:t>
      </w:r>
      <w:r w:rsidRPr="00A71B99">
        <w:rPr>
          <w:rFonts w:hint="cs"/>
          <w:i w:val="0"/>
          <w:iCs/>
          <w:rtl/>
        </w:rPr>
        <w:t xml:space="preserve">؛ هلسنكي، </w:t>
      </w:r>
      <w:r w:rsidRPr="00A71B99">
        <w:t>1993</w:t>
      </w:r>
      <w:r w:rsidRPr="00A71B99">
        <w:rPr>
          <w:rFonts w:hint="cs"/>
          <w:i w:val="0"/>
          <w:iCs/>
          <w:rtl/>
        </w:rPr>
        <w:t xml:space="preserve">؛ جنيف، </w:t>
      </w:r>
      <w:r w:rsidRPr="00A71B99">
        <w:t>1996</w:t>
      </w:r>
      <w:r w:rsidRPr="00A71B99">
        <w:rPr>
          <w:rFonts w:hint="cs"/>
          <w:i w:val="0"/>
          <w:iCs/>
          <w:rtl/>
        </w:rPr>
        <w:t xml:space="preserve">؛ مونتريال، </w:t>
      </w:r>
      <w:r w:rsidRPr="00A71B99">
        <w:t>2000</w:t>
      </w:r>
      <w:r w:rsidRPr="00A71B99">
        <w:rPr>
          <w:rFonts w:hint="cs"/>
          <w:i w:val="0"/>
          <w:iCs/>
          <w:rtl/>
        </w:rPr>
        <w:t xml:space="preserve">؛ </w:t>
      </w:r>
      <w:r w:rsidRPr="00A71B99">
        <w:rPr>
          <w:i w:val="0"/>
          <w:iCs/>
          <w:rtl/>
        </w:rPr>
        <w:br/>
      </w:r>
      <w:r w:rsidRPr="00A71B99">
        <w:rPr>
          <w:rFonts w:hint="cs"/>
          <w:i w:val="0"/>
          <w:iCs/>
          <w:rtl/>
        </w:rPr>
        <w:t xml:space="preserve">فلوريانوبوليس، </w:t>
      </w:r>
      <w:r w:rsidRPr="00A71B99">
        <w:t>2004</w:t>
      </w:r>
      <w:r w:rsidRPr="00A71B99">
        <w:rPr>
          <w:rFonts w:hint="cs"/>
          <w:i w:val="0"/>
          <w:iCs/>
          <w:rtl/>
        </w:rPr>
        <w:t>؛ جوهانسبرغ</w:t>
      </w:r>
      <w:r w:rsidRPr="00A71B99">
        <w:rPr>
          <w:rFonts w:hint="eastAsia"/>
          <w:i w:val="0"/>
          <w:iCs/>
          <w:rtl/>
        </w:rPr>
        <w:t>، </w:t>
      </w:r>
      <w:r w:rsidRPr="00A71B99">
        <w:t>2008</w:t>
      </w:r>
      <w:r w:rsidRPr="00A71B99">
        <w:rPr>
          <w:rFonts w:hint="cs"/>
          <w:i w:val="0"/>
          <w:iCs/>
          <w:rtl/>
        </w:rPr>
        <w:t xml:space="preserve">؛ دبي، </w:t>
      </w:r>
      <w:r w:rsidRPr="00A71B99">
        <w:rPr>
          <w:rFonts w:cs="Times New Roman"/>
        </w:rPr>
        <w:t>2012</w:t>
      </w:r>
      <w:r w:rsidRPr="00A71B99">
        <w:rPr>
          <w:rFonts w:hint="cs"/>
          <w:i w:val="0"/>
          <w:iCs/>
          <w:rtl/>
        </w:rPr>
        <w:t>)</w:t>
      </w:r>
    </w:p>
    <w:p w:rsidR="009E6895" w:rsidRDefault="009E6895" w:rsidP="009E6895"/>
    <w:p w:rsidR="00800335" w:rsidRDefault="008D6578" w:rsidP="003B7985">
      <w:pPr>
        <w:pStyle w:val="Reasons"/>
        <w:rPr>
          <w:rtl/>
          <w:lang w:bidi="ar"/>
        </w:rPr>
      </w:pPr>
      <w:r w:rsidRPr="003B7985">
        <w:rPr>
          <w:rtl/>
        </w:rPr>
        <w:t>الأسباب:</w:t>
      </w:r>
      <w:r w:rsidRPr="003B7985">
        <w:tab/>
      </w:r>
      <w:r w:rsidRPr="003B7985">
        <w:rPr>
          <w:rFonts w:hint="cs"/>
          <w:b w:val="0"/>
          <w:bCs w:val="0"/>
          <w:rtl/>
          <w:lang w:bidi="ar"/>
        </w:rPr>
        <w:t xml:space="preserve">انظر المقدمة </w:t>
      </w:r>
      <w:r w:rsidR="003B7985" w:rsidRPr="003B7985">
        <w:rPr>
          <w:rFonts w:hint="cs"/>
          <w:b w:val="0"/>
          <w:bCs w:val="0"/>
          <w:rtl/>
          <w:lang w:bidi="ar"/>
        </w:rPr>
        <w:t>والمقترح في الوثيقة</w:t>
      </w:r>
      <w:r w:rsidRPr="003B7985">
        <w:rPr>
          <w:rFonts w:hint="cs"/>
          <w:b w:val="0"/>
          <w:bCs w:val="0"/>
          <w:rtl/>
          <w:lang w:bidi="ar"/>
        </w:rPr>
        <w:t xml:space="preserve"> </w:t>
      </w:r>
      <w:r w:rsidRPr="003B7985">
        <w:rPr>
          <w:b w:val="0"/>
          <w:bCs w:val="0"/>
          <w:lang w:bidi="ar"/>
        </w:rPr>
        <w:t>46</w:t>
      </w:r>
      <w:r w:rsidRPr="003B7985">
        <w:rPr>
          <w:rFonts w:hint="cs"/>
          <w:b w:val="0"/>
          <w:bCs w:val="0"/>
          <w:rtl/>
          <w:lang w:bidi="ar"/>
        </w:rPr>
        <w:t xml:space="preserve"> (</w:t>
      </w:r>
      <w:r w:rsidR="003B7985" w:rsidRPr="003B7985">
        <w:rPr>
          <w:rFonts w:hint="cs"/>
          <w:b w:val="0"/>
          <w:bCs w:val="0"/>
          <w:rtl/>
          <w:lang w:bidi="ar"/>
        </w:rPr>
        <w:t>ال</w:t>
      </w:r>
      <w:r w:rsidRPr="003B7985">
        <w:rPr>
          <w:rFonts w:hint="cs"/>
          <w:b w:val="0"/>
          <w:bCs w:val="0"/>
          <w:rtl/>
          <w:lang w:bidi="ar"/>
        </w:rPr>
        <w:t xml:space="preserve">إضافة </w:t>
      </w:r>
      <w:r w:rsidRPr="003B7985">
        <w:rPr>
          <w:b w:val="0"/>
          <w:bCs w:val="0"/>
          <w:lang w:bidi="ar"/>
        </w:rPr>
        <w:t>13</w:t>
      </w:r>
      <w:r w:rsidRPr="003B7985">
        <w:rPr>
          <w:rFonts w:hint="cs"/>
          <w:b w:val="0"/>
          <w:bCs w:val="0"/>
          <w:rtl/>
          <w:lang w:bidi="ar"/>
        </w:rPr>
        <w:t>).</w:t>
      </w:r>
    </w:p>
    <w:p w:rsidR="00F611DA" w:rsidRPr="00F611DA" w:rsidRDefault="00F611DA" w:rsidP="00F611DA">
      <w:pPr>
        <w:pStyle w:val="Reasons"/>
        <w:rPr>
          <w:lang w:bidi="ar"/>
        </w:rPr>
      </w:pPr>
    </w:p>
    <w:p w:rsidR="008D6578" w:rsidRPr="008D6578" w:rsidRDefault="008D6578" w:rsidP="008D6578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D6578" w:rsidRPr="008D6578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4076DD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BA04D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4076DD">
      <w:rPr>
        <w:rFonts w:cs="Times New Roman"/>
        <w:noProof/>
        <w:sz w:val="16"/>
        <w:szCs w:val="16"/>
        <w:lang w:val="fr-CH"/>
      </w:rPr>
      <w:t>P:\ARA\ITU-T\CONF-T\WTSA16\000\046ADD13A.docx</w:t>
    </w:r>
    <w:r w:rsidRPr="00E07379">
      <w:rPr>
        <w:rFonts w:cs="Times New Roman"/>
        <w:sz w:val="16"/>
        <w:szCs w:val="16"/>
      </w:rPr>
      <w:fldChar w:fldCharType="end"/>
    </w:r>
    <w:r w:rsidR="004076DD" w:rsidRPr="004076DD">
      <w:rPr>
        <w:rFonts w:cs="Times New Roman"/>
        <w:sz w:val="16"/>
        <w:szCs w:val="16"/>
        <w:lang w:val="fr-CH"/>
      </w:rPr>
      <w:t>...(</w:t>
    </w:r>
    <w:r w:rsidR="004076DD">
      <w:rPr>
        <w:rFonts w:cs="Times New Roman"/>
        <w:sz w:val="16"/>
        <w:szCs w:val="16"/>
        <w:lang w:val="fr-CH"/>
      </w:rPr>
      <w:t>405098)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BA04DE" w:rsidRPr="005B7B13" w:rsidTr="00E40FEF">
      <w:trPr>
        <w:cantSplit/>
        <w:trHeight w:val="204"/>
        <w:jc w:val="center"/>
      </w:trPr>
      <w:tc>
        <w:tcPr>
          <w:tcW w:w="1617" w:type="dxa"/>
        </w:tcPr>
        <w:p w:rsidR="00BA04DE" w:rsidRPr="005B7B13" w:rsidRDefault="00BA04DE" w:rsidP="00BA04DE">
          <w:pPr>
            <w:pStyle w:val="Tabletext0"/>
            <w:rPr>
              <w:b/>
              <w:bCs/>
              <w:spacing w:val="0"/>
            </w:rPr>
          </w:pPr>
          <w:r w:rsidRPr="005B7B13">
            <w:rPr>
              <w:rFonts w:hint="cs"/>
              <w:b/>
              <w:bCs/>
              <w:spacing w:val="0"/>
              <w:rtl/>
            </w:rPr>
            <w:t>للاتصال:</w:t>
          </w:r>
        </w:p>
      </w:tc>
      <w:tc>
        <w:tcPr>
          <w:tcW w:w="4394" w:type="dxa"/>
        </w:tcPr>
        <w:p w:rsidR="00BA04DE" w:rsidRPr="005B7B13" w:rsidRDefault="004076DD" w:rsidP="00BA04DE">
          <w:pPr>
            <w:pStyle w:val="Tabletext0"/>
            <w:rPr>
              <w:spacing w:val="0"/>
              <w:rtl/>
              <w:lang w:val="en-US" w:bidi="ar-SA"/>
            </w:rPr>
          </w:pPr>
          <w:r w:rsidRPr="005B7B13">
            <w:rPr>
              <w:rFonts w:hint="cs"/>
              <w:spacing w:val="0"/>
              <w:rtl/>
              <w:lang w:val="en-US"/>
            </w:rPr>
            <w:t>أوسكار ليون</w:t>
          </w:r>
        </w:p>
        <w:p w:rsidR="00BA04DE" w:rsidRPr="005B7B13" w:rsidRDefault="00BA04DE" w:rsidP="00FA0306">
          <w:pPr>
            <w:pStyle w:val="Tabletext0"/>
            <w:rPr>
              <w:spacing w:val="0"/>
              <w:rtl/>
            </w:rPr>
          </w:pPr>
          <w:r w:rsidRPr="005B7B13">
            <w:rPr>
              <w:spacing w:val="0"/>
              <w:position w:val="2"/>
              <w:rtl/>
              <w:lang w:bidi="ar-SA"/>
            </w:rPr>
            <w:t xml:space="preserve">لجنة البلدان الأمريكية </w:t>
          </w:r>
          <w:r w:rsidR="00FA0306" w:rsidRPr="005B7B13">
            <w:rPr>
              <w:rFonts w:hint="cs"/>
              <w:spacing w:val="0"/>
              <w:position w:val="2"/>
              <w:rtl/>
              <w:lang w:bidi="ar-SA"/>
            </w:rPr>
            <w:t xml:space="preserve">للاتصالات </w:t>
          </w:r>
          <w:r w:rsidRPr="005B7B13">
            <w:rPr>
              <w:spacing w:val="0"/>
              <w:position w:val="2"/>
              <w:lang w:val="en-US"/>
            </w:rPr>
            <w:t xml:space="preserve"> (CITEL)</w:t>
          </w:r>
          <w:r w:rsidRPr="005B7B13">
            <w:rPr>
              <w:spacing w:val="0"/>
              <w:rtl/>
            </w:rPr>
            <w:br/>
          </w:r>
          <w:r w:rsidR="00FA0306" w:rsidRPr="005B7B13">
            <w:rPr>
              <w:spacing w:val="0"/>
              <w:rtl/>
              <w:lang w:bidi="ar-SA"/>
            </w:rPr>
            <w:t>واشنطن</w:t>
          </w:r>
          <w:r w:rsidRPr="005B7B13">
            <w:rPr>
              <w:spacing w:val="0"/>
              <w:rtl/>
              <w:lang w:bidi="ar-SA"/>
            </w:rPr>
            <w:t xml:space="preserve"> العاصمة، الولايات المتحدة الأمريكية</w:t>
          </w:r>
        </w:p>
      </w:tc>
      <w:tc>
        <w:tcPr>
          <w:tcW w:w="3912" w:type="dxa"/>
        </w:tcPr>
        <w:p w:rsidR="00BA04DE" w:rsidRPr="005B7B13" w:rsidRDefault="00BA04DE" w:rsidP="00BA04DE">
          <w:pPr>
            <w:pStyle w:val="Tabletext0"/>
            <w:tabs>
              <w:tab w:val="clear" w:pos="794"/>
              <w:tab w:val="clear" w:pos="2437"/>
              <w:tab w:val="left" w:pos="1161"/>
            </w:tabs>
            <w:rPr>
              <w:spacing w:val="0"/>
              <w:rtl/>
            </w:rPr>
          </w:pPr>
          <w:r w:rsidRPr="005B7B13">
            <w:rPr>
              <w:rFonts w:hint="cs"/>
              <w:spacing w:val="0"/>
              <w:rtl/>
            </w:rPr>
            <w:t>الهاتف:</w:t>
          </w:r>
          <w:r w:rsidRPr="005B7B13">
            <w:rPr>
              <w:spacing w:val="0"/>
            </w:rPr>
            <w:tab/>
          </w:r>
          <w:r w:rsidRPr="005B7B13">
            <w:rPr>
              <w:spacing w:val="0"/>
              <w:szCs w:val="20"/>
              <w:lang w:val="en-GB"/>
            </w:rPr>
            <w:t>+ 1 (202) 370-4713</w:t>
          </w:r>
        </w:p>
        <w:p w:rsidR="00BA04DE" w:rsidRPr="005B7B13" w:rsidRDefault="00BA04DE" w:rsidP="00BA04DE">
          <w:pPr>
            <w:pStyle w:val="Tabletext0"/>
            <w:tabs>
              <w:tab w:val="clear" w:pos="794"/>
              <w:tab w:val="clear" w:pos="2437"/>
              <w:tab w:val="left" w:pos="1161"/>
            </w:tabs>
            <w:rPr>
              <w:spacing w:val="0"/>
              <w:rtl/>
            </w:rPr>
          </w:pPr>
          <w:r w:rsidRPr="005B7B13">
            <w:rPr>
              <w:rFonts w:hint="cs"/>
              <w:spacing w:val="0"/>
              <w:rtl/>
            </w:rPr>
            <w:t>الفاكس:</w:t>
          </w:r>
          <w:r w:rsidRPr="005B7B13">
            <w:rPr>
              <w:spacing w:val="0"/>
              <w:rtl/>
            </w:rPr>
            <w:tab/>
          </w:r>
          <w:r w:rsidRPr="005B7B13">
            <w:rPr>
              <w:spacing w:val="0"/>
              <w:szCs w:val="20"/>
              <w:lang w:val="en-GB"/>
            </w:rPr>
            <w:t>+ 1 (202) 458-6854</w:t>
          </w:r>
          <w:r w:rsidRPr="005B7B13">
            <w:rPr>
              <w:spacing w:val="0"/>
            </w:rPr>
            <w:br/>
          </w:r>
          <w:r w:rsidRPr="005B7B13">
            <w:rPr>
              <w:rFonts w:hint="cs"/>
              <w:spacing w:val="0"/>
              <w:rtl/>
            </w:rPr>
            <w:t>البريد الإلكتروني:</w:t>
          </w:r>
          <w:r w:rsidRPr="005B7B13">
            <w:rPr>
              <w:spacing w:val="0"/>
            </w:rPr>
            <w:tab/>
          </w:r>
          <w:hyperlink r:id="rId1" w:history="1">
            <w:r w:rsidRPr="005B7B13">
              <w:rPr>
                <w:rStyle w:val="Hyperlink"/>
                <w:spacing w:val="0"/>
                <w:lang w:val="en-GB"/>
              </w:rPr>
              <w:t>citel@oas.org</w:t>
            </w:r>
          </w:hyperlink>
        </w:p>
      </w:tc>
    </w:tr>
  </w:tbl>
  <w:p w:rsidR="00E07379" w:rsidRPr="00BA04DE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5B7B13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WTSA16/46(Add.13)-A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6BB0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A38CE"/>
    <w:rsid w:val="003B7985"/>
    <w:rsid w:val="003C475F"/>
    <w:rsid w:val="003E4132"/>
    <w:rsid w:val="003F678F"/>
    <w:rsid w:val="004076DD"/>
    <w:rsid w:val="0042686F"/>
    <w:rsid w:val="004367CE"/>
    <w:rsid w:val="00443869"/>
    <w:rsid w:val="004712C6"/>
    <w:rsid w:val="00494B8D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13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33D0"/>
    <w:rsid w:val="006C1556"/>
    <w:rsid w:val="006F267F"/>
    <w:rsid w:val="006F63F7"/>
    <w:rsid w:val="006F6F03"/>
    <w:rsid w:val="00706D7A"/>
    <w:rsid w:val="00726AEC"/>
    <w:rsid w:val="007357C2"/>
    <w:rsid w:val="007530CA"/>
    <w:rsid w:val="00772431"/>
    <w:rsid w:val="0079553D"/>
    <w:rsid w:val="007B01CC"/>
    <w:rsid w:val="007B3D37"/>
    <w:rsid w:val="007F646C"/>
    <w:rsid w:val="00800335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D6578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E6895"/>
    <w:rsid w:val="009F1C12"/>
    <w:rsid w:val="00A25A43"/>
    <w:rsid w:val="00A3295B"/>
    <w:rsid w:val="00A42AE5"/>
    <w:rsid w:val="00A52B61"/>
    <w:rsid w:val="00A64820"/>
    <w:rsid w:val="00A71B99"/>
    <w:rsid w:val="00A71DD6"/>
    <w:rsid w:val="00A723C7"/>
    <w:rsid w:val="00A80E11"/>
    <w:rsid w:val="00A873DD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50485"/>
    <w:rsid w:val="00B66B9A"/>
    <w:rsid w:val="00B82089"/>
    <w:rsid w:val="00B970AE"/>
    <w:rsid w:val="00BA04DE"/>
    <w:rsid w:val="00BA1427"/>
    <w:rsid w:val="00BC2137"/>
    <w:rsid w:val="00BE49D0"/>
    <w:rsid w:val="00BF2C38"/>
    <w:rsid w:val="00C23331"/>
    <w:rsid w:val="00C239FD"/>
    <w:rsid w:val="00C265DA"/>
    <w:rsid w:val="00C43399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EA0943"/>
    <w:rsid w:val="00F126F1"/>
    <w:rsid w:val="00F2106A"/>
    <w:rsid w:val="00F36D8B"/>
    <w:rsid w:val="00F401D0"/>
    <w:rsid w:val="00F45F2B"/>
    <w:rsid w:val="00F57AE4"/>
    <w:rsid w:val="00F611DA"/>
    <w:rsid w:val="00F67150"/>
    <w:rsid w:val="00F84366"/>
    <w:rsid w:val="00F85089"/>
    <w:rsid w:val="00F85564"/>
    <w:rsid w:val="00F86CFA"/>
    <w:rsid w:val="00FA0306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Tabletext0">
    <w:name w:val="Table text"/>
    <w:basedOn w:val="Normal"/>
    <w:qFormat/>
    <w:rsid w:val="00BA04DE"/>
    <w:pPr>
      <w:keepNext/>
      <w:tabs>
        <w:tab w:val="clear" w:pos="1134"/>
        <w:tab w:val="left" w:pos="794"/>
        <w:tab w:val="right" w:pos="2437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spacing w:val="-6"/>
      <w:sz w:val="20"/>
      <w:szCs w:val="26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21fee7-4d41-4475-abae-7c1679c6bc6e" targetNamespace="http://schemas.microsoft.com/office/2006/metadata/properties" ma:root="true" ma:fieldsID="d41af5c836d734370eb92e7ee5f83852" ns2:_="" ns3:_="">
    <xsd:import namespace="996b2e75-67fd-4955-a3b0-5ab9934cb50b"/>
    <xsd:import namespace="ed21fee7-4d41-4475-abae-7c1679c6bc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1fee7-4d41-4475-abae-7c1679c6bc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21fee7-4d41-4475-abae-7c1679c6bc6e">Documents Proposals Manager (DPM)</DPM_x0020_Author>
    <DPM_x0020_File_x0020_name xmlns="ed21fee7-4d41-4475-abae-7c1679c6bc6e">T13-WTSA.16-C-0046!A13!MSW-A</DPM_x0020_File_x0020_name>
    <DPM_x0020_Version xmlns="ed21fee7-4d41-4475-abae-7c1679c6bc6e">DPM_v2016.9.27.1_prod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21fee7-4d41-4475-abae-7c1679c6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ed21fee7-4d41-4475-abae-7c1679c6bc6e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50567F-B9DD-47AE-933C-C0FC09B3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T13-WTSA.16-C-0046!A13!MSW-A</vt:lpstr>
    </vt:vector>
  </TitlesOfParts>
  <Company>International Telecommunication Union (ITU)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T13-WTSA.16-C-0046!A13!MSW-A</dc:title>
  <dc:subject>World Telecommunication Standardization Assembly</dc:subject>
  <dc:creator>Documents Proposals Manager (DPM)</dc:creator>
  <cp:keywords>DPM_v2016.9.27.1_prod</cp:keywords>
  <dc:description>Template used by DPM and CPI for the WTSA-16</dc:description>
  <cp:lastModifiedBy>Awad, Samy</cp:lastModifiedBy>
  <cp:revision>13</cp:revision>
  <cp:lastPrinted>2016-06-07T13:25:00Z</cp:lastPrinted>
  <dcterms:created xsi:type="dcterms:W3CDTF">2016-10-05T12:20:00Z</dcterms:created>
  <dcterms:modified xsi:type="dcterms:W3CDTF">2016-10-05T15:29:00Z</dcterms:modified>
  <cp:category>Conference document</cp:category>
</cp:coreProperties>
</file>