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6B6C85" w:rsidTr="008D2BF5">
        <w:trPr>
          <w:cantSplit/>
          <w:jc w:val="center"/>
        </w:trPr>
        <w:tc>
          <w:tcPr>
            <w:tcW w:w="808" w:type="pct"/>
          </w:tcPr>
          <w:p w:rsidR="006B6C85" w:rsidRPr="006B6C85" w:rsidRDefault="006B6C85" w:rsidP="0032574B">
            <w:pPr>
              <w:spacing w:line="240" w:lineRule="auto"/>
              <w:rPr>
                <w:b/>
                <w:bCs/>
                <w:rtl/>
                <w:lang w:bidi="ar-EG"/>
              </w:rPr>
            </w:pPr>
            <w:r w:rsidRPr="006B6C85">
              <w:rPr>
                <w:noProof/>
                <w:lang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6B6C85" w:rsidRDefault="006B6C85" w:rsidP="0032574B">
            <w:pPr>
              <w:pStyle w:val="TopHeader"/>
              <w:rPr>
                <w:rtl/>
              </w:rPr>
            </w:pPr>
            <w:r w:rsidRPr="006B6C85">
              <w:rPr>
                <w:rFonts w:hint="cs"/>
                <w:rtl/>
              </w:rPr>
              <w:t xml:space="preserve">الجمعية العالمية لتقييس الاتصالات </w:t>
            </w:r>
            <w:r w:rsidRPr="006B6C85">
              <w:rPr>
                <w:lang w:bidi="ar-SA"/>
              </w:rPr>
              <w:t>(WTSA-16)</w:t>
            </w:r>
          </w:p>
          <w:p w:rsidR="006B6C85" w:rsidRPr="00597885" w:rsidRDefault="006B6C85" w:rsidP="0032574B">
            <w:pPr>
              <w:pStyle w:val="TopHeader2"/>
              <w:rPr>
                <w:rtl/>
              </w:rPr>
            </w:pPr>
            <w:r w:rsidRPr="00597885">
              <w:rPr>
                <w:rFonts w:hint="cs"/>
                <w:rtl/>
              </w:rPr>
              <w:t xml:space="preserve">الحمامات، </w:t>
            </w:r>
            <w:r w:rsidRPr="00597885">
              <w:rPr>
                <w:lang w:bidi="ar-SA"/>
              </w:rPr>
              <w:t>25</w:t>
            </w:r>
            <w:r w:rsidRPr="00597885">
              <w:rPr>
                <w:rFonts w:hint="cs"/>
                <w:rtl/>
              </w:rPr>
              <w:t xml:space="preserve"> أكتوبر - </w:t>
            </w:r>
            <w:r w:rsidRPr="00597885">
              <w:rPr>
                <w:lang w:bidi="ar-SA"/>
              </w:rPr>
              <w:t>3</w:t>
            </w:r>
            <w:r w:rsidRPr="00597885">
              <w:rPr>
                <w:rFonts w:hint="cs"/>
                <w:rtl/>
              </w:rPr>
              <w:t xml:space="preserve"> نوفمبر </w:t>
            </w:r>
            <w:r w:rsidRPr="00597885">
              <w:rPr>
                <w:lang w:bidi="ar-SA"/>
              </w:rPr>
              <w:t>2016</w:t>
            </w:r>
          </w:p>
        </w:tc>
        <w:tc>
          <w:tcPr>
            <w:tcW w:w="1109" w:type="pct"/>
          </w:tcPr>
          <w:p w:rsidR="006B6C85" w:rsidRPr="006B6C85" w:rsidRDefault="006B6C85" w:rsidP="0032574B">
            <w:pPr>
              <w:spacing w:line="240" w:lineRule="auto"/>
              <w:jc w:val="right"/>
              <w:rPr>
                <w:rtl/>
                <w:lang w:bidi="ar-EG"/>
              </w:rPr>
            </w:pPr>
            <w:bookmarkStart w:id="0" w:name="ditulogo"/>
            <w:bookmarkEnd w:id="0"/>
            <w:r w:rsidRPr="006B6C85">
              <w:rPr>
                <w:noProof/>
                <w:lang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6B6C85" w:rsidTr="008D2BF5">
        <w:trPr>
          <w:cantSplit/>
          <w:jc w:val="center"/>
        </w:trPr>
        <w:tc>
          <w:tcPr>
            <w:tcW w:w="808" w:type="pct"/>
            <w:tcBorders>
              <w:bottom w:val="single" w:sz="12" w:space="0" w:color="auto"/>
            </w:tcBorders>
            <w:vAlign w:val="center"/>
          </w:tcPr>
          <w:p w:rsidR="006B6C85" w:rsidRPr="006B6C85" w:rsidRDefault="006B6C85" w:rsidP="004847F5">
            <w:pPr>
              <w:spacing w:before="60" w:after="60"/>
              <w:jc w:val="left"/>
              <w:rPr>
                <w:rtl/>
                <w:lang w:bidi="ar-EG"/>
              </w:rPr>
            </w:pPr>
          </w:p>
        </w:tc>
        <w:tc>
          <w:tcPr>
            <w:tcW w:w="3083" w:type="pct"/>
            <w:gridSpan w:val="2"/>
            <w:tcBorders>
              <w:bottom w:val="single" w:sz="12" w:space="0" w:color="auto"/>
            </w:tcBorders>
            <w:vAlign w:val="center"/>
          </w:tcPr>
          <w:p w:rsidR="006B6C85" w:rsidRPr="006B6C85" w:rsidRDefault="006B6C85" w:rsidP="004847F5">
            <w:pPr>
              <w:spacing w:before="60" w:after="60"/>
              <w:jc w:val="left"/>
              <w:rPr>
                <w:rtl/>
                <w:lang w:bidi="ar-EG"/>
              </w:rPr>
            </w:pPr>
          </w:p>
        </w:tc>
        <w:tc>
          <w:tcPr>
            <w:tcW w:w="1109" w:type="pct"/>
            <w:tcBorders>
              <w:bottom w:val="single" w:sz="12" w:space="0" w:color="auto"/>
            </w:tcBorders>
            <w:vAlign w:val="center"/>
          </w:tcPr>
          <w:p w:rsidR="006B6C85" w:rsidRPr="006B6C85" w:rsidRDefault="006B6C85" w:rsidP="004847F5">
            <w:pPr>
              <w:spacing w:before="60" w:after="60"/>
              <w:jc w:val="left"/>
            </w:pPr>
          </w:p>
        </w:tc>
      </w:tr>
      <w:tr w:rsidR="006B6C85" w:rsidRPr="006B6C85" w:rsidTr="008D2BF5">
        <w:trPr>
          <w:cantSplit/>
          <w:jc w:val="center"/>
        </w:trPr>
        <w:tc>
          <w:tcPr>
            <w:tcW w:w="3428" w:type="pct"/>
            <w:gridSpan w:val="2"/>
            <w:tcBorders>
              <w:top w:val="single" w:sz="12" w:space="0" w:color="auto"/>
            </w:tcBorders>
          </w:tcPr>
          <w:p w:rsidR="006B6C85" w:rsidRPr="006B6C85" w:rsidRDefault="006B6C85" w:rsidP="006B6C85">
            <w:pPr>
              <w:rPr>
                <w:b/>
                <w:bCs/>
                <w:rtl/>
                <w:lang w:bidi="ar-EG"/>
              </w:rPr>
            </w:pPr>
          </w:p>
        </w:tc>
        <w:tc>
          <w:tcPr>
            <w:tcW w:w="1572" w:type="pct"/>
            <w:gridSpan w:val="2"/>
            <w:tcBorders>
              <w:top w:val="single" w:sz="12" w:space="0" w:color="auto"/>
            </w:tcBorders>
          </w:tcPr>
          <w:p w:rsidR="006B6C85" w:rsidRPr="006B6C85" w:rsidRDefault="006B6C85" w:rsidP="006B6C85">
            <w:pPr>
              <w:rPr>
                <w:b/>
                <w:bCs/>
              </w:rPr>
            </w:pPr>
          </w:p>
        </w:tc>
      </w:tr>
      <w:tr w:rsidR="006B6C85" w:rsidRPr="003F3C56" w:rsidTr="008D2BF5">
        <w:trPr>
          <w:cantSplit/>
          <w:jc w:val="center"/>
        </w:trPr>
        <w:tc>
          <w:tcPr>
            <w:tcW w:w="3428" w:type="pct"/>
            <w:gridSpan w:val="2"/>
          </w:tcPr>
          <w:p w:rsidR="006B6C85" w:rsidRPr="003F3C56" w:rsidRDefault="004A589A" w:rsidP="008E6FC0">
            <w:pPr>
              <w:pStyle w:val="Committee"/>
              <w:bidi/>
              <w:rPr>
                <w:rtl/>
              </w:rPr>
            </w:pPr>
            <w:bookmarkStart w:id="1" w:name="dmeeting"/>
            <w:bookmarkEnd w:id="1"/>
            <w:r w:rsidRPr="003F3C56">
              <w:rPr>
                <w:rFonts w:hint="cs"/>
                <w:rtl/>
              </w:rPr>
              <w:t>الجلسة العامة</w:t>
            </w:r>
          </w:p>
        </w:tc>
        <w:tc>
          <w:tcPr>
            <w:tcW w:w="1572" w:type="pct"/>
            <w:gridSpan w:val="2"/>
            <w:vAlign w:val="center"/>
          </w:tcPr>
          <w:p w:rsidR="006B6C85" w:rsidRPr="003F3C56" w:rsidRDefault="008E6FC0" w:rsidP="00111DA8">
            <w:pPr>
              <w:pStyle w:val="Docnumber"/>
              <w:rPr>
                <w:rtl/>
              </w:rPr>
            </w:pPr>
            <w:bookmarkStart w:id="2" w:name="dnum"/>
            <w:r w:rsidRPr="003F3C56">
              <w:rPr>
                <w:rFonts w:hint="cs"/>
                <w:rtl/>
              </w:rPr>
              <w:t xml:space="preserve">الإضافة </w:t>
            </w:r>
            <w:r w:rsidRPr="003F3C56">
              <w:t>25</w:t>
            </w:r>
            <w:r w:rsidR="00111DA8">
              <w:rPr>
                <w:rtl/>
              </w:rPr>
              <w:br/>
            </w:r>
            <w:r w:rsidR="00111DA8">
              <w:rPr>
                <w:rFonts w:hint="cs"/>
                <w:rtl/>
              </w:rPr>
              <w:t>ل</w:t>
            </w:r>
            <w:r w:rsidR="006B6C85" w:rsidRPr="003F3C56">
              <w:rPr>
                <w:rFonts w:hint="cs"/>
                <w:rtl/>
              </w:rPr>
              <w:t>ل</w:t>
            </w:r>
            <w:r w:rsidR="006B6C85" w:rsidRPr="003F3C56">
              <w:rPr>
                <w:rtl/>
              </w:rPr>
              <w:t>و</w:t>
            </w:r>
            <w:r w:rsidR="006B6C85" w:rsidRPr="003F3C56">
              <w:rPr>
                <w:rFonts w:hint="cs"/>
                <w:rtl/>
              </w:rPr>
              <w:t xml:space="preserve">ثيقة </w:t>
            </w:r>
            <w:bookmarkEnd w:id="2"/>
            <w:r w:rsidR="003F3C56">
              <w:rPr>
                <w:lang w:bidi="ar-SA"/>
              </w:rPr>
              <w:t>46</w:t>
            </w:r>
            <w:r w:rsidR="006B6C85" w:rsidRPr="003F3C56">
              <w:rPr>
                <w:lang w:bidi="ar-SA"/>
              </w:rPr>
              <w:t>-A</w:t>
            </w:r>
          </w:p>
        </w:tc>
      </w:tr>
      <w:tr w:rsidR="006B6C85" w:rsidRPr="003F3C56" w:rsidTr="008D2BF5">
        <w:trPr>
          <w:cantSplit/>
          <w:jc w:val="center"/>
        </w:trPr>
        <w:tc>
          <w:tcPr>
            <w:tcW w:w="3428" w:type="pct"/>
            <w:gridSpan w:val="2"/>
          </w:tcPr>
          <w:p w:rsidR="006B6C85" w:rsidRPr="003F3C56" w:rsidRDefault="006B6C85" w:rsidP="008D2BF5">
            <w:pPr>
              <w:pStyle w:val="Docnumber"/>
              <w:rPr>
                <w:rtl/>
              </w:rPr>
            </w:pPr>
          </w:p>
        </w:tc>
        <w:tc>
          <w:tcPr>
            <w:tcW w:w="1572" w:type="pct"/>
            <w:gridSpan w:val="2"/>
            <w:vAlign w:val="center"/>
          </w:tcPr>
          <w:p w:rsidR="006B6C85" w:rsidRPr="003F3C56" w:rsidRDefault="008E6FC0" w:rsidP="008D2BF5">
            <w:pPr>
              <w:pStyle w:val="Docnumber"/>
              <w:rPr>
                <w:rtl/>
              </w:rPr>
            </w:pPr>
            <w:bookmarkStart w:id="3" w:name="ddate"/>
            <w:r w:rsidRPr="003F3C56">
              <w:rPr>
                <w:rFonts w:hint="cs"/>
                <w:rtl/>
              </w:rPr>
              <w:t>سبتمبر</w:t>
            </w:r>
            <w:r w:rsidR="006B6C85" w:rsidRPr="003F3C56">
              <w:rPr>
                <w:rFonts w:hint="cs"/>
                <w:rtl/>
              </w:rPr>
              <w:t xml:space="preserve"> </w:t>
            </w:r>
            <w:bookmarkEnd w:id="3"/>
            <w:r w:rsidR="006B6C85" w:rsidRPr="003F3C56">
              <w:rPr>
                <w:lang w:bidi="ar-SA"/>
              </w:rPr>
              <w:t>2016</w:t>
            </w:r>
          </w:p>
        </w:tc>
      </w:tr>
      <w:tr w:rsidR="006B6C85" w:rsidRPr="003F3C56" w:rsidTr="008D2BF5">
        <w:trPr>
          <w:cantSplit/>
          <w:jc w:val="center"/>
        </w:trPr>
        <w:tc>
          <w:tcPr>
            <w:tcW w:w="3428" w:type="pct"/>
            <w:gridSpan w:val="2"/>
          </w:tcPr>
          <w:p w:rsidR="006B6C85" w:rsidRPr="003F3C56" w:rsidRDefault="006B6C85" w:rsidP="008D2BF5">
            <w:pPr>
              <w:pStyle w:val="Docnumber"/>
              <w:rPr>
                <w:rtl/>
              </w:rPr>
            </w:pPr>
          </w:p>
        </w:tc>
        <w:tc>
          <w:tcPr>
            <w:tcW w:w="1572" w:type="pct"/>
            <w:gridSpan w:val="2"/>
            <w:vAlign w:val="center"/>
          </w:tcPr>
          <w:p w:rsidR="006B6C85" w:rsidRPr="003F3C56" w:rsidRDefault="006B6C85" w:rsidP="008E6FC0">
            <w:pPr>
              <w:pStyle w:val="Docnumber"/>
              <w:rPr>
                <w:lang w:bidi="ar-SA"/>
              </w:rPr>
            </w:pPr>
            <w:bookmarkStart w:id="4" w:name="dorlang"/>
            <w:r w:rsidRPr="003F3C56">
              <w:rPr>
                <w:rtl/>
              </w:rPr>
              <w:t xml:space="preserve">الأصل: </w:t>
            </w:r>
            <w:bookmarkEnd w:id="4"/>
            <w:r w:rsidR="008E6FC0" w:rsidRPr="003F3C56">
              <w:rPr>
                <w:rFonts w:hint="cs"/>
                <w:rtl/>
              </w:rPr>
              <w:t>بالإسبانية</w:t>
            </w:r>
          </w:p>
        </w:tc>
      </w:tr>
      <w:tr w:rsidR="006B6C85" w:rsidRPr="006B6C85" w:rsidTr="008D2BF5">
        <w:trPr>
          <w:cantSplit/>
          <w:jc w:val="center"/>
        </w:trPr>
        <w:tc>
          <w:tcPr>
            <w:tcW w:w="5000" w:type="pct"/>
            <w:gridSpan w:val="4"/>
          </w:tcPr>
          <w:p w:rsidR="006B6C85" w:rsidRPr="006B6C85" w:rsidRDefault="006B6C85" w:rsidP="008D2BF5">
            <w:pPr>
              <w:spacing w:before="0" w:line="340" w:lineRule="exact"/>
              <w:rPr>
                <w:b/>
                <w:bCs/>
              </w:rPr>
            </w:pPr>
          </w:p>
        </w:tc>
      </w:tr>
      <w:tr w:rsidR="003F3C56" w:rsidRPr="006B6C85" w:rsidTr="008D2BF5">
        <w:trPr>
          <w:cantSplit/>
          <w:jc w:val="center"/>
        </w:trPr>
        <w:tc>
          <w:tcPr>
            <w:tcW w:w="5000" w:type="pct"/>
            <w:gridSpan w:val="4"/>
          </w:tcPr>
          <w:p w:rsidR="003F3C56" w:rsidRPr="00E621A3" w:rsidRDefault="003F3C56" w:rsidP="003F3C56">
            <w:pPr>
              <w:pStyle w:val="Source"/>
              <w:rPr>
                <w:rtl/>
              </w:rPr>
            </w:pPr>
            <w:r w:rsidRPr="008204AC">
              <w:rPr>
                <w:rtl/>
              </w:rPr>
              <w:t xml:space="preserve">الدول الأعضاء في لجنة البلدان الأمريكية للاتصالات </w:t>
            </w:r>
            <w:r>
              <w:t>(CITEL)</w:t>
            </w:r>
          </w:p>
        </w:tc>
      </w:tr>
      <w:tr w:rsidR="003F3C56" w:rsidRPr="006B6C85" w:rsidTr="008D2BF5">
        <w:trPr>
          <w:cantSplit/>
          <w:jc w:val="center"/>
        </w:trPr>
        <w:tc>
          <w:tcPr>
            <w:tcW w:w="5000" w:type="pct"/>
            <w:gridSpan w:val="4"/>
          </w:tcPr>
          <w:p w:rsidR="003F3C56" w:rsidRPr="006B6C85" w:rsidRDefault="003F3C56" w:rsidP="00111DA8">
            <w:pPr>
              <w:pStyle w:val="Title1"/>
              <w:rPr>
                <w:rtl/>
              </w:rPr>
            </w:pPr>
            <w:r>
              <w:rPr>
                <w:rFonts w:hint="cs"/>
                <w:rtl/>
              </w:rPr>
              <w:t>مبادئ هيكلة ل</w:t>
            </w:r>
            <w:r w:rsidR="00775EE0">
              <w:rPr>
                <w:rFonts w:hint="cs"/>
                <w:rtl/>
              </w:rPr>
              <w:t>‍</w:t>
            </w:r>
            <w:r>
              <w:rPr>
                <w:rFonts w:hint="cs"/>
                <w:rtl/>
              </w:rPr>
              <w:t>جان الدراسات</w:t>
            </w:r>
          </w:p>
        </w:tc>
      </w:tr>
    </w:tbl>
    <w:p w:rsidR="004F39B8" w:rsidRDefault="004F39B8" w:rsidP="006B6C85">
      <w:pPr>
        <w:rPr>
          <w:rtl/>
        </w:rPr>
      </w:pPr>
    </w:p>
    <w:tbl>
      <w:tblPr>
        <w:tblStyle w:val="TableGrid"/>
        <w:bidiVisual/>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506"/>
      </w:tblGrid>
      <w:tr w:rsidR="004F39B8" w:rsidTr="00323BD4">
        <w:tc>
          <w:tcPr>
            <w:tcW w:w="1265" w:type="dxa"/>
          </w:tcPr>
          <w:p w:rsidR="004F39B8" w:rsidRPr="004F39B8" w:rsidRDefault="004F39B8" w:rsidP="004F39B8">
            <w:pPr>
              <w:spacing w:before="60" w:after="60"/>
              <w:jc w:val="left"/>
              <w:rPr>
                <w:b/>
                <w:bCs/>
                <w:rtl/>
              </w:rPr>
            </w:pPr>
            <w:r w:rsidRPr="004F39B8">
              <w:rPr>
                <w:rFonts w:hint="cs"/>
                <w:b/>
                <w:bCs/>
                <w:rtl/>
              </w:rPr>
              <w:t>ملخص:</w:t>
            </w:r>
          </w:p>
        </w:tc>
        <w:tc>
          <w:tcPr>
            <w:tcW w:w="8506" w:type="dxa"/>
          </w:tcPr>
          <w:p w:rsidR="004F39B8" w:rsidRDefault="005833B6" w:rsidP="00996439">
            <w:pPr>
              <w:spacing w:before="60" w:after="60"/>
              <w:rPr>
                <w:rtl/>
              </w:rPr>
            </w:pPr>
            <w:r w:rsidRPr="005833B6">
              <w:rPr>
                <w:rtl/>
              </w:rPr>
              <w:t>تعرض هذه المساهمة الآراء الحالية والأولية للدول الأعضاء في لجنة البلدان الأمريكية للاتصالات فيما</w:t>
            </w:r>
            <w:r w:rsidR="00996439">
              <w:rPr>
                <w:rFonts w:hint="cs"/>
                <w:rtl/>
              </w:rPr>
              <w:t> </w:t>
            </w:r>
            <w:r w:rsidRPr="005833B6">
              <w:rPr>
                <w:rtl/>
              </w:rPr>
              <w:t>يتعلق بهيكل قطاع ‏تقييس الاتصالات بالاتحاد ‏</w:t>
            </w:r>
            <w:r w:rsidRPr="005833B6">
              <w:rPr>
                <w:cs/>
              </w:rPr>
              <w:t>‎</w:t>
            </w:r>
            <w:r w:rsidRPr="005833B6">
              <w:t>(ITU-T)</w:t>
            </w:r>
            <w:r w:rsidRPr="005833B6">
              <w:rPr>
                <w:cs/>
              </w:rPr>
              <w:t>‎</w:t>
            </w:r>
            <w:r w:rsidRPr="005833B6">
              <w:rPr>
                <w:rtl/>
              </w:rPr>
              <w:t>‏. وتقدَّم هذه المساهمة لتحفيز مناقشة النُّهج الممكنة لهيكلة القطاع، التي ستتناولها ‏الجمعية العالمية لتقييس الاتصالات لعام ‏</w:t>
            </w:r>
            <w:r w:rsidRPr="005833B6">
              <w:rPr>
                <w:cs/>
              </w:rPr>
              <w:t>‎</w:t>
            </w:r>
            <w:r w:rsidRPr="005833B6">
              <w:t>2016</w:t>
            </w:r>
            <w:r w:rsidRPr="005833B6">
              <w:rPr>
                <w:cs/>
              </w:rPr>
              <w:t>‎</w:t>
            </w:r>
            <w:r w:rsidRPr="005833B6">
              <w:rPr>
                <w:rtl/>
              </w:rPr>
              <w:t>‏</w:t>
            </w:r>
            <w:r w:rsidR="00D24B82">
              <w:rPr>
                <w:rFonts w:hint="cs"/>
                <w:rtl/>
                <w:lang w:bidi="ar-EG"/>
              </w:rPr>
              <w:t xml:space="preserve"> </w:t>
            </w:r>
            <w:r w:rsidR="00D24B82">
              <w:t>(WTSA-16)</w:t>
            </w:r>
            <w:r w:rsidRPr="005833B6">
              <w:rPr>
                <w:rtl/>
              </w:rPr>
              <w:t>.‏</w:t>
            </w:r>
          </w:p>
        </w:tc>
      </w:tr>
    </w:tbl>
    <w:p w:rsidR="003F3C56" w:rsidRDefault="003F3C56" w:rsidP="00FF7000">
      <w:pPr>
        <w:rPr>
          <w:rtl/>
        </w:rPr>
      </w:pPr>
    </w:p>
    <w:p w:rsidR="003F3C56" w:rsidRDefault="003F3C56" w:rsidP="003F3C56">
      <w:pPr>
        <w:pStyle w:val="Headingb"/>
      </w:pPr>
      <w:r>
        <w:rPr>
          <w:rFonts w:hint="cs"/>
          <w:rtl/>
        </w:rPr>
        <w:t>خلفية</w:t>
      </w:r>
    </w:p>
    <w:p w:rsidR="003F3C56" w:rsidRDefault="003F3C56" w:rsidP="003F3C56">
      <w:pPr>
        <w:rPr>
          <w:rtl/>
        </w:rPr>
      </w:pPr>
      <w:r>
        <w:rPr>
          <w:rFonts w:hint="cs"/>
          <w:rtl/>
        </w:rPr>
        <w:t>تتطور الاتصالات/تكنولوجيا المعلومات والاتصالات باستمرار، ولذلك يتعين على النظام الإيكولوجي للمعايير أن يواكب هذا التطور. وهناك العديد من منظمات ومنتديات وضع المعايير التي تركز على جوانب أنظمة الاتصالات/تكنو</w:t>
      </w:r>
      <w:r w:rsidR="00941FD9">
        <w:rPr>
          <w:rFonts w:hint="cs"/>
          <w:rtl/>
        </w:rPr>
        <w:t>لوجيا المعلومات والاتصالات. ولا</w:t>
      </w:r>
      <w:r w:rsidR="00941FD9">
        <w:rPr>
          <w:rFonts w:hint="eastAsia"/>
          <w:rtl/>
        </w:rPr>
        <w:t> </w:t>
      </w:r>
      <w:r>
        <w:rPr>
          <w:rFonts w:hint="cs"/>
          <w:rtl/>
        </w:rPr>
        <w:t xml:space="preserve">يمكن لمنظمة واحدة أن تغطي هذا الموضوع بأكمله، وينبغي ألاّ تحاول ذلك أو تدعي أنها قادرة على ذلك. فالتركيز على مجالات محددة يُكسب الخبرة وأما تناول الكثير من المجالات، فقد يشتت الجهود. </w:t>
      </w:r>
    </w:p>
    <w:p w:rsidR="00111DA8" w:rsidRDefault="00111DA8" w:rsidP="003F3C56">
      <w:pPr>
        <w:pStyle w:val="Headingb"/>
        <w:rPr>
          <w:rtl/>
        </w:rPr>
      </w:pPr>
      <w:r>
        <w:rPr>
          <w:rtl/>
        </w:rPr>
        <w:br w:type="page"/>
      </w:r>
    </w:p>
    <w:p w:rsidR="003F3C56" w:rsidRDefault="003F3C56" w:rsidP="003F3C56">
      <w:pPr>
        <w:pStyle w:val="Headingb"/>
        <w:rPr>
          <w:rtl/>
        </w:rPr>
      </w:pPr>
      <w:r>
        <w:rPr>
          <w:rFonts w:hint="cs"/>
          <w:rtl/>
        </w:rPr>
        <w:lastRenderedPageBreak/>
        <w:t>المناقشة</w:t>
      </w:r>
    </w:p>
    <w:p w:rsidR="003F3C56" w:rsidRDefault="003F3C56" w:rsidP="003F3C56">
      <w:pPr>
        <w:rPr>
          <w:rtl/>
        </w:rPr>
      </w:pPr>
      <w:r>
        <w:rPr>
          <w:rFonts w:hint="cs"/>
          <w:rtl/>
        </w:rPr>
        <w:t>تُنفَّذ عملية إعادة تنظيم لجان الدراسات تقريباً في كل اجتماع من اجتماعات الجمعية العالمية لتقييس الاتصالات التي تُعقد كل أربع سنوات. وأظهرت التجارب أن من شأن المبادئ التالية، في حال تطبيقها على تحديد هيكل لجان الدراسات، أن تمكّن من وضع معايير مناسبة من حيث التوقيت وسليمة من الناحية التقنية:</w:t>
      </w:r>
    </w:p>
    <w:p w:rsidR="003F3C56" w:rsidRDefault="00280942" w:rsidP="002B4642">
      <w:r>
        <w:t>1</w:t>
      </w:r>
      <w:r>
        <w:rPr>
          <w:rtl/>
          <w:lang w:bidi="ar-EG"/>
        </w:rPr>
        <w:tab/>
      </w:r>
      <w:r w:rsidR="003F3C56">
        <w:rPr>
          <w:rFonts w:hint="cs"/>
          <w:rtl/>
        </w:rPr>
        <w:t xml:space="preserve">ينبغي أن يكون الهيكل مختصراً ويقدم إرشادات واضحة إلى أعضاء قطاع تقييس الاتصالات بشأن الأولويات والأهداف في السنوات الأربع المقبلة. وينبغي أن يربط الهيكل أولويات الاتحاد وقطاع تقييس الاتصالات، على النحو المنصوص عليه في الخطة الاستراتيجية (القرار </w:t>
      </w:r>
      <w:r w:rsidR="00111DA8" w:rsidRPr="001F4147">
        <w:rPr>
          <w:rFonts w:eastAsia="SimSun" w:cs="Times New Roman"/>
          <w:szCs w:val="22"/>
          <w:lang w:eastAsia="ja-JP"/>
        </w:rPr>
        <w:t>71</w:t>
      </w:r>
      <w:r w:rsidR="003F3C56">
        <w:rPr>
          <w:rFonts w:hint="cs"/>
          <w:rtl/>
        </w:rPr>
        <w:t>) وقرارات مؤتمر المندوبين المفوضين وقرارات الجمعية العالمية لتقييس الات</w:t>
      </w:r>
      <w:r w:rsidR="00AE4125">
        <w:rPr>
          <w:rFonts w:hint="cs"/>
          <w:rtl/>
        </w:rPr>
        <w:t>صالات واختصاصات لجان</w:t>
      </w:r>
      <w:r w:rsidR="002B4642">
        <w:rPr>
          <w:rFonts w:hint="eastAsia"/>
          <w:rtl/>
        </w:rPr>
        <w:t> </w:t>
      </w:r>
      <w:r w:rsidR="00AE4125">
        <w:rPr>
          <w:rFonts w:hint="cs"/>
          <w:rtl/>
        </w:rPr>
        <w:t>الدراسات.</w:t>
      </w:r>
    </w:p>
    <w:p w:rsidR="003F3C56" w:rsidRDefault="00280942" w:rsidP="00111DA8">
      <w:r>
        <w:t>2</w:t>
      </w:r>
      <w:r>
        <w:rPr>
          <w:rtl/>
          <w:lang w:bidi="ar-EG"/>
        </w:rPr>
        <w:tab/>
      </w:r>
      <w:r w:rsidR="003F3C56">
        <w:rPr>
          <w:rFonts w:hint="cs"/>
          <w:rtl/>
        </w:rPr>
        <w:t xml:space="preserve">يجب أن يأخذ الهيكل في الاعتبار الخطط المالية والتشغيلية للاتحاد، بالنظر إلى مناخ الميزانية الحالية المثقل بالقيود </w:t>
      </w:r>
      <w:r w:rsidR="00C00656">
        <w:rPr>
          <w:rFonts w:hint="cs"/>
          <w:rtl/>
        </w:rPr>
        <w:t>المالية</w:t>
      </w:r>
      <w:r w:rsidR="003F3C56">
        <w:rPr>
          <w:rFonts w:hint="cs"/>
          <w:rtl/>
        </w:rPr>
        <w:t xml:space="preserve"> والميزانية التي أقرها مجلس الاتحاد على أساس مفهوم "النمو الاسمي الصفري" </w:t>
      </w:r>
      <w:r w:rsidR="003F3C56" w:rsidRPr="00264472">
        <w:rPr>
          <w:rtl/>
        </w:rPr>
        <w:t xml:space="preserve">في </w:t>
      </w:r>
      <w:r w:rsidR="003F3C56">
        <w:rPr>
          <w:rtl/>
        </w:rPr>
        <w:t xml:space="preserve">مبلغ وحدة </w:t>
      </w:r>
      <w:r w:rsidR="003F3C56">
        <w:rPr>
          <w:rFonts w:hint="cs"/>
          <w:rtl/>
        </w:rPr>
        <w:t>ال</w:t>
      </w:r>
      <w:r w:rsidR="003F3C56">
        <w:rPr>
          <w:rtl/>
        </w:rPr>
        <w:t>مساهمات</w:t>
      </w:r>
      <w:r w:rsidR="003F3C56">
        <w:rPr>
          <w:rFonts w:hint="cs"/>
          <w:rtl/>
        </w:rPr>
        <w:t>. وتقتضي الموارد المالية المحدودة للاتحاد تحديد تدابير فعالة وتنفيذها على النحو المحدد في</w:t>
      </w:r>
      <w:r w:rsidR="00C00656">
        <w:rPr>
          <w:rFonts w:hint="eastAsia"/>
          <w:rtl/>
        </w:rPr>
        <w:t> </w:t>
      </w:r>
      <w:r w:rsidR="003F3C56">
        <w:rPr>
          <w:rFonts w:hint="cs"/>
          <w:rtl/>
        </w:rPr>
        <w:t>المقرر</w:t>
      </w:r>
      <w:r w:rsidR="00C00656">
        <w:rPr>
          <w:rFonts w:hint="eastAsia"/>
          <w:rtl/>
        </w:rPr>
        <w:t> </w:t>
      </w:r>
      <w:r w:rsidR="003F3C56" w:rsidRPr="001F4147">
        <w:rPr>
          <w:rFonts w:cs="Times New Roman"/>
          <w:szCs w:val="22"/>
        </w:rPr>
        <w:t>5</w:t>
      </w:r>
      <w:r w:rsidR="00C00656">
        <w:rPr>
          <w:rFonts w:cs="Times New Roman" w:hint="cs"/>
          <w:sz w:val="24"/>
          <w:szCs w:val="24"/>
          <w:rtl/>
        </w:rPr>
        <w:t xml:space="preserve">، </w:t>
      </w:r>
      <w:r w:rsidR="00AE4125" w:rsidRPr="00AE4125">
        <w:rPr>
          <w:rFonts w:hint="cs"/>
          <w:sz w:val="30"/>
          <w:rtl/>
          <w:lang w:bidi="ar-EG"/>
        </w:rPr>
        <w:t>مما</w:t>
      </w:r>
      <w:r w:rsidR="00AE4125">
        <w:rPr>
          <w:rFonts w:cs="Times New Roman" w:hint="cs"/>
          <w:sz w:val="24"/>
          <w:szCs w:val="24"/>
          <w:rtl/>
          <w:lang w:bidi="ar-EG"/>
        </w:rPr>
        <w:t xml:space="preserve"> </w:t>
      </w:r>
      <w:r w:rsidR="003F3C56">
        <w:rPr>
          <w:rFonts w:hint="cs"/>
          <w:rtl/>
        </w:rPr>
        <w:t>يشمل استعراض عدد اجتماعات لجان الدراسات ومددها بهدف خفض التكاليف إلى جانب استعراض ودراسة الخيارات لخفض عدد لجان الدراسات. ويؤدي ذلك إلى استخدام فعال من حيث التكلفة ومتسم بالكفاءة للخطة المالية المعتمد</w:t>
      </w:r>
      <w:r w:rsidR="00AE4125">
        <w:rPr>
          <w:rFonts w:hint="cs"/>
          <w:rtl/>
        </w:rPr>
        <w:t>ة والميزانية التي أقرها المجلس.</w:t>
      </w:r>
    </w:p>
    <w:p w:rsidR="003F3C56" w:rsidRDefault="00280942" w:rsidP="001F4147">
      <w:r>
        <w:t>3</w:t>
      </w:r>
      <w:r>
        <w:rPr>
          <w:rtl/>
          <w:lang w:bidi="ar-EG"/>
        </w:rPr>
        <w:tab/>
      </w:r>
      <w:r w:rsidR="003F3C56">
        <w:rPr>
          <w:rFonts w:hint="cs"/>
          <w:rtl/>
        </w:rPr>
        <w:t xml:space="preserve">ينبغي للهيكل أن </w:t>
      </w:r>
      <w:r w:rsidR="001F4147">
        <w:rPr>
          <w:rFonts w:hint="cs"/>
          <w:rtl/>
        </w:rPr>
        <w:t>ي</w:t>
      </w:r>
      <w:r w:rsidR="003F3C56">
        <w:rPr>
          <w:rFonts w:hint="cs"/>
          <w:rtl/>
        </w:rPr>
        <w:t>وفر التآزر ويعالج قضايا من قبيل الشفافية والكفاءة ويركز على المبادئ</w:t>
      </w:r>
      <w:r w:rsidR="00C00656">
        <w:rPr>
          <w:rFonts w:hint="cs"/>
          <w:rtl/>
        </w:rPr>
        <w:t xml:space="preserve"> الأساسية</w:t>
      </w:r>
      <w:r w:rsidR="003F3C56">
        <w:rPr>
          <w:rFonts w:hint="cs"/>
          <w:rtl/>
        </w:rPr>
        <w:t xml:space="preserve"> ومجالات العمل </w:t>
      </w:r>
      <w:r w:rsidR="00C00656">
        <w:rPr>
          <w:rFonts w:hint="cs"/>
          <w:rtl/>
        </w:rPr>
        <w:t>الرئيسية</w:t>
      </w:r>
      <w:r w:rsidR="003F3C56">
        <w:rPr>
          <w:rFonts w:hint="cs"/>
          <w:rtl/>
        </w:rPr>
        <w:t xml:space="preserve"> المحددة </w:t>
      </w:r>
      <w:r w:rsidR="00C00656">
        <w:rPr>
          <w:rFonts w:hint="cs"/>
          <w:rtl/>
        </w:rPr>
        <w:t>ل</w:t>
      </w:r>
      <w:r w:rsidR="00AE4125">
        <w:rPr>
          <w:rFonts w:hint="cs"/>
          <w:rtl/>
        </w:rPr>
        <w:t>قطاع تقييس الاتصالات.</w:t>
      </w:r>
    </w:p>
    <w:p w:rsidR="003F3C56" w:rsidRDefault="00280942" w:rsidP="00111DA8">
      <w:r>
        <w:t>4</w:t>
      </w:r>
      <w:r>
        <w:rPr>
          <w:rtl/>
          <w:lang w:bidi="ar-EG"/>
        </w:rPr>
        <w:tab/>
      </w:r>
      <w:r w:rsidR="003F3C56">
        <w:rPr>
          <w:rFonts w:hint="cs"/>
          <w:rtl/>
        </w:rPr>
        <w:t xml:space="preserve">تفادياً لازدواجية العمل بين لجان دراسات قطاع تقييس الاتصالات والقطاعين الآخرين في الاتحاد، ينبغي للهيكل أن </w:t>
      </w:r>
      <w:r w:rsidR="00C00656">
        <w:rPr>
          <w:rFonts w:hint="cs"/>
          <w:rtl/>
        </w:rPr>
        <w:t xml:space="preserve">يؤدي إلى </w:t>
      </w:r>
      <w:r w:rsidR="003F3C56">
        <w:rPr>
          <w:rFonts w:hint="cs"/>
          <w:rtl/>
        </w:rPr>
        <w:t xml:space="preserve">الحد الأدنى من التداخل والحد الأقصى من التآزر بين بنود العمل. وينبغي أن تنظَّم مواضيع الاجتماعات وجداولها الزمنية على نحو يشجع التفاعل الفعال بين اللجان والمشاركين. </w:t>
      </w:r>
    </w:p>
    <w:p w:rsidR="003F3C56" w:rsidRDefault="00111DA8" w:rsidP="00111DA8">
      <w:r>
        <w:t>5</w:t>
      </w:r>
      <w:r w:rsidR="00280942">
        <w:rPr>
          <w:rtl/>
          <w:lang w:bidi="ar-EG"/>
        </w:rPr>
        <w:tab/>
      </w:r>
      <w:r w:rsidR="003F3C56">
        <w:rPr>
          <w:rFonts w:hint="cs"/>
          <w:rtl/>
        </w:rPr>
        <w:t>ينبغي للهيكل أن يجعل قطاع تقييس الاتصالات مكاناً جذاباً لوضع المعايير الدولية للاتصالات/تكنولوجيا المعلومات والاتصالات. وينبغي له أيضاً أن يستقطب أعضاء ومشاركين جدد ويحافظ على الأعضاء</w:t>
      </w:r>
      <w:r w:rsidR="00431099">
        <w:rPr>
          <w:rFonts w:hint="eastAsia"/>
          <w:spacing w:val="-4"/>
          <w:rtl/>
        </w:rPr>
        <w:t> </w:t>
      </w:r>
      <w:r w:rsidR="003F3C56">
        <w:rPr>
          <w:rFonts w:hint="cs"/>
          <w:rtl/>
        </w:rPr>
        <w:t xml:space="preserve">الحاليين. </w:t>
      </w:r>
    </w:p>
    <w:p w:rsidR="003F3C56" w:rsidRDefault="00280942" w:rsidP="00111DA8">
      <w:r>
        <w:t>6</w:t>
      </w:r>
      <w:r>
        <w:rPr>
          <w:rtl/>
          <w:lang w:bidi="ar-EG"/>
        </w:rPr>
        <w:tab/>
      </w:r>
      <w:r w:rsidR="003F3C56">
        <w:rPr>
          <w:rFonts w:hint="cs"/>
          <w:rtl/>
        </w:rPr>
        <w:t>ينبغي أن ييسر الهيكل وضع معايير دولية عالية الجودة للاتصالات/تكنولوجيا المعلومات والاتصالات على نحو يتسم بالفعالية</w:t>
      </w:r>
      <w:r w:rsidR="00431099">
        <w:rPr>
          <w:rFonts w:hint="eastAsia"/>
          <w:spacing w:val="-4"/>
          <w:rtl/>
        </w:rPr>
        <w:t> </w:t>
      </w:r>
      <w:r w:rsidR="003F3C56">
        <w:rPr>
          <w:rFonts w:hint="cs"/>
          <w:rtl/>
        </w:rPr>
        <w:t xml:space="preserve">والكفاءة. </w:t>
      </w:r>
    </w:p>
    <w:p w:rsidR="003F3C56" w:rsidRPr="00323BD4" w:rsidRDefault="00280942" w:rsidP="00241634">
      <w:pPr>
        <w:rPr>
          <w:spacing w:val="-6"/>
        </w:rPr>
      </w:pPr>
      <w:r w:rsidRPr="00323BD4">
        <w:rPr>
          <w:spacing w:val="-6"/>
        </w:rPr>
        <w:t>7</w:t>
      </w:r>
      <w:r w:rsidRPr="00323BD4">
        <w:rPr>
          <w:spacing w:val="-6"/>
          <w:rtl/>
          <w:lang w:bidi="ar-EG"/>
        </w:rPr>
        <w:tab/>
      </w:r>
      <w:r w:rsidR="003F3C56" w:rsidRPr="00323BD4">
        <w:rPr>
          <w:rFonts w:hint="cs"/>
          <w:spacing w:val="-6"/>
          <w:rtl/>
        </w:rPr>
        <w:t>يجب أن يدعم الهيكل التنسيق والنُّهج المشتركة على مستوى العمل ويوفر المرونة في تجميع الأعمال وتحقيق وفورات</w:t>
      </w:r>
      <w:r w:rsidR="00241634">
        <w:rPr>
          <w:rFonts w:hint="eastAsia"/>
          <w:spacing w:val="-6"/>
          <w:rtl/>
          <w:lang w:bidi="ar-EG"/>
        </w:rPr>
        <w:t> </w:t>
      </w:r>
      <w:r w:rsidR="003F3C56" w:rsidRPr="00323BD4">
        <w:rPr>
          <w:rFonts w:hint="cs"/>
          <w:spacing w:val="-6"/>
          <w:rtl/>
        </w:rPr>
        <w:t xml:space="preserve">للمندوبين. </w:t>
      </w:r>
    </w:p>
    <w:p w:rsidR="003F3C56" w:rsidRDefault="00280942" w:rsidP="00111DA8">
      <w:r>
        <w:t>8</w:t>
      </w:r>
      <w:r>
        <w:rPr>
          <w:rtl/>
          <w:lang w:bidi="ar-EG"/>
        </w:rPr>
        <w:tab/>
      </w:r>
      <w:r w:rsidR="003F3C56">
        <w:rPr>
          <w:rFonts w:hint="cs"/>
          <w:rtl/>
        </w:rPr>
        <w:t xml:space="preserve">ينبغي أن يتيح الهيكل إمكانية معالجة المواضيع غير المتشابهة بشكل مستقل في إطار لجنة واحدة.  </w:t>
      </w:r>
    </w:p>
    <w:p w:rsidR="003F3C56" w:rsidRDefault="00280942" w:rsidP="00111DA8">
      <w:r>
        <w:t>9</w:t>
      </w:r>
      <w:r>
        <w:rPr>
          <w:lang w:bidi="ar-EG"/>
        </w:rPr>
        <w:tab/>
      </w:r>
      <w:r w:rsidR="003F3C56">
        <w:rPr>
          <w:rFonts w:hint="cs"/>
          <w:rtl/>
        </w:rPr>
        <w:t xml:space="preserve">ينبغي أن يأخذ الهيكل في الحسبان الاحتياجات التكنولوجية </w:t>
      </w:r>
      <w:r w:rsidR="00C00656">
        <w:rPr>
          <w:rFonts w:hint="cs"/>
          <w:rtl/>
        </w:rPr>
        <w:t>المحتملة</w:t>
      </w:r>
      <w:r w:rsidR="003F3C56">
        <w:rPr>
          <w:rFonts w:hint="cs"/>
          <w:rtl/>
        </w:rPr>
        <w:t xml:space="preserve"> في المستقبل.</w:t>
      </w:r>
    </w:p>
    <w:p w:rsidR="003F3C56" w:rsidRDefault="00280942" w:rsidP="00111DA8">
      <w:r>
        <w:t>10</w:t>
      </w:r>
      <w:r>
        <w:rPr>
          <w:rtl/>
          <w:lang w:bidi="ar-EG"/>
        </w:rPr>
        <w:tab/>
      </w:r>
      <w:r w:rsidR="003F3C56">
        <w:rPr>
          <w:rFonts w:hint="cs"/>
          <w:rtl/>
        </w:rPr>
        <w:t>ينبغي أن تعمل لجان الدراسات على توفير ما يلي:</w:t>
      </w:r>
    </w:p>
    <w:p w:rsidR="003F3C56" w:rsidRDefault="00280942" w:rsidP="00111DA8">
      <w:pPr>
        <w:pStyle w:val="enumlev1"/>
      </w:pPr>
      <w:r>
        <w:rPr>
          <w:rFonts w:hint="cs"/>
          <w:rtl/>
        </w:rPr>
        <w:t xml:space="preserve"> أ</w:t>
      </w:r>
      <w:r w:rsidR="00111DA8">
        <w:rPr>
          <w:rFonts w:hint="cs"/>
          <w:rtl/>
        </w:rPr>
        <w:t xml:space="preserve"> </w:t>
      </w:r>
      <w:r w:rsidR="00111DA8">
        <w:rPr>
          <w:rFonts w:hint="cs"/>
          <w:rtl/>
          <w:lang w:bidi="ar-EG"/>
        </w:rPr>
        <w:t>)</w:t>
      </w:r>
      <w:r>
        <w:rPr>
          <w:rtl/>
        </w:rPr>
        <w:tab/>
      </w:r>
      <w:r w:rsidR="003F3C56">
        <w:rPr>
          <w:rFonts w:hint="cs"/>
          <w:rtl/>
        </w:rPr>
        <w:t xml:space="preserve">تنوع كاف للاهتمامات بشأن </w:t>
      </w:r>
      <w:r w:rsidR="00C00656">
        <w:rPr>
          <w:rFonts w:hint="cs"/>
          <w:rtl/>
        </w:rPr>
        <w:t>ال</w:t>
      </w:r>
      <w:r w:rsidR="003F3C56">
        <w:rPr>
          <w:rFonts w:hint="cs"/>
          <w:rtl/>
        </w:rPr>
        <w:t xml:space="preserve">مسائل ذات </w:t>
      </w:r>
      <w:r w:rsidR="00C00656">
        <w:rPr>
          <w:rFonts w:hint="cs"/>
          <w:rtl/>
        </w:rPr>
        <w:t>ال</w:t>
      </w:r>
      <w:r w:rsidR="003F3C56">
        <w:rPr>
          <w:rFonts w:hint="cs"/>
          <w:rtl/>
        </w:rPr>
        <w:t xml:space="preserve">أهمية </w:t>
      </w:r>
      <w:r w:rsidR="00C00656">
        <w:rPr>
          <w:rFonts w:hint="cs"/>
          <w:rtl/>
        </w:rPr>
        <w:t>ال</w:t>
      </w:r>
      <w:r w:rsidR="003F3C56">
        <w:rPr>
          <w:rFonts w:hint="cs"/>
          <w:rtl/>
        </w:rPr>
        <w:t>عالمية؛</w:t>
      </w:r>
    </w:p>
    <w:p w:rsidR="003F3C56" w:rsidRDefault="00280942" w:rsidP="00111DA8">
      <w:pPr>
        <w:pStyle w:val="enumlev1"/>
      </w:pPr>
      <w:r>
        <w:rPr>
          <w:rFonts w:hint="cs"/>
          <w:rtl/>
        </w:rPr>
        <w:t>ب</w:t>
      </w:r>
      <w:r w:rsidR="00111DA8">
        <w:rPr>
          <w:rFonts w:hint="cs"/>
          <w:rtl/>
        </w:rPr>
        <w:t>)</w:t>
      </w:r>
      <w:r>
        <w:rPr>
          <w:rtl/>
        </w:rPr>
        <w:tab/>
      </w:r>
      <w:r w:rsidR="003F3C56">
        <w:rPr>
          <w:rFonts w:hint="cs"/>
          <w:rtl/>
        </w:rPr>
        <w:t xml:space="preserve">برنامج عمل </w:t>
      </w:r>
      <w:r w:rsidR="00C00656">
        <w:rPr>
          <w:rFonts w:hint="cs"/>
          <w:rtl/>
        </w:rPr>
        <w:t>ينطوي</w:t>
      </w:r>
      <w:r w:rsidR="003F3C56">
        <w:rPr>
          <w:rFonts w:hint="cs"/>
          <w:rtl/>
        </w:rPr>
        <w:t xml:space="preserve"> على تحديات ومثير للاهتمام ومثرٍ للجميع </w:t>
      </w:r>
      <w:r w:rsidR="00C00656">
        <w:rPr>
          <w:rFonts w:hint="cs"/>
          <w:rtl/>
        </w:rPr>
        <w:t>ومرن</w:t>
      </w:r>
      <w:r w:rsidR="00AE4125">
        <w:rPr>
          <w:rFonts w:hint="cs"/>
          <w:rtl/>
        </w:rPr>
        <w:t>؛</w:t>
      </w:r>
    </w:p>
    <w:p w:rsidR="003F3C56" w:rsidRDefault="00280942" w:rsidP="00111DA8">
      <w:pPr>
        <w:pStyle w:val="enumlev1"/>
        <w:rPr>
          <w:rtl/>
          <w:lang w:bidi="ar-EG"/>
        </w:rPr>
      </w:pPr>
      <w:r>
        <w:rPr>
          <w:rFonts w:hint="cs"/>
          <w:rtl/>
        </w:rPr>
        <w:t>ج</w:t>
      </w:r>
      <w:r w:rsidR="00111DA8">
        <w:rPr>
          <w:rFonts w:hint="cs"/>
          <w:rtl/>
        </w:rPr>
        <w:t>)</w:t>
      </w:r>
      <w:r>
        <w:rPr>
          <w:rtl/>
        </w:rPr>
        <w:tab/>
      </w:r>
      <w:r w:rsidR="003F3C56">
        <w:rPr>
          <w:rFonts w:hint="cs"/>
          <w:rtl/>
        </w:rPr>
        <w:t xml:space="preserve">تنوع كاف </w:t>
      </w:r>
      <w:r>
        <w:rPr>
          <w:rFonts w:hint="cs"/>
          <w:rtl/>
          <w:lang w:bidi="ar-EG"/>
        </w:rPr>
        <w:t>من حيث تمثيل الجنسين والمناطق؛</w:t>
      </w:r>
    </w:p>
    <w:p w:rsidR="003F3C56" w:rsidRDefault="00280942" w:rsidP="00111DA8">
      <w:pPr>
        <w:pStyle w:val="enumlev1"/>
      </w:pPr>
      <w:r>
        <w:rPr>
          <w:rFonts w:hint="cs"/>
          <w:rtl/>
        </w:rPr>
        <w:t>د</w:t>
      </w:r>
      <w:r w:rsidR="00111DA8">
        <w:rPr>
          <w:rFonts w:hint="cs"/>
          <w:rtl/>
        </w:rPr>
        <w:t xml:space="preserve"> )</w:t>
      </w:r>
      <w:r>
        <w:rPr>
          <w:rtl/>
        </w:rPr>
        <w:tab/>
      </w:r>
      <w:r w:rsidR="001F4147">
        <w:rPr>
          <w:rFonts w:hint="cs"/>
          <w:rtl/>
        </w:rPr>
        <w:t>تلبية احتياجات البلدان النامية.</w:t>
      </w:r>
    </w:p>
    <w:p w:rsidR="003F3C56" w:rsidRDefault="00280942" w:rsidP="00111DA8">
      <w:r>
        <w:t>11</w:t>
      </w:r>
      <w:r>
        <w:rPr>
          <w:rtl/>
          <w:lang w:bidi="ar-EG"/>
        </w:rPr>
        <w:tab/>
      </w:r>
      <w:r w:rsidR="003F3C56">
        <w:rPr>
          <w:rFonts w:hint="cs"/>
          <w:rtl/>
        </w:rPr>
        <w:t xml:space="preserve">ينبغي أن تبرز المسائل التي تحدد الدراسات </w:t>
      </w:r>
      <w:r>
        <w:rPr>
          <w:rFonts w:hint="cs"/>
          <w:rtl/>
        </w:rPr>
        <w:t>التي يلزم</w:t>
      </w:r>
      <w:r w:rsidR="003F3C56">
        <w:rPr>
          <w:rFonts w:hint="cs"/>
          <w:rtl/>
        </w:rPr>
        <w:t xml:space="preserve"> إجراؤها الاهتمام</w:t>
      </w:r>
      <w:r>
        <w:rPr>
          <w:rFonts w:hint="cs"/>
          <w:rtl/>
        </w:rPr>
        <w:t>ات</w:t>
      </w:r>
      <w:r w:rsidR="003F3C56">
        <w:rPr>
          <w:rFonts w:hint="cs"/>
          <w:rtl/>
        </w:rPr>
        <w:t xml:space="preserve"> الواسع</w:t>
      </w:r>
      <w:r>
        <w:rPr>
          <w:rFonts w:hint="cs"/>
          <w:rtl/>
        </w:rPr>
        <w:t>ة</w:t>
      </w:r>
      <w:r w:rsidR="003F3C56">
        <w:rPr>
          <w:rFonts w:hint="cs"/>
          <w:rtl/>
        </w:rPr>
        <w:t xml:space="preserve"> </w:t>
      </w:r>
      <w:r>
        <w:rPr>
          <w:rFonts w:hint="cs"/>
          <w:rtl/>
        </w:rPr>
        <w:t>والحالية</w:t>
      </w:r>
      <w:r w:rsidR="003F3C56">
        <w:rPr>
          <w:rFonts w:hint="cs"/>
          <w:rtl/>
        </w:rPr>
        <w:t xml:space="preserve"> للأعضاء. وينبغي إلغاء المسائل التي لم تتلق مساهمات خلال الاجتماعين </w:t>
      </w:r>
      <w:r>
        <w:rPr>
          <w:rFonts w:hint="cs"/>
          <w:rtl/>
        </w:rPr>
        <w:t>الأخيرين للجان</w:t>
      </w:r>
      <w:r w:rsidR="00AE4125">
        <w:rPr>
          <w:rFonts w:hint="cs"/>
          <w:rtl/>
        </w:rPr>
        <w:t xml:space="preserve"> الدراسات.</w:t>
      </w:r>
    </w:p>
    <w:p w:rsidR="003F3C56" w:rsidRPr="001F4147" w:rsidRDefault="00280942" w:rsidP="00431099">
      <w:pPr>
        <w:keepNext/>
        <w:keepLines/>
        <w:rPr>
          <w:spacing w:val="-4"/>
        </w:rPr>
      </w:pPr>
      <w:r w:rsidRPr="001F4147">
        <w:rPr>
          <w:spacing w:val="-4"/>
        </w:rPr>
        <w:lastRenderedPageBreak/>
        <w:t>12</w:t>
      </w:r>
      <w:r w:rsidRPr="001F4147">
        <w:rPr>
          <w:spacing w:val="-4"/>
          <w:rtl/>
          <w:lang w:bidi="ar-EG"/>
        </w:rPr>
        <w:tab/>
      </w:r>
      <w:r w:rsidR="003F3C56" w:rsidRPr="001F4147">
        <w:rPr>
          <w:rFonts w:hint="cs"/>
          <w:spacing w:val="-4"/>
          <w:rtl/>
        </w:rPr>
        <w:t>ينبغي ألاّ تجري اللجان سوى الدراسات التي يمكن أن تؤثر على معايير الاتصالات/تكنولوجيا المعلومات</w:t>
      </w:r>
      <w:r w:rsidR="00431099">
        <w:rPr>
          <w:rFonts w:hint="eastAsia"/>
          <w:spacing w:val="-4"/>
          <w:rtl/>
        </w:rPr>
        <w:t> </w:t>
      </w:r>
      <w:r w:rsidR="003F3C56" w:rsidRPr="001F4147">
        <w:rPr>
          <w:rFonts w:hint="cs"/>
          <w:spacing w:val="-4"/>
          <w:rtl/>
        </w:rPr>
        <w:t>والاتصالات.</w:t>
      </w:r>
    </w:p>
    <w:p w:rsidR="003F3C56" w:rsidRDefault="00280942" w:rsidP="006A6208">
      <w:pPr>
        <w:keepNext/>
        <w:keepLines/>
      </w:pPr>
      <w:r>
        <w:t>13</w:t>
      </w:r>
      <w:r>
        <w:rPr>
          <w:rtl/>
          <w:lang w:bidi="ar-EG"/>
        </w:rPr>
        <w:tab/>
      </w:r>
      <w:r w:rsidR="003F3C56">
        <w:rPr>
          <w:rFonts w:hint="cs"/>
          <w:rtl/>
        </w:rPr>
        <w:t>ينبغي أن يركز برنامج عمل قطاع تقييس الاتصالات على الاختصاصات الأساسية للقطاع على النحو المبين في</w:t>
      </w:r>
      <w:r>
        <w:rPr>
          <w:rFonts w:hint="eastAsia"/>
          <w:rtl/>
        </w:rPr>
        <w:t> </w:t>
      </w:r>
      <w:r w:rsidR="003F3C56">
        <w:rPr>
          <w:rFonts w:hint="cs"/>
          <w:rtl/>
        </w:rPr>
        <w:t xml:space="preserve">أهداف الخطة الاستراتيجية وغاياتها ونواتجها، وذلك </w:t>
      </w:r>
      <w:r>
        <w:rPr>
          <w:rFonts w:hint="cs"/>
          <w:rtl/>
        </w:rPr>
        <w:t xml:space="preserve">مع المراعاة </w:t>
      </w:r>
      <w:r w:rsidR="003F3C56">
        <w:rPr>
          <w:rFonts w:hint="cs"/>
          <w:rtl/>
        </w:rPr>
        <w:t>الواجب</w:t>
      </w:r>
      <w:r>
        <w:rPr>
          <w:rFonts w:hint="cs"/>
          <w:rtl/>
        </w:rPr>
        <w:t>ة</w:t>
      </w:r>
      <w:r w:rsidR="003F3C56">
        <w:rPr>
          <w:rFonts w:hint="cs"/>
          <w:rtl/>
        </w:rPr>
        <w:t xml:space="preserve"> لضرورة تفادي ازدواجية العمل الذي يُضطلع به فعلاً في</w:t>
      </w:r>
      <w:r w:rsidR="00323BD4">
        <w:rPr>
          <w:rFonts w:hint="eastAsia"/>
        </w:rPr>
        <w:t> </w:t>
      </w:r>
      <w:r w:rsidR="003F3C56">
        <w:rPr>
          <w:rFonts w:hint="cs"/>
          <w:rtl/>
        </w:rPr>
        <w:t xml:space="preserve">إطار اختصاصات هيئات المعايير الأخرى وداخل الاتحاد، وتحقيق أقصى حد من الكفاءة، وإرساء الآليات الكفيلة بتعزيز التعاون </w:t>
      </w:r>
      <w:r>
        <w:rPr>
          <w:rFonts w:hint="cs"/>
          <w:rtl/>
        </w:rPr>
        <w:t xml:space="preserve">الوثيق </w:t>
      </w:r>
      <w:r w:rsidR="00AE4125">
        <w:rPr>
          <w:rFonts w:hint="cs"/>
          <w:rtl/>
        </w:rPr>
        <w:t>والتواصل مع الكيانات</w:t>
      </w:r>
      <w:r w:rsidR="00431099">
        <w:rPr>
          <w:rFonts w:hint="eastAsia"/>
          <w:spacing w:val="-4"/>
          <w:rtl/>
        </w:rPr>
        <w:t> </w:t>
      </w:r>
      <w:r w:rsidR="00AE4125">
        <w:rPr>
          <w:rFonts w:hint="cs"/>
          <w:rtl/>
        </w:rPr>
        <w:t>الأخرى.</w:t>
      </w:r>
    </w:p>
    <w:p w:rsidR="00E063D1" w:rsidRDefault="00E063D1" w:rsidP="00E063D1">
      <w:pPr>
        <w:pStyle w:val="Proposal"/>
      </w:pPr>
      <w:r>
        <w:tab/>
        <w:t>IAP/46A</w:t>
      </w:r>
      <w:bookmarkStart w:id="5" w:name="_GoBack"/>
      <w:bookmarkEnd w:id="5"/>
      <w:r>
        <w:t>25/1</w:t>
      </w:r>
    </w:p>
    <w:p w:rsidR="003F3C56" w:rsidRDefault="00280942" w:rsidP="00280942">
      <w:pPr>
        <w:pStyle w:val="Headingb"/>
        <w:rPr>
          <w:rtl/>
        </w:rPr>
      </w:pPr>
      <w:r>
        <w:rPr>
          <w:rFonts w:hint="cs"/>
          <w:rtl/>
        </w:rPr>
        <w:t>التوصية</w:t>
      </w:r>
    </w:p>
    <w:p w:rsidR="00280942" w:rsidRDefault="00280942" w:rsidP="002361DD">
      <w:r w:rsidRPr="0034204E">
        <w:rPr>
          <w:rFonts w:hint="cs"/>
          <w:rtl/>
        </w:rPr>
        <w:t xml:space="preserve">تؤيد لجنة البلدان الأمريكية للاتصالات </w:t>
      </w:r>
      <w:r>
        <w:rPr>
          <w:rFonts w:hint="cs"/>
          <w:rtl/>
        </w:rPr>
        <w:t xml:space="preserve">هيكلاً مختصراً يقدم إرشادات إلى الأعضاء والمشاركين بشأن أولويات قطاع تقييس الاتصالات وأهدافه في السنوات الأربع القادمة. وينبغي الاستعانة بالمبادئ المدرجة في قسم المناقشة من هذه المساهمة لتحديد هيكل لجان الدراسات. وترى لجنة البلدان الأمريكية للاتصالات أيضاً أن إعادة هيكلة لجان دراسات قطاع تقييس الاتصالات ينبغي أن تتسم بما يكفي من المرونة للسماح بوضع هيكل إما أفقي أو </w:t>
      </w:r>
      <w:r>
        <w:rPr>
          <w:rFonts w:hint="cs"/>
          <w:rtl/>
          <w:lang w:bidi="ar-EG"/>
        </w:rPr>
        <w:t>رأسي</w:t>
      </w:r>
      <w:r>
        <w:rPr>
          <w:rFonts w:hint="cs"/>
          <w:rtl/>
        </w:rPr>
        <w:t xml:space="preserve"> وفقاً لمتطلبات لجنة الدراسات وسياق عملها. وقد تؤدي محاولة إدخال لجنة دراسات في هيكل محدد بغرض إعادة الهيكلة إلى الحد من مرونتها. ورغم أن الهيكلين "الأفقي" و"الرأسي" هيكلان مختلفان يمكن أخذهما في الاعتبار عند وضع المقترحات، فإن هذه المقترحات ينبغي أن تقاس دائماً استناداً إلى المبادئ المدرجة في</w:t>
      </w:r>
      <w:r w:rsidR="002361DD">
        <w:rPr>
          <w:rFonts w:hint="eastAsia"/>
          <w:rtl/>
        </w:rPr>
        <w:t> </w:t>
      </w:r>
      <w:r>
        <w:rPr>
          <w:rFonts w:hint="cs"/>
          <w:rtl/>
        </w:rPr>
        <w:t>قسم المناقشة من هذه المساهمة إلى جانب الهدف العام لقطاع تقييس الاتصالات المتمثل في وضع معايير عالية الجودة وهامة ومناسبة من حيث التوقيت لتقيي</w:t>
      </w:r>
      <w:r w:rsidR="00AE4125">
        <w:rPr>
          <w:rFonts w:hint="cs"/>
          <w:rtl/>
        </w:rPr>
        <w:t>م مدى ملاءمتها لأيّ حالة معينة.</w:t>
      </w:r>
    </w:p>
    <w:p w:rsidR="00E063D1" w:rsidRPr="0034204E" w:rsidRDefault="00E063D1" w:rsidP="00E063D1">
      <w:pPr>
        <w:pStyle w:val="Reasons"/>
        <w:rPr>
          <w:rtl/>
        </w:rPr>
      </w:pPr>
    </w:p>
    <w:p w:rsidR="00DA15B8" w:rsidRDefault="00280942" w:rsidP="001F4147">
      <w:pPr>
        <w:spacing w:before="600"/>
        <w:jc w:val="center"/>
        <w:rPr>
          <w:rtl/>
          <w:lang w:bidi="ar-SY"/>
        </w:rPr>
      </w:pPr>
      <w:r>
        <w:rPr>
          <w:rFonts w:hint="cs"/>
          <w:rtl/>
          <w:lang w:bidi="ar-SY"/>
        </w:rPr>
        <w:t>___________</w:t>
      </w:r>
    </w:p>
    <w:sectPr w:rsidR="00DA15B8"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53" w:rsidRDefault="00F96A53" w:rsidP="00E07379">
      <w:pPr>
        <w:spacing w:before="0" w:line="240" w:lineRule="auto"/>
      </w:pPr>
      <w:r>
        <w:separator/>
      </w:r>
    </w:p>
  </w:endnote>
  <w:endnote w:type="continuationSeparator" w:id="0">
    <w:p w:rsidR="00F96A53" w:rsidRDefault="00F96A5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5E" w:rsidRPr="002361DD" w:rsidRDefault="0099495E" w:rsidP="00C00656">
    <w:pPr>
      <w:pStyle w:val="Footer"/>
      <w:rPr>
        <w:lang w:val="fr-CH"/>
      </w:rPr>
    </w:pPr>
    <w:r w:rsidRPr="002361DD">
      <w:fldChar w:fldCharType="begin"/>
    </w:r>
    <w:r w:rsidRPr="002361DD">
      <w:rPr>
        <w:lang w:val="fr-CH"/>
      </w:rPr>
      <w:instrText xml:space="preserve"> FILENAME \p \* MERGEFORMAT </w:instrText>
    </w:r>
    <w:r w:rsidRPr="002361DD">
      <w:fldChar w:fldCharType="separate"/>
    </w:r>
    <w:r w:rsidR="00C00656" w:rsidRPr="002361DD">
      <w:rPr>
        <w:noProof/>
        <w:lang w:val="fr-CH"/>
      </w:rPr>
      <w:t>P:\ARA\ITU-T\CONF-T\WTSA16\000\046ADD25A.docx</w:t>
    </w:r>
    <w:r w:rsidRPr="002361DD">
      <w:fldChar w:fldCharType="end"/>
    </w:r>
    <w:r w:rsidRPr="002361DD">
      <w:rPr>
        <w:lang w:val="fr-CH"/>
      </w:rPr>
      <w:t xml:space="preserve">   (</w:t>
    </w:r>
    <w:r w:rsidR="00C00656" w:rsidRPr="002361DD">
      <w:rPr>
        <w:rFonts w:hint="cs"/>
        <w:rtl/>
      </w:rPr>
      <w:t>405130</w:t>
    </w:r>
    <w:r w:rsidRPr="002361DD">
      <w:rPr>
        <w:lang w:val="fr-CH"/>
      </w:rPr>
      <w:t>)</w:t>
    </w:r>
    <w:r w:rsidR="001922D7" w:rsidRPr="002361DD">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12" w:space="0" w:color="auto"/>
      </w:tblBorders>
      <w:tblCellMar>
        <w:left w:w="57" w:type="dxa"/>
        <w:right w:w="57" w:type="dxa"/>
      </w:tblCellMar>
      <w:tblLook w:val="0000" w:firstRow="0" w:lastRow="0" w:firstColumn="0" w:lastColumn="0" w:noHBand="0" w:noVBand="0"/>
    </w:tblPr>
    <w:tblGrid>
      <w:gridCol w:w="1571"/>
      <w:gridCol w:w="4268"/>
      <w:gridCol w:w="3800"/>
    </w:tblGrid>
    <w:tr w:rsidR="00DA15B8" w:rsidRPr="00DA15B8" w:rsidTr="00793BC1">
      <w:trPr>
        <w:cantSplit/>
        <w:trHeight w:val="204"/>
        <w:jc w:val="center"/>
      </w:trPr>
      <w:tc>
        <w:tcPr>
          <w:tcW w:w="815" w:type="pct"/>
        </w:tcPr>
        <w:p w:rsidR="00DA15B8" w:rsidRPr="00DA15B8" w:rsidRDefault="00DA15B8" w:rsidP="00111DA8">
          <w:pPr>
            <w:spacing w:before="60" w:after="60" w:line="240" w:lineRule="exact"/>
            <w:rPr>
              <w:b/>
              <w:bCs/>
              <w:sz w:val="20"/>
              <w:szCs w:val="26"/>
              <w:lang w:val="en-GB"/>
            </w:rPr>
          </w:pPr>
          <w:r w:rsidRPr="00DA15B8">
            <w:rPr>
              <w:rFonts w:hint="cs"/>
              <w:b/>
              <w:bCs/>
              <w:sz w:val="20"/>
              <w:szCs w:val="26"/>
              <w:rtl/>
            </w:rPr>
            <w:t>للاتصال:</w:t>
          </w:r>
        </w:p>
      </w:tc>
      <w:tc>
        <w:tcPr>
          <w:tcW w:w="2214" w:type="pct"/>
        </w:tcPr>
        <w:p w:rsidR="00C00656" w:rsidRDefault="00C00656" w:rsidP="00111DA8">
          <w:pPr>
            <w:pStyle w:val="tablefooter"/>
            <w:spacing w:before="60" w:after="60" w:line="240" w:lineRule="exact"/>
            <w:rPr>
              <w:rtl/>
              <w:lang w:val="en-US"/>
            </w:rPr>
          </w:pPr>
          <w:r>
            <w:rPr>
              <w:rFonts w:hint="cs"/>
              <w:rtl/>
              <w:lang w:val="en-US"/>
            </w:rPr>
            <w:t>أوسكار ليون</w:t>
          </w:r>
        </w:p>
        <w:p w:rsidR="00C00656" w:rsidRDefault="00C00656" w:rsidP="00111DA8">
          <w:pPr>
            <w:pStyle w:val="tablefooter"/>
            <w:spacing w:before="60" w:after="60" w:line="240" w:lineRule="exact"/>
            <w:rPr>
              <w:rtl/>
              <w:lang w:val="en-US"/>
            </w:rPr>
          </w:pPr>
          <w:r>
            <w:rPr>
              <w:rFonts w:hint="cs"/>
              <w:rtl/>
              <w:lang w:val="en-US"/>
            </w:rPr>
            <w:t xml:space="preserve">لجنة البلدان الأمريكية للاتصالات </w:t>
          </w:r>
          <w:r w:rsidR="00111DA8">
            <w:rPr>
              <w:lang w:val="en-US"/>
            </w:rPr>
            <w:t>(CITEL)</w:t>
          </w:r>
        </w:p>
        <w:p w:rsidR="00DA15B8" w:rsidRPr="00DA15B8" w:rsidRDefault="00C00656" w:rsidP="00111DA8">
          <w:pPr>
            <w:spacing w:before="60" w:after="60" w:line="240" w:lineRule="exact"/>
            <w:rPr>
              <w:sz w:val="20"/>
              <w:szCs w:val="26"/>
              <w:rtl/>
            </w:rPr>
          </w:pPr>
          <w:r w:rsidRPr="00C00656">
            <w:rPr>
              <w:rFonts w:hint="cs"/>
              <w:sz w:val="18"/>
              <w:szCs w:val="26"/>
              <w:rtl/>
            </w:rPr>
            <w:t>واشنطن العاصمة، الولايات المتحدة الأمريكية</w:t>
          </w:r>
        </w:p>
      </w:tc>
      <w:tc>
        <w:tcPr>
          <w:tcW w:w="1971" w:type="pct"/>
        </w:tcPr>
        <w:p w:rsidR="00C00656" w:rsidRDefault="00C00656" w:rsidP="00111DA8">
          <w:pPr>
            <w:spacing w:line="240" w:lineRule="exact"/>
          </w:pPr>
          <w:r w:rsidRPr="004005B1">
            <w:rPr>
              <w:rFonts w:hint="cs"/>
              <w:sz w:val="20"/>
              <w:szCs w:val="26"/>
              <w:rtl/>
              <w:lang w:val="en-GB"/>
            </w:rPr>
            <w:t>الهاتف:</w:t>
          </w:r>
          <w:r w:rsidRPr="00DC577E">
            <w:tab/>
          </w:r>
          <w:r w:rsidRPr="001919AF">
            <w:rPr>
              <w:sz w:val="20"/>
              <w:szCs w:val="26"/>
            </w:rPr>
            <w:t>+ 1 (202) 370-4713</w:t>
          </w:r>
        </w:p>
        <w:p w:rsidR="00C00656" w:rsidRPr="001919AF" w:rsidRDefault="00C00656" w:rsidP="00111DA8">
          <w:pPr>
            <w:pStyle w:val="tablefooter"/>
            <w:tabs>
              <w:tab w:val="clear" w:pos="1134"/>
              <w:tab w:val="left" w:pos="1303"/>
            </w:tabs>
            <w:spacing w:before="60" w:after="60" w:line="240" w:lineRule="exact"/>
            <w:jc w:val="left"/>
            <w:rPr>
              <w:lang w:val="en-US"/>
            </w:rPr>
          </w:pPr>
          <w:r w:rsidRPr="004005B1">
            <w:rPr>
              <w:rFonts w:hint="cs"/>
              <w:rtl/>
            </w:rPr>
            <w:t>الفاكس</w:t>
          </w:r>
          <w:r>
            <w:rPr>
              <w:rFonts w:hint="cs"/>
              <w:rtl/>
            </w:rPr>
            <w:t xml:space="preserve">:         </w:t>
          </w:r>
          <w:r>
            <w:rPr>
              <w:lang w:val="en-US"/>
            </w:rPr>
            <w:t>+ 1 (202) 458-6854</w:t>
          </w:r>
        </w:p>
        <w:p w:rsidR="00DA15B8" w:rsidRPr="00DA15B8" w:rsidRDefault="00C00656" w:rsidP="00111DA8">
          <w:pPr>
            <w:tabs>
              <w:tab w:val="clear" w:pos="1134"/>
              <w:tab w:val="left" w:pos="878"/>
            </w:tabs>
            <w:spacing w:before="60" w:after="60" w:line="240" w:lineRule="exact"/>
            <w:rPr>
              <w:sz w:val="20"/>
              <w:szCs w:val="26"/>
              <w:rtl/>
              <w:lang w:bidi="ar-EG"/>
            </w:rPr>
          </w:pPr>
          <w:r w:rsidRPr="00DC577E">
            <w:rPr>
              <w:rFonts w:hint="cs"/>
              <w:rtl/>
            </w:rPr>
            <w:t>البريد الإلكتروني:</w:t>
          </w:r>
          <w:r w:rsidRPr="00DC577E">
            <w:tab/>
          </w:r>
          <w:hyperlink r:id="rId1" w:history="1">
            <w:r w:rsidR="00111DA8" w:rsidRPr="00D43FB5">
              <w:rPr>
                <w:rStyle w:val="Hyperlink"/>
              </w:rPr>
              <w:t>citel@oas.org</w:t>
            </w:r>
          </w:hyperlink>
        </w:p>
      </w:tc>
    </w:tr>
  </w:tbl>
  <w:p w:rsidR="00E07379" w:rsidRPr="00E07379" w:rsidRDefault="00E07379" w:rsidP="00111DA8">
    <w:pPr>
      <w:spacing w:before="0" w:line="240" w:lineRule="exac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53" w:rsidRDefault="00F96A53" w:rsidP="00E07379">
      <w:pPr>
        <w:spacing w:before="0" w:line="240" w:lineRule="auto"/>
      </w:pPr>
      <w:r>
        <w:separator/>
      </w:r>
    </w:p>
  </w:footnote>
  <w:footnote w:type="continuationSeparator" w:id="0">
    <w:p w:rsidR="00F96A53" w:rsidRDefault="00F96A5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AE4125">
    <w:pPr>
      <w:bidi w:val="0"/>
      <w:spacing w:after="240" w:line="240" w:lineRule="auto"/>
      <w:jc w:val="center"/>
      <w:rPr>
        <w:rStyle w:val="PageNumber"/>
        <w:sz w:val="16"/>
        <w:szCs w:val="16"/>
        <w:rtl/>
        <w:lang w:bidi="ar-EG"/>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063D1">
      <w:rPr>
        <w:rStyle w:val="PageNumber"/>
        <w:noProof/>
        <w:sz w:val="18"/>
        <w:szCs w:val="18"/>
      </w:rPr>
      <w:t>3</w:t>
    </w:r>
    <w:r w:rsidRPr="005D6C0D">
      <w:rPr>
        <w:rStyle w:val="PageNumber"/>
        <w:sz w:val="18"/>
        <w:szCs w:val="18"/>
      </w:rPr>
      <w:fldChar w:fldCharType="end"/>
    </w:r>
    <w:r w:rsidR="00DA15B8">
      <w:rPr>
        <w:rStyle w:val="PageNumber"/>
        <w:sz w:val="18"/>
        <w:szCs w:val="18"/>
        <w:rtl/>
      </w:rPr>
      <w:br/>
    </w:r>
    <w:r w:rsidR="00DA15B8" w:rsidRPr="00DA15B8">
      <w:rPr>
        <w:rFonts w:cs="Times New Roman"/>
        <w:sz w:val="18"/>
        <w:szCs w:val="18"/>
      </w:rPr>
      <w:t>WTSA-16/</w:t>
    </w:r>
    <w:r w:rsidR="00AE4125">
      <w:rPr>
        <w:rFonts w:cs="Times New Roman"/>
        <w:sz w:val="18"/>
        <w:szCs w:val="18"/>
      </w:rPr>
      <w:t>46(Add.25)</w:t>
    </w:r>
    <w:r w:rsidR="00DA15B8"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A56DAB"/>
    <w:multiLevelType w:val="hybridMultilevel"/>
    <w:tmpl w:val="B6903D22"/>
    <w:lvl w:ilvl="0" w:tplc="B930EE4E">
      <w:start w:val="1"/>
      <w:numFmt w:val="arabicAbjad"/>
      <w:lvlText w:val="%1."/>
      <w:lvlJc w:val="left"/>
      <w:pPr>
        <w:ind w:left="2579" w:hanging="360"/>
      </w:pPr>
      <w:rPr>
        <w:rFonts w:hint="default"/>
        <w:lang w:val="en-US"/>
      </w:rPr>
    </w:lvl>
    <w:lvl w:ilvl="1" w:tplc="04090019" w:tentative="1">
      <w:start w:val="1"/>
      <w:numFmt w:val="lowerLetter"/>
      <w:lvlText w:val="%2."/>
      <w:lvlJc w:val="left"/>
      <w:pPr>
        <w:ind w:left="3299" w:hanging="360"/>
      </w:pPr>
    </w:lvl>
    <w:lvl w:ilvl="2" w:tplc="0409001B" w:tentative="1">
      <w:start w:val="1"/>
      <w:numFmt w:val="lowerRoman"/>
      <w:lvlText w:val="%3."/>
      <w:lvlJc w:val="right"/>
      <w:pPr>
        <w:ind w:left="4019" w:hanging="180"/>
      </w:pPr>
    </w:lvl>
    <w:lvl w:ilvl="3" w:tplc="0409000F" w:tentative="1">
      <w:start w:val="1"/>
      <w:numFmt w:val="decimal"/>
      <w:lvlText w:val="%4."/>
      <w:lvlJc w:val="left"/>
      <w:pPr>
        <w:ind w:left="4739" w:hanging="360"/>
      </w:pPr>
    </w:lvl>
    <w:lvl w:ilvl="4" w:tplc="04090019" w:tentative="1">
      <w:start w:val="1"/>
      <w:numFmt w:val="lowerLetter"/>
      <w:lvlText w:val="%5."/>
      <w:lvlJc w:val="left"/>
      <w:pPr>
        <w:ind w:left="5459" w:hanging="360"/>
      </w:pPr>
    </w:lvl>
    <w:lvl w:ilvl="5" w:tplc="0409001B" w:tentative="1">
      <w:start w:val="1"/>
      <w:numFmt w:val="lowerRoman"/>
      <w:lvlText w:val="%6."/>
      <w:lvlJc w:val="right"/>
      <w:pPr>
        <w:ind w:left="6179" w:hanging="180"/>
      </w:pPr>
    </w:lvl>
    <w:lvl w:ilvl="6" w:tplc="0409000F" w:tentative="1">
      <w:start w:val="1"/>
      <w:numFmt w:val="decimal"/>
      <w:lvlText w:val="%7."/>
      <w:lvlJc w:val="left"/>
      <w:pPr>
        <w:ind w:left="6899" w:hanging="360"/>
      </w:pPr>
    </w:lvl>
    <w:lvl w:ilvl="7" w:tplc="04090019" w:tentative="1">
      <w:start w:val="1"/>
      <w:numFmt w:val="lowerLetter"/>
      <w:lvlText w:val="%8."/>
      <w:lvlJc w:val="left"/>
      <w:pPr>
        <w:ind w:left="7619" w:hanging="360"/>
      </w:pPr>
    </w:lvl>
    <w:lvl w:ilvl="8" w:tplc="0409001B" w:tentative="1">
      <w:start w:val="1"/>
      <w:numFmt w:val="lowerRoman"/>
      <w:lvlText w:val="%9."/>
      <w:lvlJc w:val="right"/>
      <w:pPr>
        <w:ind w:left="8339" w:hanging="180"/>
      </w:pPr>
    </w:lvl>
  </w:abstractNum>
  <w:abstractNum w:abstractNumId="12" w15:restartNumberingAfterBreak="0">
    <w:nsid w:val="69FB0018"/>
    <w:multiLevelType w:val="hybridMultilevel"/>
    <w:tmpl w:val="BB60F5DA"/>
    <w:lvl w:ilvl="0" w:tplc="2FCC25BA">
      <w:start w:val="1"/>
      <w:numFmt w:val="decimal"/>
      <w:lvlText w:val="%1."/>
      <w:lvlJc w:val="left"/>
      <w:pPr>
        <w:ind w:left="1859" w:hanging="360"/>
      </w:pPr>
      <w:rPr>
        <w:sz w:val="24"/>
        <w:szCs w:val="24"/>
      </w:rPr>
    </w:lvl>
    <w:lvl w:ilvl="1" w:tplc="100C0019" w:tentative="1">
      <w:start w:val="1"/>
      <w:numFmt w:val="lowerLetter"/>
      <w:lvlText w:val="%2."/>
      <w:lvlJc w:val="left"/>
      <w:pPr>
        <w:ind w:left="2579" w:hanging="360"/>
      </w:pPr>
    </w:lvl>
    <w:lvl w:ilvl="2" w:tplc="100C001B" w:tentative="1">
      <w:start w:val="1"/>
      <w:numFmt w:val="lowerRoman"/>
      <w:lvlText w:val="%3."/>
      <w:lvlJc w:val="right"/>
      <w:pPr>
        <w:ind w:left="3299" w:hanging="180"/>
      </w:pPr>
    </w:lvl>
    <w:lvl w:ilvl="3" w:tplc="100C000F" w:tentative="1">
      <w:start w:val="1"/>
      <w:numFmt w:val="decimal"/>
      <w:lvlText w:val="%4."/>
      <w:lvlJc w:val="left"/>
      <w:pPr>
        <w:ind w:left="4019" w:hanging="360"/>
      </w:pPr>
    </w:lvl>
    <w:lvl w:ilvl="4" w:tplc="100C0019" w:tentative="1">
      <w:start w:val="1"/>
      <w:numFmt w:val="lowerLetter"/>
      <w:lvlText w:val="%5."/>
      <w:lvlJc w:val="left"/>
      <w:pPr>
        <w:ind w:left="4739" w:hanging="360"/>
      </w:pPr>
    </w:lvl>
    <w:lvl w:ilvl="5" w:tplc="100C001B" w:tentative="1">
      <w:start w:val="1"/>
      <w:numFmt w:val="lowerRoman"/>
      <w:lvlText w:val="%6."/>
      <w:lvlJc w:val="right"/>
      <w:pPr>
        <w:ind w:left="5459" w:hanging="180"/>
      </w:pPr>
    </w:lvl>
    <w:lvl w:ilvl="6" w:tplc="100C000F" w:tentative="1">
      <w:start w:val="1"/>
      <w:numFmt w:val="decimal"/>
      <w:lvlText w:val="%7."/>
      <w:lvlJc w:val="left"/>
      <w:pPr>
        <w:ind w:left="6179" w:hanging="360"/>
      </w:pPr>
    </w:lvl>
    <w:lvl w:ilvl="7" w:tplc="100C0019" w:tentative="1">
      <w:start w:val="1"/>
      <w:numFmt w:val="lowerLetter"/>
      <w:lvlText w:val="%8."/>
      <w:lvlJc w:val="left"/>
      <w:pPr>
        <w:ind w:left="6899" w:hanging="360"/>
      </w:pPr>
    </w:lvl>
    <w:lvl w:ilvl="8" w:tplc="100C001B" w:tentative="1">
      <w:start w:val="1"/>
      <w:numFmt w:val="lowerRoman"/>
      <w:lvlText w:val="%9."/>
      <w:lvlJc w:val="right"/>
      <w:pPr>
        <w:ind w:left="761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53"/>
    <w:rsid w:val="000124CC"/>
    <w:rsid w:val="00046444"/>
    <w:rsid w:val="0006023B"/>
    <w:rsid w:val="000856D5"/>
    <w:rsid w:val="0008638B"/>
    <w:rsid w:val="00090574"/>
    <w:rsid w:val="00092FC2"/>
    <w:rsid w:val="00093AFC"/>
    <w:rsid w:val="000A1677"/>
    <w:rsid w:val="000B2717"/>
    <w:rsid w:val="000B407F"/>
    <w:rsid w:val="000F0B1C"/>
    <w:rsid w:val="000F1D42"/>
    <w:rsid w:val="000F4D07"/>
    <w:rsid w:val="00102A03"/>
    <w:rsid w:val="001040A3"/>
    <w:rsid w:val="00111DA8"/>
    <w:rsid w:val="001501C7"/>
    <w:rsid w:val="0015525F"/>
    <w:rsid w:val="00157F05"/>
    <w:rsid w:val="00173915"/>
    <w:rsid w:val="001922D7"/>
    <w:rsid w:val="001F4147"/>
    <w:rsid w:val="0022345D"/>
    <w:rsid w:val="00225854"/>
    <w:rsid w:val="0023283D"/>
    <w:rsid w:val="002361DD"/>
    <w:rsid w:val="00241634"/>
    <w:rsid w:val="00252E0C"/>
    <w:rsid w:val="00276881"/>
    <w:rsid w:val="00280942"/>
    <w:rsid w:val="002978F4"/>
    <w:rsid w:val="002A3346"/>
    <w:rsid w:val="002B028D"/>
    <w:rsid w:val="002B435E"/>
    <w:rsid w:val="002B4642"/>
    <w:rsid w:val="002C3FC3"/>
    <w:rsid w:val="002C4DAE"/>
    <w:rsid w:val="002D06A2"/>
    <w:rsid w:val="002E6541"/>
    <w:rsid w:val="002F5560"/>
    <w:rsid w:val="0030486B"/>
    <w:rsid w:val="003231B9"/>
    <w:rsid w:val="00323BD4"/>
    <w:rsid w:val="0032574B"/>
    <w:rsid w:val="003275AC"/>
    <w:rsid w:val="00333D29"/>
    <w:rsid w:val="0034066D"/>
    <w:rsid w:val="003409F4"/>
    <w:rsid w:val="00341E03"/>
    <w:rsid w:val="00357185"/>
    <w:rsid w:val="003607AA"/>
    <w:rsid w:val="00360EB9"/>
    <w:rsid w:val="00371946"/>
    <w:rsid w:val="00374DAF"/>
    <w:rsid w:val="00377E1A"/>
    <w:rsid w:val="003A1508"/>
    <w:rsid w:val="003C1FFB"/>
    <w:rsid w:val="003C38F9"/>
    <w:rsid w:val="003C475F"/>
    <w:rsid w:val="003E4132"/>
    <w:rsid w:val="003E5659"/>
    <w:rsid w:val="003F3C56"/>
    <w:rsid w:val="003F678F"/>
    <w:rsid w:val="0042686F"/>
    <w:rsid w:val="00431099"/>
    <w:rsid w:val="004367CE"/>
    <w:rsid w:val="00443869"/>
    <w:rsid w:val="004712C6"/>
    <w:rsid w:val="004847F5"/>
    <w:rsid w:val="00497703"/>
    <w:rsid w:val="004A589A"/>
    <w:rsid w:val="004B41A6"/>
    <w:rsid w:val="004F0F06"/>
    <w:rsid w:val="004F39B8"/>
    <w:rsid w:val="00501E0E"/>
    <w:rsid w:val="005102A0"/>
    <w:rsid w:val="005204D7"/>
    <w:rsid w:val="00527588"/>
    <w:rsid w:val="00552BC5"/>
    <w:rsid w:val="0055516A"/>
    <w:rsid w:val="0056374C"/>
    <w:rsid w:val="0056614F"/>
    <w:rsid w:val="0057656F"/>
    <w:rsid w:val="00576731"/>
    <w:rsid w:val="005833B6"/>
    <w:rsid w:val="0059285F"/>
    <w:rsid w:val="00597885"/>
    <w:rsid w:val="005A24B1"/>
    <w:rsid w:val="005A7A5E"/>
    <w:rsid w:val="005B17A6"/>
    <w:rsid w:val="005B7B8A"/>
    <w:rsid w:val="005D6476"/>
    <w:rsid w:val="005D6C0D"/>
    <w:rsid w:val="005E5283"/>
    <w:rsid w:val="005E58F5"/>
    <w:rsid w:val="00606660"/>
    <w:rsid w:val="006157A3"/>
    <w:rsid w:val="00620E60"/>
    <w:rsid w:val="0063315A"/>
    <w:rsid w:val="0065591D"/>
    <w:rsid w:val="00662C5A"/>
    <w:rsid w:val="00670AF5"/>
    <w:rsid w:val="006913C8"/>
    <w:rsid w:val="006A6208"/>
    <w:rsid w:val="006A68A2"/>
    <w:rsid w:val="006B6C85"/>
    <w:rsid w:val="006C1556"/>
    <w:rsid w:val="006C5751"/>
    <w:rsid w:val="006F267F"/>
    <w:rsid w:val="006F63F7"/>
    <w:rsid w:val="006F6F03"/>
    <w:rsid w:val="00706D7A"/>
    <w:rsid w:val="00726AEC"/>
    <w:rsid w:val="00731EE5"/>
    <w:rsid w:val="0073765A"/>
    <w:rsid w:val="007530CA"/>
    <w:rsid w:val="00760F8D"/>
    <w:rsid w:val="00775EE0"/>
    <w:rsid w:val="00793BC1"/>
    <w:rsid w:val="0079553D"/>
    <w:rsid w:val="007B01CC"/>
    <w:rsid w:val="007F646C"/>
    <w:rsid w:val="00801FCD"/>
    <w:rsid w:val="00803D7E"/>
    <w:rsid w:val="00803F08"/>
    <w:rsid w:val="0081483A"/>
    <w:rsid w:val="008235CD"/>
    <w:rsid w:val="00823A07"/>
    <w:rsid w:val="00835FEC"/>
    <w:rsid w:val="008513CB"/>
    <w:rsid w:val="00874D9C"/>
    <w:rsid w:val="008A1810"/>
    <w:rsid w:val="008D2BF5"/>
    <w:rsid w:val="008D6B7D"/>
    <w:rsid w:val="008E6FC0"/>
    <w:rsid w:val="009039FD"/>
    <w:rsid w:val="00917694"/>
    <w:rsid w:val="009263CD"/>
    <w:rsid w:val="00930E6D"/>
    <w:rsid w:val="00941FD9"/>
    <w:rsid w:val="00963F18"/>
    <w:rsid w:val="00972CA2"/>
    <w:rsid w:val="00982A75"/>
    <w:rsid w:val="00982B28"/>
    <w:rsid w:val="00984EA5"/>
    <w:rsid w:val="00992593"/>
    <w:rsid w:val="0099495E"/>
    <w:rsid w:val="00996439"/>
    <w:rsid w:val="009C17E1"/>
    <w:rsid w:val="009C35ED"/>
    <w:rsid w:val="009D3F51"/>
    <w:rsid w:val="009F1C12"/>
    <w:rsid w:val="009F2F38"/>
    <w:rsid w:val="00A05E9D"/>
    <w:rsid w:val="00A071CD"/>
    <w:rsid w:val="00A25A43"/>
    <w:rsid w:val="00A3295B"/>
    <w:rsid w:val="00A42AE5"/>
    <w:rsid w:val="00A52B61"/>
    <w:rsid w:val="00A64820"/>
    <w:rsid w:val="00A71DD6"/>
    <w:rsid w:val="00A723C7"/>
    <w:rsid w:val="00A77563"/>
    <w:rsid w:val="00A80E11"/>
    <w:rsid w:val="00A84BEF"/>
    <w:rsid w:val="00A97F94"/>
    <w:rsid w:val="00AB1309"/>
    <w:rsid w:val="00AC2C52"/>
    <w:rsid w:val="00AD1503"/>
    <w:rsid w:val="00AD5C6D"/>
    <w:rsid w:val="00AE4125"/>
    <w:rsid w:val="00AE7244"/>
    <w:rsid w:val="00AF3FEE"/>
    <w:rsid w:val="00B02F46"/>
    <w:rsid w:val="00B058EA"/>
    <w:rsid w:val="00B17797"/>
    <w:rsid w:val="00B2000C"/>
    <w:rsid w:val="00B20ADE"/>
    <w:rsid w:val="00B21886"/>
    <w:rsid w:val="00B66B9A"/>
    <w:rsid w:val="00B7310D"/>
    <w:rsid w:val="00B82089"/>
    <w:rsid w:val="00B970AE"/>
    <w:rsid w:val="00BA1427"/>
    <w:rsid w:val="00BB2742"/>
    <w:rsid w:val="00BE3C8F"/>
    <w:rsid w:val="00BE49D0"/>
    <w:rsid w:val="00BF2C38"/>
    <w:rsid w:val="00C00656"/>
    <w:rsid w:val="00C23331"/>
    <w:rsid w:val="00C26527"/>
    <w:rsid w:val="00C265DA"/>
    <w:rsid w:val="00C442F2"/>
    <w:rsid w:val="00C54EB6"/>
    <w:rsid w:val="00C674FE"/>
    <w:rsid w:val="00C7297D"/>
    <w:rsid w:val="00C75633"/>
    <w:rsid w:val="00C8242E"/>
    <w:rsid w:val="00C82615"/>
    <w:rsid w:val="00C867DB"/>
    <w:rsid w:val="00C8705F"/>
    <w:rsid w:val="00C900E5"/>
    <w:rsid w:val="00CA2A38"/>
    <w:rsid w:val="00CA50FF"/>
    <w:rsid w:val="00CB436B"/>
    <w:rsid w:val="00CC3CD2"/>
    <w:rsid w:val="00CC43BE"/>
    <w:rsid w:val="00CD098D"/>
    <w:rsid w:val="00CD123C"/>
    <w:rsid w:val="00CD2085"/>
    <w:rsid w:val="00CE2EE1"/>
    <w:rsid w:val="00CF3FFD"/>
    <w:rsid w:val="00CF4E88"/>
    <w:rsid w:val="00D0494C"/>
    <w:rsid w:val="00D14BEB"/>
    <w:rsid w:val="00D21C89"/>
    <w:rsid w:val="00D244C1"/>
    <w:rsid w:val="00D24B82"/>
    <w:rsid w:val="00D45542"/>
    <w:rsid w:val="00D47467"/>
    <w:rsid w:val="00D77D0F"/>
    <w:rsid w:val="00DA15B8"/>
    <w:rsid w:val="00DA1CF0"/>
    <w:rsid w:val="00DB2271"/>
    <w:rsid w:val="00DB5659"/>
    <w:rsid w:val="00DC24B4"/>
    <w:rsid w:val="00DD7A05"/>
    <w:rsid w:val="00DF16DC"/>
    <w:rsid w:val="00DF5361"/>
    <w:rsid w:val="00DF7410"/>
    <w:rsid w:val="00E00547"/>
    <w:rsid w:val="00E009A1"/>
    <w:rsid w:val="00E00D15"/>
    <w:rsid w:val="00E063D1"/>
    <w:rsid w:val="00E071BE"/>
    <w:rsid w:val="00E07379"/>
    <w:rsid w:val="00E14494"/>
    <w:rsid w:val="00E17033"/>
    <w:rsid w:val="00E32189"/>
    <w:rsid w:val="00E45211"/>
    <w:rsid w:val="00E4696E"/>
    <w:rsid w:val="00E53CD7"/>
    <w:rsid w:val="00E62817"/>
    <w:rsid w:val="00E7380C"/>
    <w:rsid w:val="00E744B8"/>
    <w:rsid w:val="00E74BE7"/>
    <w:rsid w:val="00E86CC9"/>
    <w:rsid w:val="00E96624"/>
    <w:rsid w:val="00F126F1"/>
    <w:rsid w:val="00F2106A"/>
    <w:rsid w:val="00F36D8B"/>
    <w:rsid w:val="00F401D0"/>
    <w:rsid w:val="00F41685"/>
    <w:rsid w:val="00F45F2B"/>
    <w:rsid w:val="00F55133"/>
    <w:rsid w:val="00F57AE4"/>
    <w:rsid w:val="00F67150"/>
    <w:rsid w:val="00F84366"/>
    <w:rsid w:val="00F85089"/>
    <w:rsid w:val="00F85564"/>
    <w:rsid w:val="00F86CFA"/>
    <w:rsid w:val="00F96A53"/>
    <w:rsid w:val="00FB53B8"/>
    <w:rsid w:val="00FD58BD"/>
    <w:rsid w:val="00FE3EF8"/>
    <w:rsid w:val="00FF369A"/>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54C34FF-9C55-4E4A-99A7-473C96EC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53CD7"/>
    <w:pPr>
      <w:spacing w:before="80"/>
      <w:ind w:left="1134" w:hanging="1134"/>
    </w:pPr>
  </w:style>
  <w:style w:type="character" w:customStyle="1" w:styleId="enumlev1Char">
    <w:name w:val="enumlev1 Char"/>
    <w:basedOn w:val="DefaultParagraphFont"/>
    <w:link w:val="enumlev1"/>
    <w:rsid w:val="00E53CD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_"/>
    <w:basedOn w:val="Normal"/>
    <w:rsid w:val="003F3C56"/>
  </w:style>
  <w:style w:type="paragraph" w:styleId="ListParagraph">
    <w:name w:val="List Paragraph"/>
    <w:basedOn w:val="Normal"/>
    <w:uiPriority w:val="34"/>
    <w:qFormat/>
    <w:rsid w:val="003F3C56"/>
    <w:pPr>
      <w:ind w:left="720"/>
      <w:contextualSpacing/>
    </w:pPr>
  </w:style>
  <w:style w:type="paragraph" w:customStyle="1" w:styleId="tablefooter">
    <w:name w:val="table_footer"/>
    <w:basedOn w:val="Normal"/>
    <w:qFormat/>
    <w:rsid w:val="00C00656"/>
    <w:pPr>
      <w:spacing w:before="80" w:line="168" w:lineRule="auto"/>
    </w:pPr>
    <w:rPr>
      <w:sz w:val="20"/>
      <w:szCs w:val="26"/>
      <w:lang w:val="en-GB"/>
    </w:rPr>
  </w:style>
  <w:style w:type="paragraph" w:customStyle="1" w:styleId="Headingb0">
    <w:name w:val="Heading b"/>
    <w:basedOn w:val="Normal"/>
    <w:qFormat/>
    <w:rsid w:val="0028094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6ccb226-76c8-4b95-9c71-7cb3ef55d78f"/>
  </ds:schemaRefs>
</ds:datastoreItem>
</file>

<file path=customXml/itemProps3.xml><?xml version="1.0" encoding="utf-8"?>
<ds:datastoreItem xmlns:ds="http://schemas.openxmlformats.org/officeDocument/2006/customXml" ds:itemID="{0A501D54-2C51-4F3D-90D4-885C4128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106</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DPM_v2016.9.28.1_prod</cp:keywords>
  <dc:description>Template used by DPM and CPI for the WTSA-16</dc:description>
  <cp:lastModifiedBy>Murphy, Margaret</cp:lastModifiedBy>
  <cp:revision>15</cp:revision>
  <cp:lastPrinted>2016-06-07T13:25:00Z</cp:lastPrinted>
  <dcterms:created xsi:type="dcterms:W3CDTF">2016-10-03T09:35:00Z</dcterms:created>
  <dcterms:modified xsi:type="dcterms:W3CDTF">2016-10-17T13:49:00Z</dcterms:modified>
  <cp:category>Conference document</cp:category>
</cp:coreProperties>
</file>