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82"/>
        <w:gridCol w:w="5422"/>
        <w:gridCol w:w="567"/>
        <w:gridCol w:w="2440"/>
      </w:tblGrid>
      <w:tr w:rsidR="001D581B" w:rsidTr="00530525">
        <w:trPr>
          <w:cantSplit/>
        </w:trPr>
        <w:tc>
          <w:tcPr>
            <w:tcW w:w="1382" w:type="dxa"/>
            <w:vAlign w:val="center"/>
          </w:tcPr>
          <w:p w:rsidR="00CF1E9D" w:rsidRPr="00566A5B" w:rsidRDefault="00CF1E9D" w:rsidP="00E76F3F">
            <w:pPr>
              <w:spacing w:line="360" w:lineRule="auto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gridSpan w:val="2"/>
            <w:vAlign w:val="center"/>
          </w:tcPr>
          <w:p w:rsidR="00CF1E9D" w:rsidRPr="009F63E2" w:rsidRDefault="001D581B" w:rsidP="00E76F3F">
            <w:pPr>
              <w:spacing w:line="360" w:lineRule="auto"/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</w:pP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Assemblée mondiale de normalisation </w:t>
            </w:r>
            <w:r w:rsidR="00C26BA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br/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des télécommunications 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(</w:t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AMNT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-16)</w:t>
            </w:r>
            <w:r w:rsidR="00CF1E9D" w:rsidRPr="009F63E2"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  <w:br/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Hammamet, 25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ct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obre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-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3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n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ov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embre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2016</w:t>
            </w:r>
          </w:p>
        </w:tc>
        <w:tc>
          <w:tcPr>
            <w:tcW w:w="2440" w:type="dxa"/>
            <w:vAlign w:val="center"/>
          </w:tcPr>
          <w:p w:rsidR="00CF1E9D" w:rsidRPr="00CF1E9D" w:rsidRDefault="00CF1E9D" w:rsidP="00E76F3F">
            <w:pPr>
              <w:spacing w:before="0" w:line="360" w:lineRule="auto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595780" w:rsidRDefault="00595780" w:rsidP="00E76F3F">
            <w:pPr>
              <w:spacing w:before="0" w:line="360" w:lineRule="auto"/>
            </w:pPr>
          </w:p>
        </w:tc>
        <w:tc>
          <w:tcPr>
            <w:tcW w:w="3007" w:type="dxa"/>
            <w:gridSpan w:val="2"/>
            <w:tcBorders>
              <w:bottom w:val="single" w:sz="12" w:space="0" w:color="auto"/>
            </w:tcBorders>
          </w:tcPr>
          <w:p w:rsidR="00595780" w:rsidRDefault="00595780" w:rsidP="00E76F3F">
            <w:pPr>
              <w:spacing w:before="0" w:line="360" w:lineRule="auto"/>
            </w:pP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595780" w:rsidRDefault="00595780" w:rsidP="00611685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Pr="002074EC" w:rsidRDefault="00595780" w:rsidP="0061168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26BA2" w:rsidTr="00530525">
        <w:trPr>
          <w:cantSplit/>
        </w:trPr>
        <w:tc>
          <w:tcPr>
            <w:tcW w:w="6804" w:type="dxa"/>
            <w:gridSpan w:val="2"/>
          </w:tcPr>
          <w:p w:rsidR="00C26BA2" w:rsidRDefault="00C26BA2" w:rsidP="00611685">
            <w:pPr>
              <w:spacing w:before="0"/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007" w:type="dxa"/>
            <w:gridSpan w:val="2"/>
          </w:tcPr>
          <w:p w:rsidR="00C26BA2" w:rsidRPr="002A6F8F" w:rsidRDefault="00C26BA2" w:rsidP="00611685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Addendum 2</w:t>
            </w:r>
            <w:r w:rsidR="00C219AB">
              <w:rPr>
                <w:rFonts w:ascii="Verdana" w:hAnsi="Verdana"/>
                <w:b/>
                <w:sz w:val="20"/>
                <w:lang w:val="en-US"/>
              </w:rPr>
              <w:t>5</w:t>
            </w:r>
            <w:r>
              <w:rPr>
                <w:rFonts w:ascii="Verdana" w:hAnsi="Verdana"/>
                <w:b/>
                <w:sz w:val="20"/>
                <w:lang w:val="en-US"/>
              </w:rPr>
              <w:t xml:space="preserve"> au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 46</w:t>
            </w:r>
            <w:r w:rsidRPr="00D6112A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611685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611685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23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septembre</w:t>
            </w:r>
            <w:proofErr w:type="spellEnd"/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 2016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611685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611685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="00C219AB">
              <w:rPr>
                <w:rFonts w:ascii="Verdana" w:hAnsi="Verdana"/>
                <w:b/>
                <w:sz w:val="20"/>
                <w:lang w:val="en-US"/>
              </w:rPr>
              <w:t>espagnol</w:t>
            </w:r>
            <w:proofErr w:type="spellEnd"/>
          </w:p>
        </w:tc>
      </w:tr>
      <w:tr w:rsidR="000032AD" w:rsidTr="00530525">
        <w:trPr>
          <w:cantSplit/>
        </w:trPr>
        <w:tc>
          <w:tcPr>
            <w:tcW w:w="9811" w:type="dxa"/>
            <w:gridSpan w:val="4"/>
          </w:tcPr>
          <w:p w:rsidR="000032AD" w:rsidRPr="002074EC" w:rsidRDefault="000032AD" w:rsidP="0061168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95780" w:rsidRPr="00BD5F02" w:rsidTr="00530525">
        <w:trPr>
          <w:cantSplit/>
        </w:trPr>
        <w:tc>
          <w:tcPr>
            <w:tcW w:w="9811" w:type="dxa"/>
            <w:gridSpan w:val="4"/>
          </w:tcPr>
          <w:p w:rsidR="00595780" w:rsidRPr="000D547A" w:rsidRDefault="00C26BA2" w:rsidP="00611685">
            <w:pPr>
              <w:pStyle w:val="Source"/>
              <w:rPr>
                <w:lang w:val="fr-CH"/>
              </w:rPr>
            </w:pPr>
            <w:r w:rsidRPr="000D547A">
              <w:rPr>
                <w:lang w:val="fr-CH"/>
              </w:rPr>
              <w:t>Etats Membres de la Commission interaméricaine des télécommunications (CITEL)</w:t>
            </w:r>
          </w:p>
        </w:tc>
      </w:tr>
      <w:tr w:rsidR="00595780" w:rsidRPr="00BD5F02" w:rsidTr="00530525">
        <w:trPr>
          <w:cantSplit/>
        </w:trPr>
        <w:tc>
          <w:tcPr>
            <w:tcW w:w="9811" w:type="dxa"/>
            <w:gridSpan w:val="4"/>
          </w:tcPr>
          <w:p w:rsidR="00595780" w:rsidRPr="000D547A" w:rsidRDefault="00C219AB" w:rsidP="00E76F3F">
            <w:pPr>
              <w:pStyle w:val="Title1"/>
              <w:spacing w:line="360" w:lineRule="auto"/>
              <w:rPr>
                <w:lang w:val="fr-CH"/>
              </w:rPr>
            </w:pPr>
            <w:r>
              <w:rPr>
                <w:lang w:val="fr-CH"/>
              </w:rPr>
              <w:t>principes régissant la structure des commissions d</w:t>
            </w:r>
            <w:r w:rsidR="00911A3E">
              <w:rPr>
                <w:lang w:val="fr-CH"/>
              </w:rPr>
              <w:t>'</w:t>
            </w:r>
            <w:r>
              <w:rPr>
                <w:lang w:val="fr-CH"/>
              </w:rPr>
              <w:t>études</w:t>
            </w:r>
          </w:p>
        </w:tc>
      </w:tr>
      <w:tr w:rsidR="00595780" w:rsidRPr="00BD5F02" w:rsidTr="00530525">
        <w:trPr>
          <w:cantSplit/>
        </w:trPr>
        <w:tc>
          <w:tcPr>
            <w:tcW w:w="9811" w:type="dxa"/>
            <w:gridSpan w:val="4"/>
          </w:tcPr>
          <w:p w:rsidR="00595780" w:rsidRPr="000D547A" w:rsidRDefault="00595780" w:rsidP="00E76F3F">
            <w:pPr>
              <w:pStyle w:val="Title2"/>
              <w:spacing w:line="360" w:lineRule="auto"/>
              <w:rPr>
                <w:lang w:val="fr-CH"/>
              </w:rPr>
            </w:pPr>
          </w:p>
        </w:tc>
      </w:tr>
    </w:tbl>
    <w:p w:rsidR="00E11197" w:rsidRPr="000D547A" w:rsidRDefault="00E11197" w:rsidP="00E76F3F">
      <w:pPr>
        <w:spacing w:line="360" w:lineRule="auto"/>
        <w:rPr>
          <w:lang w:val="fr-CH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BD5F02" w:rsidTr="00193AD1">
        <w:trPr>
          <w:cantSplit/>
        </w:trPr>
        <w:tc>
          <w:tcPr>
            <w:tcW w:w="1951" w:type="dxa"/>
          </w:tcPr>
          <w:p w:rsidR="00E11197" w:rsidRPr="00426748" w:rsidRDefault="00E11197" w:rsidP="00E76F3F">
            <w:pPr>
              <w:spacing w:line="360" w:lineRule="auto"/>
            </w:pPr>
            <w:r>
              <w:rPr>
                <w:b/>
                <w:bCs/>
              </w:rPr>
              <w:t>Résumé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lang w:val="fr-CH"/>
            </w:rPr>
            <w:alias w:val="Abstract"/>
            <w:tag w:val="Abstract"/>
            <w:id w:val="-939903723"/>
            <w:placeholder>
              <w:docPart w:val="CEF0515E39224C1BB445B352EB3113A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E11197" w:rsidRPr="00426616" w:rsidRDefault="00413F0D" w:rsidP="007D56EB">
                <w:pPr>
                  <w:rPr>
                    <w:color w:val="000000" w:themeColor="text1"/>
                    <w:lang w:val="fr-CH"/>
                  </w:rPr>
                </w:pPr>
                <w:r>
                  <w:rPr>
                    <w:lang w:val="fr-CH"/>
                  </w:rPr>
                  <w:t>On trouvera dans</w:t>
                </w:r>
                <w:r w:rsidR="00C219AB">
                  <w:rPr>
                    <w:lang w:val="fr-CH"/>
                  </w:rPr>
                  <w:t xml:space="preserve"> </w:t>
                </w:r>
                <w:r w:rsidR="000273A2">
                  <w:rPr>
                    <w:lang w:val="fr-CH"/>
                  </w:rPr>
                  <w:t xml:space="preserve">la </w:t>
                </w:r>
                <w:r w:rsidR="00C219AB">
                  <w:rPr>
                    <w:lang w:val="fr-CH"/>
                  </w:rPr>
                  <w:t xml:space="preserve">présente contribution </w:t>
                </w:r>
                <w:r>
                  <w:rPr>
                    <w:lang w:val="fr-CH"/>
                  </w:rPr>
                  <w:t xml:space="preserve">les vues préliminaires </w:t>
                </w:r>
                <w:r w:rsidR="00C219AB">
                  <w:rPr>
                    <w:lang w:val="fr-CH"/>
                  </w:rPr>
                  <w:t xml:space="preserve">actuelles de la CITEL </w:t>
                </w:r>
                <w:r w:rsidR="00620417">
                  <w:rPr>
                    <w:lang w:val="fr-CH"/>
                  </w:rPr>
                  <w:t>quant à</w:t>
                </w:r>
                <w:r w:rsidR="00C219AB">
                  <w:rPr>
                    <w:lang w:val="fr-CH"/>
                  </w:rPr>
                  <w:t xml:space="preserve"> </w:t>
                </w:r>
                <w:r w:rsidR="00FD5AC6">
                  <w:rPr>
                    <w:lang w:val="fr-CH"/>
                  </w:rPr>
                  <w:t>la structure du Secteur de la normalisation des télécommunications de l</w:t>
                </w:r>
                <w:r w:rsidR="00911A3E">
                  <w:rPr>
                    <w:lang w:val="fr-CH"/>
                  </w:rPr>
                  <w:t>'</w:t>
                </w:r>
                <w:r w:rsidR="00FD5AC6">
                  <w:rPr>
                    <w:lang w:val="fr-CH"/>
                  </w:rPr>
                  <w:t xml:space="preserve">UIT </w:t>
                </w:r>
                <w:r>
                  <w:rPr>
                    <w:lang w:val="fr-CH"/>
                  </w:rPr>
                  <w:t xml:space="preserve">(UIT-T). Cette contribution vise à </w:t>
                </w:r>
                <w:r w:rsidR="00FD5AC6">
                  <w:rPr>
                    <w:lang w:val="fr-CH"/>
                  </w:rPr>
                  <w:t xml:space="preserve">stimuler le débat sur les </w:t>
                </w:r>
                <w:r>
                  <w:rPr>
                    <w:lang w:val="fr-CH"/>
                  </w:rPr>
                  <w:t>méthodes</w:t>
                </w:r>
                <w:r w:rsidR="00FD5AC6">
                  <w:rPr>
                    <w:lang w:val="fr-CH"/>
                  </w:rPr>
                  <w:t xml:space="preserve"> possibles en matière de structuration de l</w:t>
                </w:r>
                <w:r w:rsidR="00911A3E">
                  <w:rPr>
                    <w:lang w:val="fr-CH"/>
                  </w:rPr>
                  <w:t>'</w:t>
                </w:r>
                <w:r w:rsidR="00FD5AC6">
                  <w:rPr>
                    <w:lang w:val="fr-CH"/>
                  </w:rPr>
                  <w:t xml:space="preserve">UIT-T, </w:t>
                </w:r>
                <w:r>
                  <w:rPr>
                    <w:lang w:val="fr-CH"/>
                  </w:rPr>
                  <w:t>qui seront abordées</w:t>
                </w:r>
                <w:r w:rsidR="00FD5AC6">
                  <w:rPr>
                    <w:lang w:val="fr-CH"/>
                  </w:rPr>
                  <w:t xml:space="preserve"> lors de l</w:t>
                </w:r>
                <w:r w:rsidR="00911A3E">
                  <w:rPr>
                    <w:lang w:val="fr-CH"/>
                  </w:rPr>
                  <w:t>'</w:t>
                </w:r>
                <w:r w:rsidR="00FD5AC6">
                  <w:rPr>
                    <w:lang w:val="fr-CH"/>
                  </w:rPr>
                  <w:t>Assemblée mondiale de normalisation des télécommunications de 2016 (AMNT-16).</w:t>
                </w:r>
              </w:p>
            </w:tc>
          </w:sdtContent>
        </w:sdt>
      </w:tr>
    </w:tbl>
    <w:p w:rsidR="00FD5AC6" w:rsidRPr="00FD5AC6" w:rsidRDefault="00FD5AC6" w:rsidP="004126D1">
      <w:pPr>
        <w:pStyle w:val="Headingb"/>
      </w:pPr>
      <w:r w:rsidRPr="00FD5AC6">
        <w:t>Contexte</w:t>
      </w:r>
    </w:p>
    <w:p w:rsidR="00FD5AC6" w:rsidRPr="00FD5AC6" w:rsidRDefault="00C86275" w:rsidP="00E15588">
      <w:pPr>
        <w:rPr>
          <w:lang w:val="fr-CH"/>
        </w:rPr>
      </w:pPr>
      <w:r>
        <w:rPr>
          <w:lang w:val="fr-CH"/>
        </w:rPr>
        <w:t xml:space="preserve">Le </w:t>
      </w:r>
      <w:r w:rsidR="004126D1">
        <w:rPr>
          <w:lang w:val="fr-CH"/>
        </w:rPr>
        <w:t>secteur</w:t>
      </w:r>
      <w:r>
        <w:rPr>
          <w:lang w:val="fr-CH"/>
        </w:rPr>
        <w:t xml:space="preserve"> des télécommunications/TIC ne cesse d</w:t>
      </w:r>
      <w:r w:rsidR="00911A3E">
        <w:rPr>
          <w:lang w:val="fr-CH"/>
        </w:rPr>
        <w:t>'</w:t>
      </w:r>
      <w:r>
        <w:rPr>
          <w:lang w:val="fr-CH"/>
        </w:rPr>
        <w:t>évoluer,</w:t>
      </w:r>
      <w:r w:rsidR="004126D1">
        <w:rPr>
          <w:lang w:val="fr-CH"/>
        </w:rPr>
        <w:t xml:space="preserve"> de sorte que</w:t>
      </w:r>
      <w:r>
        <w:rPr>
          <w:lang w:val="fr-CH"/>
        </w:rPr>
        <w:t xml:space="preserve"> l</w:t>
      </w:r>
      <w:r w:rsidR="00911A3E">
        <w:rPr>
          <w:lang w:val="fr-CH"/>
        </w:rPr>
        <w:t>'</w:t>
      </w:r>
      <w:r>
        <w:rPr>
          <w:lang w:val="fr-CH"/>
        </w:rPr>
        <w:t>écosystème de normes doit s</w:t>
      </w:r>
      <w:r w:rsidR="00911A3E">
        <w:rPr>
          <w:lang w:val="fr-CH"/>
        </w:rPr>
        <w:t>'</w:t>
      </w:r>
      <w:r>
        <w:rPr>
          <w:lang w:val="fr-CH"/>
        </w:rPr>
        <w:t xml:space="preserve">adapter à ces évolutions. De nombreuses organisations et instances de normalisation </w:t>
      </w:r>
      <w:r w:rsidR="004126D1">
        <w:rPr>
          <w:lang w:val="fr-CH"/>
        </w:rPr>
        <w:t>s'occupent des</w:t>
      </w:r>
      <w:r>
        <w:rPr>
          <w:lang w:val="fr-CH"/>
        </w:rPr>
        <w:t xml:space="preserve"> différents aspects des systèmes de télécommunic</w:t>
      </w:r>
      <w:r w:rsidR="004126D1">
        <w:rPr>
          <w:lang w:val="fr-CH"/>
        </w:rPr>
        <w:t>ation</w:t>
      </w:r>
      <w:r>
        <w:rPr>
          <w:lang w:val="fr-CH"/>
        </w:rPr>
        <w:t xml:space="preserve">/TIC. </w:t>
      </w:r>
      <w:r w:rsidR="007638FC">
        <w:rPr>
          <w:lang w:val="fr-CH"/>
        </w:rPr>
        <w:t>Toute</w:t>
      </w:r>
      <w:r w:rsidR="004126D1">
        <w:rPr>
          <w:lang w:val="fr-CH"/>
        </w:rPr>
        <w:t>fois,</w:t>
      </w:r>
      <w:r>
        <w:rPr>
          <w:lang w:val="fr-CH"/>
        </w:rPr>
        <w:t xml:space="preserve"> aucune organisation ne peut prétendre</w:t>
      </w:r>
      <w:r w:rsidR="0010295C">
        <w:rPr>
          <w:lang w:val="fr-CH"/>
        </w:rPr>
        <w:t xml:space="preserve"> </w:t>
      </w:r>
      <w:r w:rsidR="004126D1">
        <w:rPr>
          <w:lang w:val="fr-CH"/>
        </w:rPr>
        <w:t xml:space="preserve">à elle seule </w:t>
      </w:r>
      <w:r w:rsidR="00E624A6">
        <w:rPr>
          <w:lang w:val="fr-CH"/>
        </w:rPr>
        <w:t>les</w:t>
      </w:r>
      <w:r w:rsidR="004126D1">
        <w:rPr>
          <w:lang w:val="fr-CH"/>
        </w:rPr>
        <w:t xml:space="preserve"> traiter</w:t>
      </w:r>
      <w:r>
        <w:rPr>
          <w:lang w:val="fr-CH"/>
        </w:rPr>
        <w:t xml:space="preserve"> tous, </w:t>
      </w:r>
      <w:r w:rsidR="004126D1">
        <w:rPr>
          <w:lang w:val="fr-CH"/>
        </w:rPr>
        <w:t xml:space="preserve">ni s'efforcer d'atteindre </w:t>
      </w:r>
      <w:r w:rsidR="000273A2">
        <w:rPr>
          <w:lang w:val="fr-CH"/>
        </w:rPr>
        <w:t xml:space="preserve">un tel objectif </w:t>
      </w:r>
      <w:r w:rsidR="004126D1">
        <w:rPr>
          <w:lang w:val="fr-CH"/>
        </w:rPr>
        <w:t>ou s'en prévaloir</w:t>
      </w:r>
      <w:r w:rsidR="0010295C">
        <w:rPr>
          <w:lang w:val="fr-CH"/>
        </w:rPr>
        <w:t>. La spécialisation dans des domaines précis permet d</w:t>
      </w:r>
      <w:r w:rsidR="004126D1">
        <w:rPr>
          <w:lang w:val="fr-CH"/>
        </w:rPr>
        <w:t>e tirer parti</w:t>
      </w:r>
      <w:r w:rsidR="0010295C">
        <w:rPr>
          <w:lang w:val="fr-CH"/>
        </w:rPr>
        <w:t xml:space="preserve"> des compétences </w:t>
      </w:r>
      <w:r w:rsidR="004126D1">
        <w:rPr>
          <w:lang w:val="fr-CH"/>
        </w:rPr>
        <w:t xml:space="preserve">de spécialistes, </w:t>
      </w:r>
      <w:r w:rsidR="0010295C">
        <w:rPr>
          <w:lang w:val="fr-CH"/>
        </w:rPr>
        <w:t>tandis que l</w:t>
      </w:r>
      <w:r w:rsidR="00911A3E">
        <w:rPr>
          <w:lang w:val="fr-CH"/>
        </w:rPr>
        <w:t>'</w:t>
      </w:r>
      <w:r w:rsidR="0010295C">
        <w:rPr>
          <w:lang w:val="fr-CH"/>
        </w:rPr>
        <w:t>étude d</w:t>
      </w:r>
      <w:r w:rsidR="00911A3E">
        <w:rPr>
          <w:lang w:val="fr-CH"/>
        </w:rPr>
        <w:t>'</w:t>
      </w:r>
      <w:r w:rsidR="0010295C">
        <w:rPr>
          <w:lang w:val="fr-CH"/>
        </w:rPr>
        <w:t>un trop grand nombre de domaines</w:t>
      </w:r>
      <w:r w:rsidR="00A11534">
        <w:rPr>
          <w:lang w:val="fr-CH"/>
        </w:rPr>
        <w:t xml:space="preserve"> </w:t>
      </w:r>
      <w:r w:rsidR="004126D1">
        <w:rPr>
          <w:lang w:val="fr-CH"/>
        </w:rPr>
        <w:t>risque d'entraîner une dispersion des efforts.</w:t>
      </w:r>
    </w:p>
    <w:p w:rsidR="000D547A" w:rsidRPr="00426616" w:rsidRDefault="00392D3E" w:rsidP="00F16D87">
      <w:pPr>
        <w:pStyle w:val="Headingb"/>
      </w:pPr>
      <w:r w:rsidRPr="00F16D87">
        <w:t>Examen</w:t>
      </w:r>
    </w:p>
    <w:p w:rsidR="00DE19CB" w:rsidRDefault="00CD5906" w:rsidP="00E15588">
      <w:pPr>
        <w:rPr>
          <w:lang w:val="fr-CH"/>
        </w:rPr>
      </w:pPr>
      <w:r>
        <w:rPr>
          <w:lang w:val="fr-CH"/>
        </w:rPr>
        <w:t>L</w:t>
      </w:r>
      <w:r w:rsidR="00392D3E">
        <w:rPr>
          <w:lang w:val="fr-CH"/>
        </w:rPr>
        <w:t>e processus</w:t>
      </w:r>
      <w:r>
        <w:rPr>
          <w:lang w:val="fr-CH"/>
        </w:rPr>
        <w:t xml:space="preserve"> de réorganisation des commissions d</w:t>
      </w:r>
      <w:r w:rsidR="00911A3E">
        <w:rPr>
          <w:lang w:val="fr-CH"/>
        </w:rPr>
        <w:t>'</w:t>
      </w:r>
      <w:r>
        <w:rPr>
          <w:lang w:val="fr-CH"/>
        </w:rPr>
        <w:t xml:space="preserve">études est </w:t>
      </w:r>
      <w:r w:rsidR="00392D3E">
        <w:rPr>
          <w:lang w:val="fr-CH"/>
        </w:rPr>
        <w:t xml:space="preserve">mené à bien pratiquement </w:t>
      </w:r>
      <w:r>
        <w:rPr>
          <w:lang w:val="fr-CH"/>
        </w:rPr>
        <w:t>tous les quatre ans</w:t>
      </w:r>
      <w:r w:rsidR="00392D3E">
        <w:rPr>
          <w:lang w:val="fr-CH"/>
        </w:rPr>
        <w:t xml:space="preserve"> à l'occasion de la tenue de l'AMNT</w:t>
      </w:r>
      <w:r>
        <w:rPr>
          <w:lang w:val="fr-CH"/>
        </w:rPr>
        <w:t>. L</w:t>
      </w:r>
      <w:r w:rsidR="00911A3E">
        <w:rPr>
          <w:lang w:val="fr-CH"/>
        </w:rPr>
        <w:t>'</w:t>
      </w:r>
      <w:r>
        <w:rPr>
          <w:lang w:val="fr-CH"/>
        </w:rPr>
        <w:t>expérience a montré que</w:t>
      </w:r>
      <w:r w:rsidR="00392D3E">
        <w:rPr>
          <w:lang w:val="fr-CH"/>
        </w:rPr>
        <w:t>,</w:t>
      </w:r>
      <w:r>
        <w:rPr>
          <w:lang w:val="fr-CH"/>
        </w:rPr>
        <w:t xml:space="preserve"> lorsqu</w:t>
      </w:r>
      <w:r w:rsidR="00911A3E">
        <w:rPr>
          <w:lang w:val="fr-CH"/>
        </w:rPr>
        <w:t>'</w:t>
      </w:r>
      <w:r>
        <w:rPr>
          <w:lang w:val="fr-CH"/>
        </w:rPr>
        <w:t>il s</w:t>
      </w:r>
      <w:r w:rsidR="00911A3E">
        <w:rPr>
          <w:lang w:val="fr-CH"/>
        </w:rPr>
        <w:t>'</w:t>
      </w:r>
      <w:r>
        <w:rPr>
          <w:lang w:val="fr-CH"/>
        </w:rPr>
        <w:t>agit de déterminer la structure des commissions d</w:t>
      </w:r>
      <w:r w:rsidR="00911A3E">
        <w:rPr>
          <w:lang w:val="fr-CH"/>
        </w:rPr>
        <w:t>'</w:t>
      </w:r>
      <w:r>
        <w:rPr>
          <w:lang w:val="fr-CH"/>
        </w:rPr>
        <w:t>études, les principes suivants</w:t>
      </w:r>
      <w:r w:rsidR="006C39E5">
        <w:rPr>
          <w:lang w:val="fr-CH"/>
        </w:rPr>
        <w:t xml:space="preserve"> peuvent permettre d</w:t>
      </w:r>
      <w:r w:rsidR="00911A3E">
        <w:rPr>
          <w:lang w:val="fr-CH"/>
        </w:rPr>
        <w:t>'</w:t>
      </w:r>
      <w:r w:rsidR="006C39E5">
        <w:rPr>
          <w:lang w:val="fr-CH"/>
        </w:rPr>
        <w:t xml:space="preserve">élaborer </w:t>
      </w:r>
      <w:r w:rsidR="00E624A6">
        <w:rPr>
          <w:lang w:val="fr-CH"/>
        </w:rPr>
        <w:t xml:space="preserve">en temps voulu  </w:t>
      </w:r>
      <w:r w:rsidR="006C39E5">
        <w:rPr>
          <w:lang w:val="fr-CH"/>
        </w:rPr>
        <w:t>des normes v</w:t>
      </w:r>
      <w:r w:rsidR="00E624A6">
        <w:rPr>
          <w:lang w:val="fr-CH"/>
        </w:rPr>
        <w:t>alables sur le plan technique</w:t>
      </w:r>
      <w:r w:rsidR="006C39E5">
        <w:rPr>
          <w:lang w:val="fr-CH"/>
        </w:rPr>
        <w:t>:</w:t>
      </w:r>
    </w:p>
    <w:p w:rsidR="00DE19CB" w:rsidRDefault="00DE19CB" w:rsidP="00DE19CB">
      <w:pPr>
        <w:pStyle w:val="enumlev1"/>
        <w:rPr>
          <w:lang w:val="fr-CH"/>
        </w:rPr>
      </w:pPr>
      <w:r>
        <w:rPr>
          <w:lang w:val="fr-CH"/>
        </w:rPr>
        <w:lastRenderedPageBreak/>
        <w:t>1</w:t>
      </w:r>
      <w:r w:rsidR="00D21745">
        <w:rPr>
          <w:lang w:val="fr-CH"/>
        </w:rPr>
        <w:t>)</w:t>
      </w:r>
      <w:r w:rsidR="00D21745">
        <w:rPr>
          <w:lang w:val="fr-CH"/>
        </w:rPr>
        <w:tab/>
      </w:r>
      <w:r w:rsidR="00392D3E">
        <w:rPr>
          <w:lang w:val="fr-CH"/>
        </w:rPr>
        <w:t>La structure devrait</w:t>
      </w:r>
      <w:r w:rsidR="007E3D16" w:rsidRPr="007E3D16">
        <w:rPr>
          <w:lang w:val="fr-CH"/>
        </w:rPr>
        <w:t xml:space="preserve"> être concise et donner des </w:t>
      </w:r>
      <w:r w:rsidR="00E90B12">
        <w:rPr>
          <w:lang w:val="fr-CH"/>
        </w:rPr>
        <w:t>orientations</w:t>
      </w:r>
      <w:r w:rsidR="007E3D16" w:rsidRPr="007E3D16">
        <w:rPr>
          <w:lang w:val="fr-CH"/>
        </w:rPr>
        <w:t xml:space="preserve"> </w:t>
      </w:r>
      <w:r w:rsidR="00392D3E">
        <w:rPr>
          <w:lang w:val="fr-CH"/>
        </w:rPr>
        <w:t>précise</w:t>
      </w:r>
      <w:r w:rsidR="00E15588">
        <w:rPr>
          <w:lang w:val="fr-CH"/>
        </w:rPr>
        <w:t>s aux M</w:t>
      </w:r>
      <w:r w:rsidR="007E3D16" w:rsidRPr="007E3D16">
        <w:rPr>
          <w:lang w:val="fr-CH"/>
        </w:rPr>
        <w:t>embres de l</w:t>
      </w:r>
      <w:r w:rsidR="00911A3E">
        <w:rPr>
          <w:lang w:val="fr-CH"/>
        </w:rPr>
        <w:t>'</w:t>
      </w:r>
      <w:r w:rsidR="007E3D16" w:rsidRPr="007E3D16">
        <w:rPr>
          <w:lang w:val="fr-CH"/>
        </w:rPr>
        <w:t xml:space="preserve">UIT-T </w:t>
      </w:r>
      <w:r w:rsidR="007E3D16">
        <w:rPr>
          <w:lang w:val="fr-CH"/>
        </w:rPr>
        <w:t xml:space="preserve">quant aux priorités et aux </w:t>
      </w:r>
      <w:r w:rsidR="00E90B12">
        <w:rPr>
          <w:lang w:val="fr-CH"/>
        </w:rPr>
        <w:t>buts</w:t>
      </w:r>
      <w:r w:rsidR="007E3D16">
        <w:rPr>
          <w:lang w:val="fr-CH"/>
        </w:rPr>
        <w:t xml:space="preserve"> pour les quatre années à venir. La structure </w:t>
      </w:r>
      <w:r w:rsidR="00392D3E">
        <w:rPr>
          <w:lang w:val="fr-CH"/>
        </w:rPr>
        <w:t>devrait établir un</w:t>
      </w:r>
      <w:r w:rsidR="007E3D16">
        <w:rPr>
          <w:lang w:val="fr-CH"/>
        </w:rPr>
        <w:t xml:space="preserve"> lien </w:t>
      </w:r>
      <w:r w:rsidR="00392D3E">
        <w:rPr>
          <w:lang w:val="fr-CH"/>
        </w:rPr>
        <w:t xml:space="preserve">entre </w:t>
      </w:r>
      <w:r w:rsidR="007E3D16">
        <w:rPr>
          <w:lang w:val="fr-CH"/>
        </w:rPr>
        <w:t>les priorités de l</w:t>
      </w:r>
      <w:r w:rsidR="00911A3E">
        <w:rPr>
          <w:lang w:val="fr-CH"/>
        </w:rPr>
        <w:t>'</w:t>
      </w:r>
      <w:r w:rsidR="007E3D16">
        <w:rPr>
          <w:lang w:val="fr-CH"/>
        </w:rPr>
        <w:t>Union et de l</w:t>
      </w:r>
      <w:r w:rsidR="00911A3E">
        <w:rPr>
          <w:lang w:val="fr-CH"/>
        </w:rPr>
        <w:t>'</w:t>
      </w:r>
      <w:r w:rsidR="007E3D16">
        <w:rPr>
          <w:lang w:val="fr-CH"/>
        </w:rPr>
        <w:t>UIT-T, telles qu</w:t>
      </w:r>
      <w:r w:rsidR="00911A3E">
        <w:rPr>
          <w:lang w:val="fr-CH"/>
        </w:rPr>
        <w:t>'</w:t>
      </w:r>
      <w:r w:rsidR="007E3D16">
        <w:rPr>
          <w:lang w:val="fr-CH"/>
        </w:rPr>
        <w:t>énoncées dans le Plan stratégique (Résolution 71), les Résolutions de la</w:t>
      </w:r>
      <w:r w:rsidR="00392D3E">
        <w:rPr>
          <w:lang w:val="fr-CH"/>
        </w:rPr>
        <w:t xml:space="preserve"> Conférence de plénipotentia</w:t>
      </w:r>
      <w:r w:rsidR="00D21745">
        <w:rPr>
          <w:lang w:val="fr-CH"/>
        </w:rPr>
        <w:t>i</w:t>
      </w:r>
      <w:r w:rsidR="00392D3E">
        <w:rPr>
          <w:lang w:val="fr-CH"/>
        </w:rPr>
        <w:t xml:space="preserve">res et </w:t>
      </w:r>
      <w:r w:rsidR="00E90B12">
        <w:rPr>
          <w:lang w:val="fr-CH"/>
        </w:rPr>
        <w:t>les Résolutions de l</w:t>
      </w:r>
      <w:r w:rsidR="00911A3E">
        <w:rPr>
          <w:lang w:val="fr-CH"/>
        </w:rPr>
        <w:t>'</w:t>
      </w:r>
      <w:r w:rsidR="00E90B12">
        <w:rPr>
          <w:lang w:val="fr-CH"/>
        </w:rPr>
        <w:t>AMNT</w:t>
      </w:r>
      <w:r w:rsidR="007C4190">
        <w:rPr>
          <w:lang w:val="fr-CH"/>
        </w:rPr>
        <w:t xml:space="preserve">, </w:t>
      </w:r>
      <w:r w:rsidR="007E3D16">
        <w:rPr>
          <w:lang w:val="fr-CH"/>
        </w:rPr>
        <w:t>et le mandat des commissions d</w:t>
      </w:r>
      <w:r w:rsidR="00911A3E">
        <w:rPr>
          <w:lang w:val="fr-CH"/>
        </w:rPr>
        <w:t>'</w:t>
      </w:r>
      <w:r w:rsidR="007E3D16">
        <w:rPr>
          <w:lang w:val="fr-CH"/>
        </w:rPr>
        <w:t>études.</w:t>
      </w:r>
    </w:p>
    <w:p w:rsidR="00197DD4" w:rsidRDefault="00DE19CB" w:rsidP="00197DD4">
      <w:pPr>
        <w:pStyle w:val="enumlev1"/>
        <w:rPr>
          <w:color w:val="000000"/>
          <w:lang w:val="fr-CH"/>
        </w:rPr>
      </w:pPr>
      <w:r>
        <w:rPr>
          <w:lang w:val="fr-CH"/>
        </w:rPr>
        <w:t>2</w:t>
      </w:r>
      <w:r w:rsidR="00D21745">
        <w:rPr>
          <w:lang w:val="fr-CH"/>
        </w:rPr>
        <w:t>)</w:t>
      </w:r>
      <w:r>
        <w:rPr>
          <w:lang w:val="fr-CH"/>
        </w:rPr>
        <w:tab/>
      </w:r>
      <w:r w:rsidR="002D2BA3">
        <w:rPr>
          <w:color w:val="000000"/>
          <w:lang w:val="fr-CH"/>
        </w:rPr>
        <w:t>La structure doit tenir compte du Plan financier et du Plan opér</w:t>
      </w:r>
      <w:r w:rsidR="001C1324">
        <w:rPr>
          <w:color w:val="000000"/>
          <w:lang w:val="fr-CH"/>
        </w:rPr>
        <w:t>ationnel de l</w:t>
      </w:r>
      <w:r w:rsidR="00911A3E">
        <w:rPr>
          <w:color w:val="000000"/>
          <w:lang w:val="fr-CH"/>
        </w:rPr>
        <w:t>'</w:t>
      </w:r>
      <w:r w:rsidR="001C1324">
        <w:rPr>
          <w:color w:val="000000"/>
          <w:lang w:val="fr-CH"/>
        </w:rPr>
        <w:t xml:space="preserve">Union, compte tenu </w:t>
      </w:r>
      <w:r w:rsidR="002D2BA3">
        <w:rPr>
          <w:color w:val="000000"/>
          <w:lang w:val="fr-CH"/>
        </w:rPr>
        <w:t>de</w:t>
      </w:r>
      <w:r w:rsidR="001C1324">
        <w:rPr>
          <w:color w:val="000000"/>
          <w:lang w:val="fr-CH"/>
        </w:rPr>
        <w:t>s</w:t>
      </w:r>
      <w:r w:rsidR="002D2BA3">
        <w:rPr>
          <w:color w:val="000000"/>
          <w:lang w:val="fr-CH"/>
        </w:rPr>
        <w:t xml:space="preserve"> contraintes budgétaires </w:t>
      </w:r>
      <w:r w:rsidR="001C1324">
        <w:rPr>
          <w:color w:val="000000"/>
          <w:lang w:val="fr-CH"/>
        </w:rPr>
        <w:t>actuelles et du</w:t>
      </w:r>
      <w:r w:rsidR="002D2BA3">
        <w:rPr>
          <w:color w:val="000000"/>
          <w:lang w:val="fr-CH"/>
        </w:rPr>
        <w:t xml:space="preserve"> budget approuvé</w:t>
      </w:r>
      <w:r w:rsidR="001C1324">
        <w:rPr>
          <w:color w:val="000000"/>
          <w:lang w:val="fr-CH"/>
        </w:rPr>
        <w:t xml:space="preserve"> par le Conseil de l</w:t>
      </w:r>
      <w:r w:rsidR="00911A3E">
        <w:rPr>
          <w:color w:val="000000"/>
          <w:lang w:val="fr-CH"/>
        </w:rPr>
        <w:t>'</w:t>
      </w:r>
      <w:r w:rsidR="001C1324">
        <w:rPr>
          <w:color w:val="000000"/>
          <w:lang w:val="fr-CH"/>
        </w:rPr>
        <w:t>UIT, qui</w:t>
      </w:r>
      <w:r w:rsidR="00E15588">
        <w:rPr>
          <w:color w:val="000000"/>
          <w:lang w:val="fr-CH"/>
        </w:rPr>
        <w:t xml:space="preserve"> repose sur le principe de "croissance nominale zéro"</w:t>
      </w:r>
      <w:r w:rsidR="001C1324">
        <w:rPr>
          <w:color w:val="000000"/>
          <w:lang w:val="fr-CH"/>
        </w:rPr>
        <w:t xml:space="preserve"> du </w:t>
      </w:r>
      <w:r w:rsidR="002D2BA3">
        <w:rPr>
          <w:color w:val="000000"/>
          <w:lang w:val="fr-CH"/>
        </w:rPr>
        <w:t>montant de l</w:t>
      </w:r>
      <w:r w:rsidR="00911A3E">
        <w:rPr>
          <w:color w:val="000000"/>
          <w:lang w:val="fr-CH"/>
        </w:rPr>
        <w:t>'</w:t>
      </w:r>
      <w:r w:rsidR="002D2BA3">
        <w:rPr>
          <w:color w:val="000000"/>
          <w:lang w:val="fr-CH"/>
        </w:rPr>
        <w:t xml:space="preserve">unité contributive. </w:t>
      </w:r>
      <w:r w:rsidR="006A2487">
        <w:rPr>
          <w:color w:val="000000"/>
          <w:lang w:val="fr-CH"/>
        </w:rPr>
        <w:t>Les ressources financi</w:t>
      </w:r>
      <w:r w:rsidR="001C1324">
        <w:rPr>
          <w:color w:val="000000"/>
          <w:lang w:val="fr-CH"/>
        </w:rPr>
        <w:t>ères limitées de l</w:t>
      </w:r>
      <w:r w:rsidR="00911A3E">
        <w:rPr>
          <w:color w:val="000000"/>
          <w:lang w:val="fr-CH"/>
        </w:rPr>
        <w:t>'</w:t>
      </w:r>
      <w:r w:rsidR="001C1324">
        <w:rPr>
          <w:color w:val="000000"/>
          <w:lang w:val="fr-CH"/>
        </w:rPr>
        <w:t>Union nécessitent</w:t>
      </w:r>
      <w:r w:rsidR="006A2487">
        <w:rPr>
          <w:color w:val="000000"/>
          <w:lang w:val="fr-CH"/>
        </w:rPr>
        <w:t xml:space="preserve"> </w:t>
      </w:r>
      <w:r w:rsidR="00E15588">
        <w:rPr>
          <w:color w:val="000000"/>
          <w:lang w:val="fr-CH"/>
        </w:rPr>
        <w:t>l</w:t>
      </w:r>
      <w:r w:rsidR="00911A3E">
        <w:rPr>
          <w:color w:val="000000"/>
          <w:lang w:val="fr-CH"/>
        </w:rPr>
        <w:t>'</w:t>
      </w:r>
      <w:r w:rsidR="00E15588">
        <w:rPr>
          <w:color w:val="000000"/>
          <w:lang w:val="fr-CH"/>
        </w:rPr>
        <w:t xml:space="preserve">identification et la mise en </w:t>
      </w:r>
      <w:proofErr w:type="spellStart"/>
      <w:r w:rsidR="00E15588">
        <w:rPr>
          <w:color w:val="000000"/>
          <w:lang w:val="fr-CH"/>
        </w:rPr>
        <w:t>oe</w:t>
      </w:r>
      <w:r w:rsidR="006A2487">
        <w:rPr>
          <w:color w:val="000000"/>
          <w:lang w:val="fr-CH"/>
        </w:rPr>
        <w:t>uvre</w:t>
      </w:r>
      <w:proofErr w:type="spellEnd"/>
      <w:r w:rsidR="006A2487">
        <w:rPr>
          <w:color w:val="000000"/>
          <w:lang w:val="fr-CH"/>
        </w:rPr>
        <w:t xml:space="preserve"> de </w:t>
      </w:r>
      <w:r w:rsidR="00F85D6A">
        <w:rPr>
          <w:color w:val="000000"/>
          <w:lang w:val="fr-CH"/>
        </w:rPr>
        <w:t>mesures d</w:t>
      </w:r>
      <w:r w:rsidR="00911A3E">
        <w:rPr>
          <w:color w:val="000000"/>
          <w:lang w:val="fr-CH"/>
        </w:rPr>
        <w:t>'</w:t>
      </w:r>
      <w:r w:rsidR="00F85D6A">
        <w:rPr>
          <w:color w:val="000000"/>
          <w:lang w:val="fr-CH"/>
        </w:rPr>
        <w:t>efficacité</w:t>
      </w:r>
      <w:r w:rsidR="001C1324">
        <w:rPr>
          <w:color w:val="000000"/>
          <w:lang w:val="fr-CH"/>
        </w:rPr>
        <w:t>,</w:t>
      </w:r>
      <w:r w:rsidR="00F85D6A">
        <w:rPr>
          <w:color w:val="000000"/>
          <w:lang w:val="fr-CH"/>
        </w:rPr>
        <w:t xml:space="preserve"> telles qu</w:t>
      </w:r>
      <w:r w:rsidR="00911A3E">
        <w:rPr>
          <w:color w:val="000000"/>
          <w:lang w:val="fr-CH"/>
        </w:rPr>
        <w:t>'</w:t>
      </w:r>
      <w:r w:rsidR="00F85D6A">
        <w:rPr>
          <w:color w:val="000000"/>
          <w:lang w:val="fr-CH"/>
        </w:rPr>
        <w:t xml:space="preserve">identifiées </w:t>
      </w:r>
      <w:r w:rsidR="006A2487">
        <w:rPr>
          <w:color w:val="000000"/>
          <w:lang w:val="fr-CH"/>
        </w:rPr>
        <w:t xml:space="preserve">dans la Décision 5, </w:t>
      </w:r>
      <w:r w:rsidR="001C1324">
        <w:rPr>
          <w:color w:val="000000"/>
          <w:lang w:val="fr-CH"/>
        </w:rPr>
        <w:t xml:space="preserve">et notamment </w:t>
      </w:r>
      <w:r w:rsidR="006A2487">
        <w:rPr>
          <w:color w:val="000000"/>
          <w:lang w:val="fr-CH"/>
        </w:rPr>
        <w:t>un examen du nombre de réunions des com</w:t>
      </w:r>
      <w:r w:rsidR="00197DD4">
        <w:rPr>
          <w:color w:val="000000"/>
          <w:lang w:val="fr-CH"/>
        </w:rPr>
        <w:t>m</w:t>
      </w:r>
      <w:r w:rsidR="006A2487">
        <w:rPr>
          <w:color w:val="000000"/>
          <w:lang w:val="fr-CH"/>
        </w:rPr>
        <w:t>issions d</w:t>
      </w:r>
      <w:r w:rsidR="00911A3E">
        <w:rPr>
          <w:color w:val="000000"/>
          <w:lang w:val="fr-CH"/>
        </w:rPr>
        <w:t>'</w:t>
      </w:r>
      <w:r w:rsidR="006A2487">
        <w:rPr>
          <w:color w:val="000000"/>
          <w:lang w:val="fr-CH"/>
        </w:rPr>
        <w:t>études et de leur durée</w:t>
      </w:r>
      <w:r w:rsidR="00197DD4">
        <w:rPr>
          <w:color w:val="000000"/>
          <w:lang w:val="fr-CH"/>
        </w:rPr>
        <w:t>,</w:t>
      </w:r>
      <w:r w:rsidR="006A2487">
        <w:rPr>
          <w:color w:val="000000"/>
          <w:lang w:val="fr-CH"/>
        </w:rPr>
        <w:t xml:space="preserve"> en vue de réduire les coûts. Il faut examiner et envisager </w:t>
      </w:r>
      <w:r w:rsidR="00197DD4">
        <w:rPr>
          <w:color w:val="000000"/>
          <w:lang w:val="fr-CH"/>
        </w:rPr>
        <w:t xml:space="preserve">des options permettant </w:t>
      </w:r>
      <w:r w:rsidR="006A2487">
        <w:rPr>
          <w:color w:val="000000"/>
          <w:lang w:val="fr-CH"/>
        </w:rPr>
        <w:t>de réduire le</w:t>
      </w:r>
      <w:r w:rsidR="001C1324">
        <w:rPr>
          <w:color w:val="000000"/>
          <w:lang w:val="fr-CH"/>
        </w:rPr>
        <w:t xml:space="preserve"> nombre de commissions d</w:t>
      </w:r>
      <w:r w:rsidR="00911A3E">
        <w:rPr>
          <w:color w:val="000000"/>
          <w:lang w:val="fr-CH"/>
        </w:rPr>
        <w:t>'</w:t>
      </w:r>
      <w:r w:rsidR="001C1324">
        <w:rPr>
          <w:color w:val="000000"/>
          <w:lang w:val="fr-CH"/>
        </w:rPr>
        <w:t xml:space="preserve">études, ce qui passe par une utilisation efficiente et rentable </w:t>
      </w:r>
      <w:r w:rsidR="006A2487">
        <w:rPr>
          <w:color w:val="000000"/>
          <w:lang w:val="fr-CH"/>
        </w:rPr>
        <w:t>du Plan financier approuvé et du budget approuvé par le Conseil.</w:t>
      </w:r>
    </w:p>
    <w:p w:rsidR="00197DD4" w:rsidRDefault="00197DD4" w:rsidP="00197DD4">
      <w:pPr>
        <w:pStyle w:val="enumlev1"/>
        <w:rPr>
          <w:color w:val="000000"/>
          <w:lang w:val="fr-CH"/>
        </w:rPr>
      </w:pPr>
      <w:r>
        <w:rPr>
          <w:color w:val="000000"/>
          <w:lang w:val="fr-CH"/>
        </w:rPr>
        <w:t>3)</w:t>
      </w:r>
      <w:r>
        <w:rPr>
          <w:color w:val="000000"/>
          <w:lang w:val="fr-CH"/>
        </w:rPr>
        <w:tab/>
      </w:r>
      <w:r w:rsidR="001C1324">
        <w:rPr>
          <w:color w:val="000000"/>
          <w:lang w:val="fr-CH"/>
        </w:rPr>
        <w:t>La structure devrait</w:t>
      </w:r>
      <w:r w:rsidR="006A2487">
        <w:rPr>
          <w:color w:val="000000"/>
          <w:lang w:val="fr-CH"/>
        </w:rPr>
        <w:t xml:space="preserve"> créer des synergies, </w:t>
      </w:r>
      <w:r w:rsidR="001C1324">
        <w:rPr>
          <w:color w:val="000000"/>
          <w:lang w:val="fr-CH"/>
        </w:rPr>
        <w:t xml:space="preserve">tenir compte de </w:t>
      </w:r>
      <w:r w:rsidR="006A2487">
        <w:rPr>
          <w:color w:val="000000"/>
          <w:lang w:val="fr-CH"/>
        </w:rPr>
        <w:t>questions telles que la tra</w:t>
      </w:r>
      <w:r w:rsidR="001C1324">
        <w:rPr>
          <w:color w:val="000000"/>
          <w:lang w:val="fr-CH"/>
        </w:rPr>
        <w:t>nsparence et l</w:t>
      </w:r>
      <w:r w:rsidR="00911A3E">
        <w:rPr>
          <w:color w:val="000000"/>
          <w:lang w:val="fr-CH"/>
        </w:rPr>
        <w:t>'</w:t>
      </w:r>
      <w:r w:rsidR="001C1324">
        <w:rPr>
          <w:color w:val="000000"/>
          <w:lang w:val="fr-CH"/>
        </w:rPr>
        <w:t xml:space="preserve">efficacité et être axée </w:t>
      </w:r>
      <w:r w:rsidR="006A2487">
        <w:rPr>
          <w:color w:val="000000"/>
          <w:lang w:val="fr-CH"/>
        </w:rPr>
        <w:t>sur l</w:t>
      </w:r>
      <w:r w:rsidR="00C361F0">
        <w:rPr>
          <w:color w:val="000000"/>
          <w:lang w:val="fr-CH"/>
        </w:rPr>
        <w:t>es principes fondamentaux</w:t>
      </w:r>
      <w:r w:rsidR="001C1324">
        <w:rPr>
          <w:color w:val="000000"/>
          <w:lang w:val="fr-CH"/>
        </w:rPr>
        <w:t xml:space="preserve"> et les domaines de travail essentiels</w:t>
      </w:r>
      <w:r w:rsidR="00C361F0">
        <w:rPr>
          <w:color w:val="000000"/>
          <w:lang w:val="fr-CH"/>
        </w:rPr>
        <w:t xml:space="preserve"> </w:t>
      </w:r>
      <w:r w:rsidR="0029415D">
        <w:rPr>
          <w:color w:val="000000"/>
          <w:lang w:val="fr-CH"/>
        </w:rPr>
        <w:t>de</w:t>
      </w:r>
      <w:r w:rsidR="00C361F0">
        <w:rPr>
          <w:color w:val="000000"/>
          <w:lang w:val="fr-CH"/>
        </w:rPr>
        <w:t xml:space="preserve"> l</w:t>
      </w:r>
      <w:r w:rsidR="00911A3E">
        <w:rPr>
          <w:color w:val="000000"/>
          <w:lang w:val="fr-CH"/>
        </w:rPr>
        <w:t>'</w:t>
      </w:r>
      <w:r w:rsidR="00C361F0">
        <w:rPr>
          <w:color w:val="000000"/>
          <w:lang w:val="fr-CH"/>
        </w:rPr>
        <w:t>UIT-T.</w:t>
      </w:r>
    </w:p>
    <w:p w:rsidR="00197DD4" w:rsidRDefault="00197DD4" w:rsidP="00197DD4">
      <w:pPr>
        <w:pStyle w:val="enumlev1"/>
        <w:rPr>
          <w:color w:val="000000"/>
          <w:lang w:val="fr-CH"/>
        </w:rPr>
      </w:pPr>
      <w:r>
        <w:rPr>
          <w:color w:val="000000"/>
          <w:lang w:val="fr-CH"/>
        </w:rPr>
        <w:t>4)</w:t>
      </w:r>
      <w:r>
        <w:rPr>
          <w:color w:val="000000"/>
          <w:lang w:val="fr-CH"/>
        </w:rPr>
        <w:tab/>
      </w:r>
      <w:r w:rsidR="00BB6744">
        <w:rPr>
          <w:color w:val="000000"/>
          <w:lang w:val="fr-CH"/>
        </w:rPr>
        <w:t>Afin d</w:t>
      </w:r>
      <w:r w:rsidR="00911A3E">
        <w:rPr>
          <w:color w:val="000000"/>
          <w:lang w:val="fr-CH"/>
        </w:rPr>
        <w:t>'</w:t>
      </w:r>
      <w:r w:rsidR="00BB6744">
        <w:rPr>
          <w:color w:val="000000"/>
          <w:lang w:val="fr-CH"/>
        </w:rPr>
        <w:t xml:space="preserve">éviter </w:t>
      </w:r>
      <w:r w:rsidR="007315AF">
        <w:rPr>
          <w:color w:val="000000"/>
          <w:lang w:val="fr-CH"/>
        </w:rPr>
        <w:t>toute répétition</w:t>
      </w:r>
      <w:r w:rsidR="00BB6744">
        <w:rPr>
          <w:color w:val="000000"/>
          <w:lang w:val="fr-CH"/>
        </w:rPr>
        <w:t xml:space="preserve"> des tâches entre les commissio</w:t>
      </w:r>
      <w:r w:rsidR="007315AF">
        <w:rPr>
          <w:color w:val="000000"/>
          <w:lang w:val="fr-CH"/>
        </w:rPr>
        <w:t>ns d</w:t>
      </w:r>
      <w:r w:rsidR="00911A3E">
        <w:rPr>
          <w:color w:val="000000"/>
          <w:lang w:val="fr-CH"/>
        </w:rPr>
        <w:t>'</w:t>
      </w:r>
      <w:r w:rsidR="007315AF">
        <w:rPr>
          <w:color w:val="000000"/>
          <w:lang w:val="fr-CH"/>
        </w:rPr>
        <w:t>études de l</w:t>
      </w:r>
      <w:r w:rsidR="00911A3E">
        <w:rPr>
          <w:color w:val="000000"/>
          <w:lang w:val="fr-CH"/>
        </w:rPr>
        <w:t>'</w:t>
      </w:r>
      <w:r w:rsidR="007315AF">
        <w:rPr>
          <w:color w:val="000000"/>
          <w:lang w:val="fr-CH"/>
        </w:rPr>
        <w:t>UIT-T et les autres S</w:t>
      </w:r>
      <w:r w:rsidR="00BB6744">
        <w:rPr>
          <w:color w:val="000000"/>
          <w:lang w:val="fr-CH"/>
        </w:rPr>
        <w:t>ecteu</w:t>
      </w:r>
      <w:r w:rsidR="007315AF">
        <w:rPr>
          <w:color w:val="000000"/>
          <w:lang w:val="fr-CH"/>
        </w:rPr>
        <w:t>rs de l</w:t>
      </w:r>
      <w:r w:rsidR="00911A3E">
        <w:rPr>
          <w:color w:val="000000"/>
          <w:lang w:val="fr-CH"/>
        </w:rPr>
        <w:t>'</w:t>
      </w:r>
      <w:r w:rsidR="007315AF">
        <w:rPr>
          <w:color w:val="000000"/>
          <w:lang w:val="fr-CH"/>
        </w:rPr>
        <w:t>Union, la structure devrait être conçue de manière à</w:t>
      </w:r>
      <w:r w:rsidR="00BB6744">
        <w:rPr>
          <w:color w:val="000000"/>
          <w:lang w:val="fr-CH"/>
        </w:rPr>
        <w:t xml:space="preserve"> éviter</w:t>
      </w:r>
      <w:r w:rsidR="00892FE1">
        <w:rPr>
          <w:color w:val="000000"/>
          <w:lang w:val="fr-CH"/>
        </w:rPr>
        <w:t xml:space="preserve"> autant que possible les </w:t>
      </w:r>
      <w:r w:rsidR="00EF5779">
        <w:rPr>
          <w:color w:val="000000"/>
          <w:lang w:val="fr-CH"/>
        </w:rPr>
        <w:t>chevauchements</w:t>
      </w:r>
      <w:r w:rsidR="00892FE1">
        <w:rPr>
          <w:color w:val="000000"/>
          <w:lang w:val="fr-CH"/>
        </w:rPr>
        <w:t xml:space="preserve"> et </w:t>
      </w:r>
      <w:r w:rsidR="007315AF">
        <w:rPr>
          <w:color w:val="000000"/>
          <w:lang w:val="fr-CH"/>
        </w:rPr>
        <w:t xml:space="preserve">à </w:t>
      </w:r>
      <w:r w:rsidR="00892FE1">
        <w:rPr>
          <w:color w:val="000000"/>
          <w:lang w:val="fr-CH"/>
        </w:rPr>
        <w:t>favoriser les synergies entre les sujets d</w:t>
      </w:r>
      <w:r w:rsidR="00911A3E">
        <w:rPr>
          <w:color w:val="000000"/>
          <w:lang w:val="fr-CH"/>
        </w:rPr>
        <w:t>'</w:t>
      </w:r>
      <w:r w:rsidR="00892FE1">
        <w:rPr>
          <w:color w:val="000000"/>
          <w:lang w:val="fr-CH"/>
        </w:rPr>
        <w:t>étude. Le</w:t>
      </w:r>
      <w:r w:rsidR="007315AF">
        <w:rPr>
          <w:color w:val="000000"/>
          <w:lang w:val="fr-CH"/>
        </w:rPr>
        <w:t xml:space="preserve">s </w:t>
      </w:r>
      <w:r w:rsidR="00892FE1">
        <w:rPr>
          <w:color w:val="000000"/>
          <w:lang w:val="fr-CH"/>
        </w:rPr>
        <w:t xml:space="preserve">sujets </w:t>
      </w:r>
      <w:r w:rsidR="007315AF">
        <w:rPr>
          <w:color w:val="000000"/>
          <w:lang w:val="fr-CH"/>
        </w:rPr>
        <w:t>et calendriers</w:t>
      </w:r>
      <w:r w:rsidR="00892FE1">
        <w:rPr>
          <w:color w:val="000000"/>
          <w:lang w:val="fr-CH"/>
        </w:rPr>
        <w:t xml:space="preserve"> de</w:t>
      </w:r>
      <w:r w:rsidR="007315AF">
        <w:rPr>
          <w:color w:val="000000"/>
          <w:lang w:val="fr-CH"/>
        </w:rPr>
        <w:t>s</w:t>
      </w:r>
      <w:r w:rsidR="00892FE1">
        <w:rPr>
          <w:color w:val="000000"/>
          <w:lang w:val="fr-CH"/>
        </w:rPr>
        <w:t xml:space="preserve"> réunion</w:t>
      </w:r>
      <w:r w:rsidR="00E15588">
        <w:rPr>
          <w:color w:val="000000"/>
          <w:lang w:val="fr-CH"/>
        </w:rPr>
        <w:t>s</w:t>
      </w:r>
      <w:r w:rsidR="00892FE1">
        <w:rPr>
          <w:color w:val="000000"/>
          <w:lang w:val="fr-CH"/>
        </w:rPr>
        <w:t xml:space="preserve"> </w:t>
      </w:r>
      <w:r w:rsidR="007315AF">
        <w:rPr>
          <w:color w:val="000000"/>
          <w:lang w:val="fr-CH"/>
        </w:rPr>
        <w:t xml:space="preserve">devraient être organisés </w:t>
      </w:r>
      <w:r w:rsidR="00892FE1">
        <w:rPr>
          <w:color w:val="000000"/>
          <w:lang w:val="fr-CH"/>
        </w:rPr>
        <w:t xml:space="preserve">de façon à encourager une interaction efficace entre les </w:t>
      </w:r>
      <w:r w:rsidR="00B11D67">
        <w:rPr>
          <w:color w:val="000000"/>
          <w:lang w:val="fr-CH"/>
        </w:rPr>
        <w:t>commissions</w:t>
      </w:r>
      <w:r w:rsidR="00892FE1">
        <w:rPr>
          <w:color w:val="000000"/>
          <w:lang w:val="fr-CH"/>
        </w:rPr>
        <w:t xml:space="preserve"> </w:t>
      </w:r>
      <w:r w:rsidR="007315AF">
        <w:rPr>
          <w:color w:val="000000"/>
          <w:lang w:val="fr-CH"/>
        </w:rPr>
        <w:t xml:space="preserve">d'études </w:t>
      </w:r>
      <w:r w:rsidR="00892FE1">
        <w:rPr>
          <w:color w:val="000000"/>
          <w:lang w:val="fr-CH"/>
        </w:rPr>
        <w:t>et les participants.</w:t>
      </w:r>
    </w:p>
    <w:p w:rsidR="00197DD4" w:rsidRDefault="00197DD4" w:rsidP="00197DD4">
      <w:pPr>
        <w:pStyle w:val="enumlev1"/>
        <w:rPr>
          <w:color w:val="000000"/>
          <w:lang w:val="fr-CH"/>
        </w:rPr>
      </w:pPr>
      <w:r>
        <w:rPr>
          <w:color w:val="000000"/>
          <w:lang w:val="fr-CH"/>
        </w:rPr>
        <w:t>5)</w:t>
      </w:r>
      <w:r>
        <w:rPr>
          <w:color w:val="000000"/>
          <w:lang w:val="fr-CH"/>
        </w:rPr>
        <w:tab/>
      </w:r>
      <w:r w:rsidR="006F35FB">
        <w:rPr>
          <w:color w:val="000000"/>
          <w:lang w:val="fr-CH"/>
        </w:rPr>
        <w:t>La structure devrait</w:t>
      </w:r>
      <w:r w:rsidR="00B414ED">
        <w:rPr>
          <w:color w:val="000000"/>
          <w:lang w:val="fr-CH"/>
        </w:rPr>
        <w:t xml:space="preserve"> faire de l</w:t>
      </w:r>
      <w:r w:rsidR="00911A3E">
        <w:rPr>
          <w:color w:val="000000"/>
          <w:lang w:val="fr-CH"/>
        </w:rPr>
        <w:t>'</w:t>
      </w:r>
      <w:r w:rsidR="00B414ED">
        <w:rPr>
          <w:color w:val="000000"/>
          <w:lang w:val="fr-CH"/>
        </w:rPr>
        <w:t>UIT-T un cadre attrayant pour l</w:t>
      </w:r>
      <w:r w:rsidR="00911A3E">
        <w:rPr>
          <w:color w:val="000000"/>
          <w:lang w:val="fr-CH"/>
        </w:rPr>
        <w:t>'</w:t>
      </w:r>
      <w:r w:rsidR="00B414ED">
        <w:rPr>
          <w:color w:val="000000"/>
          <w:lang w:val="fr-CH"/>
        </w:rPr>
        <w:t>élaboration de normes internationales dans le domaine des télécommunications/TIC. E</w:t>
      </w:r>
      <w:r w:rsidR="006F35FB">
        <w:rPr>
          <w:color w:val="000000"/>
          <w:lang w:val="fr-CH"/>
        </w:rPr>
        <w:t>lle devrait</w:t>
      </w:r>
      <w:r w:rsidR="00B414ED">
        <w:rPr>
          <w:color w:val="000000"/>
          <w:lang w:val="fr-CH"/>
        </w:rPr>
        <w:t xml:space="preserve"> attirer de nouveaux membres et participants</w:t>
      </w:r>
      <w:r w:rsidR="006F35FB">
        <w:rPr>
          <w:color w:val="000000"/>
          <w:lang w:val="fr-CH"/>
        </w:rPr>
        <w:t>,</w:t>
      </w:r>
      <w:r w:rsidR="00B414ED">
        <w:rPr>
          <w:color w:val="000000"/>
          <w:lang w:val="fr-CH"/>
        </w:rPr>
        <w:t xml:space="preserve"> tout en conservant les membres actuels.</w:t>
      </w:r>
    </w:p>
    <w:p w:rsidR="00197DD4" w:rsidRDefault="00197DD4" w:rsidP="00197DD4">
      <w:pPr>
        <w:pStyle w:val="enumlev1"/>
        <w:rPr>
          <w:color w:val="000000"/>
          <w:lang w:val="fr-CH"/>
        </w:rPr>
      </w:pPr>
      <w:r>
        <w:rPr>
          <w:color w:val="000000"/>
          <w:lang w:val="fr-CH"/>
        </w:rPr>
        <w:t>6)</w:t>
      </w:r>
      <w:r>
        <w:rPr>
          <w:color w:val="000000"/>
          <w:lang w:val="fr-CH"/>
        </w:rPr>
        <w:tab/>
      </w:r>
      <w:r w:rsidR="006F35FB">
        <w:rPr>
          <w:color w:val="000000"/>
          <w:lang w:val="fr-CH"/>
        </w:rPr>
        <w:t>La structure devrait</w:t>
      </w:r>
      <w:r w:rsidR="00B414ED">
        <w:rPr>
          <w:color w:val="000000"/>
          <w:lang w:val="fr-CH"/>
        </w:rPr>
        <w:t xml:space="preserve"> faciliter l</w:t>
      </w:r>
      <w:r w:rsidR="00911A3E">
        <w:rPr>
          <w:color w:val="000000"/>
          <w:lang w:val="fr-CH"/>
        </w:rPr>
        <w:t>'</w:t>
      </w:r>
      <w:r w:rsidR="00B414ED">
        <w:rPr>
          <w:color w:val="000000"/>
          <w:lang w:val="fr-CH"/>
        </w:rPr>
        <w:t xml:space="preserve">élaboration </w:t>
      </w:r>
      <w:r w:rsidR="006F35FB">
        <w:rPr>
          <w:color w:val="000000"/>
          <w:lang w:val="fr-CH"/>
        </w:rPr>
        <w:t xml:space="preserve">efficiente et </w:t>
      </w:r>
      <w:r w:rsidR="00B414ED">
        <w:rPr>
          <w:color w:val="000000"/>
          <w:lang w:val="fr-CH"/>
        </w:rPr>
        <w:t>efficace de normes internationales de qualité dans le domaine des télécommunications/TIC.</w:t>
      </w:r>
    </w:p>
    <w:p w:rsidR="00197DD4" w:rsidRDefault="00197DD4" w:rsidP="00197DD4">
      <w:pPr>
        <w:pStyle w:val="enumlev1"/>
        <w:rPr>
          <w:color w:val="000000"/>
          <w:lang w:val="fr-CH"/>
        </w:rPr>
      </w:pPr>
      <w:r>
        <w:rPr>
          <w:color w:val="000000"/>
          <w:lang w:val="fr-CH"/>
        </w:rPr>
        <w:t>7)</w:t>
      </w:r>
      <w:r>
        <w:rPr>
          <w:color w:val="000000"/>
          <w:lang w:val="fr-CH"/>
        </w:rPr>
        <w:tab/>
      </w:r>
      <w:r w:rsidR="00B414ED">
        <w:rPr>
          <w:color w:val="000000"/>
          <w:lang w:val="fr-CH"/>
        </w:rPr>
        <w:t>La structure</w:t>
      </w:r>
      <w:r w:rsidR="006F35FB">
        <w:rPr>
          <w:color w:val="000000"/>
          <w:lang w:val="fr-CH"/>
        </w:rPr>
        <w:t xml:space="preserve"> doit</w:t>
      </w:r>
      <w:r w:rsidR="00D93155">
        <w:rPr>
          <w:color w:val="000000"/>
          <w:lang w:val="fr-CH"/>
        </w:rPr>
        <w:t xml:space="preserve"> favoriser la coord</w:t>
      </w:r>
      <w:r w:rsidR="00FE5726">
        <w:rPr>
          <w:color w:val="000000"/>
          <w:lang w:val="fr-CH"/>
        </w:rPr>
        <w:t>i</w:t>
      </w:r>
      <w:r w:rsidR="00D93155">
        <w:rPr>
          <w:color w:val="000000"/>
          <w:lang w:val="fr-CH"/>
        </w:rPr>
        <w:t>nation</w:t>
      </w:r>
      <w:r w:rsidR="00B11D67">
        <w:rPr>
          <w:color w:val="000000"/>
          <w:lang w:val="fr-CH"/>
        </w:rPr>
        <w:t xml:space="preserve"> et des méthodes de travail communes </w:t>
      </w:r>
      <w:r w:rsidR="006F35FB">
        <w:rPr>
          <w:color w:val="000000"/>
          <w:lang w:val="fr-CH"/>
        </w:rPr>
        <w:t>et ménager une certaine souplesse</w:t>
      </w:r>
      <w:r w:rsidR="00B11D67">
        <w:rPr>
          <w:color w:val="000000"/>
          <w:lang w:val="fr-CH"/>
        </w:rPr>
        <w:t xml:space="preserve"> dans le regroupement des tâches</w:t>
      </w:r>
      <w:r w:rsidR="006F35FB">
        <w:rPr>
          <w:color w:val="000000"/>
          <w:lang w:val="fr-CH"/>
        </w:rPr>
        <w:t>,</w:t>
      </w:r>
      <w:r w:rsidR="00B11D67">
        <w:rPr>
          <w:color w:val="000000"/>
          <w:lang w:val="fr-CH"/>
        </w:rPr>
        <w:t xml:space="preserve"> </w:t>
      </w:r>
      <w:r w:rsidR="006F35FB">
        <w:rPr>
          <w:color w:val="000000"/>
          <w:lang w:val="fr-CH"/>
        </w:rPr>
        <w:t xml:space="preserve">tout en </w:t>
      </w:r>
      <w:proofErr w:type="spellStart"/>
      <w:r w:rsidR="006F35FB">
        <w:rPr>
          <w:color w:val="000000"/>
          <w:lang w:val="fr-CH"/>
        </w:rPr>
        <w:t>permetttant</w:t>
      </w:r>
      <w:proofErr w:type="spellEnd"/>
      <w:r w:rsidR="006F35FB">
        <w:rPr>
          <w:color w:val="000000"/>
          <w:lang w:val="fr-CH"/>
        </w:rPr>
        <w:t xml:space="preserve"> aux délégués de réaliser des économies</w:t>
      </w:r>
      <w:r w:rsidR="00B11D67">
        <w:rPr>
          <w:color w:val="000000"/>
          <w:lang w:val="fr-CH"/>
        </w:rPr>
        <w:t>.</w:t>
      </w:r>
    </w:p>
    <w:p w:rsidR="00197DD4" w:rsidRDefault="00197DD4" w:rsidP="00197DD4">
      <w:pPr>
        <w:pStyle w:val="enumlev1"/>
        <w:rPr>
          <w:color w:val="000000"/>
          <w:lang w:val="fr-CH"/>
        </w:rPr>
      </w:pPr>
      <w:r>
        <w:rPr>
          <w:color w:val="000000"/>
          <w:lang w:val="fr-CH"/>
        </w:rPr>
        <w:t>8)</w:t>
      </w:r>
      <w:r>
        <w:rPr>
          <w:color w:val="000000"/>
          <w:lang w:val="fr-CH"/>
        </w:rPr>
        <w:tab/>
      </w:r>
      <w:r w:rsidR="00D93155" w:rsidRPr="00D93155">
        <w:rPr>
          <w:color w:val="000000"/>
          <w:lang w:val="fr-CH"/>
        </w:rPr>
        <w:t xml:space="preserve">La structure </w:t>
      </w:r>
      <w:r w:rsidR="00E117C7">
        <w:rPr>
          <w:color w:val="000000"/>
          <w:lang w:val="fr-CH"/>
        </w:rPr>
        <w:t>devrait être conçue de façon que</w:t>
      </w:r>
      <w:r w:rsidR="00D93155" w:rsidRPr="00D93155">
        <w:rPr>
          <w:color w:val="000000"/>
          <w:lang w:val="fr-CH"/>
        </w:rPr>
        <w:t xml:space="preserve"> des</w:t>
      </w:r>
      <w:r w:rsidR="00A04D58">
        <w:rPr>
          <w:color w:val="000000"/>
          <w:lang w:val="fr-CH"/>
        </w:rPr>
        <w:t xml:space="preserve"> sujets dist</w:t>
      </w:r>
      <w:r w:rsidR="00E117C7">
        <w:rPr>
          <w:color w:val="000000"/>
          <w:lang w:val="fr-CH"/>
        </w:rPr>
        <w:t xml:space="preserve">incts puissent </w:t>
      </w:r>
      <w:r w:rsidR="00A04D58">
        <w:rPr>
          <w:color w:val="000000"/>
          <w:lang w:val="fr-CH"/>
        </w:rPr>
        <w:t xml:space="preserve">être traités indépendamment au sein </w:t>
      </w:r>
      <w:r w:rsidR="00473807">
        <w:rPr>
          <w:color w:val="000000"/>
          <w:lang w:val="fr-CH"/>
        </w:rPr>
        <w:t>d</w:t>
      </w:r>
      <w:r w:rsidR="00911A3E">
        <w:rPr>
          <w:color w:val="000000"/>
          <w:lang w:val="fr-CH"/>
        </w:rPr>
        <w:t>'</w:t>
      </w:r>
      <w:r w:rsidR="00473807">
        <w:rPr>
          <w:color w:val="000000"/>
          <w:lang w:val="fr-CH"/>
        </w:rPr>
        <w:t>une</w:t>
      </w:r>
      <w:r w:rsidR="00A04D58">
        <w:rPr>
          <w:color w:val="000000"/>
          <w:lang w:val="fr-CH"/>
        </w:rPr>
        <w:t xml:space="preserve"> même </w:t>
      </w:r>
      <w:r w:rsidR="00B11D67">
        <w:rPr>
          <w:color w:val="000000"/>
          <w:lang w:val="fr-CH"/>
        </w:rPr>
        <w:t>commission</w:t>
      </w:r>
      <w:r w:rsidR="00E117C7">
        <w:rPr>
          <w:color w:val="000000"/>
          <w:lang w:val="fr-CH"/>
        </w:rPr>
        <w:t xml:space="preserve"> d'études.</w:t>
      </w:r>
    </w:p>
    <w:p w:rsidR="00197DD4" w:rsidRDefault="00197DD4" w:rsidP="00197DD4">
      <w:pPr>
        <w:pStyle w:val="enumlev1"/>
        <w:rPr>
          <w:color w:val="000000"/>
          <w:lang w:val="fr-CH"/>
        </w:rPr>
      </w:pPr>
      <w:r>
        <w:rPr>
          <w:color w:val="000000"/>
          <w:lang w:val="fr-CH"/>
        </w:rPr>
        <w:t>9)</w:t>
      </w:r>
      <w:r>
        <w:rPr>
          <w:color w:val="000000"/>
          <w:lang w:val="fr-CH"/>
        </w:rPr>
        <w:tab/>
      </w:r>
      <w:r w:rsidR="00E117C7">
        <w:rPr>
          <w:color w:val="000000"/>
          <w:lang w:val="fr-CH"/>
        </w:rPr>
        <w:t xml:space="preserve">La structure devrait tenir compte des </w:t>
      </w:r>
      <w:r w:rsidR="00A04D58">
        <w:rPr>
          <w:color w:val="000000"/>
          <w:lang w:val="fr-CH"/>
        </w:rPr>
        <w:t>besoins futurs en matière de technologies</w:t>
      </w:r>
      <w:r w:rsidR="00E117C7">
        <w:rPr>
          <w:color w:val="000000"/>
          <w:lang w:val="fr-CH"/>
        </w:rPr>
        <w:t xml:space="preserve"> qui pourraient se faire jour</w:t>
      </w:r>
      <w:r w:rsidR="00A04D58">
        <w:rPr>
          <w:color w:val="000000"/>
          <w:lang w:val="fr-CH"/>
        </w:rPr>
        <w:t>.</w:t>
      </w:r>
    </w:p>
    <w:p w:rsidR="00D6517B" w:rsidRDefault="00197DD4" w:rsidP="00D6517B">
      <w:pPr>
        <w:pStyle w:val="enumlev1"/>
        <w:rPr>
          <w:color w:val="000000"/>
          <w:lang w:val="fr-CH"/>
        </w:rPr>
      </w:pPr>
      <w:r>
        <w:rPr>
          <w:color w:val="000000"/>
          <w:lang w:val="fr-CH"/>
        </w:rPr>
        <w:t>10)</w:t>
      </w:r>
      <w:r>
        <w:rPr>
          <w:color w:val="000000"/>
          <w:lang w:val="fr-CH"/>
        </w:rPr>
        <w:tab/>
      </w:r>
      <w:r w:rsidR="00F36CF4">
        <w:rPr>
          <w:color w:val="000000"/>
          <w:lang w:val="fr-CH"/>
        </w:rPr>
        <w:t>Les commissions d</w:t>
      </w:r>
      <w:r w:rsidR="00E117C7">
        <w:rPr>
          <w:color w:val="000000"/>
          <w:lang w:val="fr-CH"/>
        </w:rPr>
        <w:t xml:space="preserve">'études devraient </w:t>
      </w:r>
      <w:r w:rsidR="00E15588">
        <w:rPr>
          <w:color w:val="000000"/>
          <w:lang w:val="fr-CH"/>
        </w:rPr>
        <w:t>garantir:</w:t>
      </w:r>
    </w:p>
    <w:p w:rsidR="00D6517B" w:rsidRDefault="00D6517B" w:rsidP="00E15588">
      <w:pPr>
        <w:pStyle w:val="enumlev2"/>
        <w:rPr>
          <w:lang w:val="fr-CH"/>
        </w:rPr>
      </w:pPr>
      <w:r>
        <w:rPr>
          <w:lang w:val="fr-CH"/>
        </w:rPr>
        <w:t>a)</w:t>
      </w:r>
      <w:r>
        <w:rPr>
          <w:lang w:val="fr-CH"/>
        </w:rPr>
        <w:tab/>
      </w:r>
      <w:r w:rsidR="00E117C7">
        <w:rPr>
          <w:lang w:val="fr-CH"/>
        </w:rPr>
        <w:t>la diversité des intérêts sur l</w:t>
      </w:r>
      <w:r w:rsidR="00F36CF4">
        <w:rPr>
          <w:lang w:val="fr-CH"/>
        </w:rPr>
        <w:t>es questions de portée mondiale;</w:t>
      </w:r>
    </w:p>
    <w:p w:rsidR="00D6517B" w:rsidRDefault="00D6517B" w:rsidP="00E15588">
      <w:pPr>
        <w:pStyle w:val="enumlev2"/>
        <w:rPr>
          <w:lang w:val="fr-CH"/>
        </w:rPr>
      </w:pPr>
      <w:r>
        <w:rPr>
          <w:lang w:val="fr-CH"/>
        </w:rPr>
        <w:t>b)</w:t>
      </w:r>
      <w:r>
        <w:rPr>
          <w:lang w:val="fr-CH"/>
        </w:rPr>
        <w:tab/>
      </w:r>
      <w:r w:rsidR="00F36CF4">
        <w:rPr>
          <w:lang w:val="fr-CH"/>
        </w:rPr>
        <w:t xml:space="preserve">un programme de travail ambitieux, </w:t>
      </w:r>
      <w:r w:rsidR="00AD7BFE">
        <w:rPr>
          <w:lang w:val="fr-CH"/>
        </w:rPr>
        <w:t>inté</w:t>
      </w:r>
      <w:r w:rsidR="00E117C7">
        <w:rPr>
          <w:lang w:val="fr-CH"/>
        </w:rPr>
        <w:t>ressant, fructueux et substantiel</w:t>
      </w:r>
      <w:r w:rsidR="00AD7BFE">
        <w:rPr>
          <w:lang w:val="fr-CH"/>
        </w:rPr>
        <w:t>;</w:t>
      </w:r>
    </w:p>
    <w:p w:rsidR="00D6517B" w:rsidRDefault="00D6517B" w:rsidP="00E15588">
      <w:pPr>
        <w:pStyle w:val="enumlev2"/>
        <w:rPr>
          <w:lang w:val="fr-CH"/>
        </w:rPr>
      </w:pPr>
      <w:r>
        <w:rPr>
          <w:lang w:val="fr-CH"/>
        </w:rPr>
        <w:t>c)</w:t>
      </w:r>
      <w:r>
        <w:rPr>
          <w:lang w:val="fr-CH"/>
        </w:rPr>
        <w:tab/>
      </w:r>
      <w:r w:rsidR="00E117C7">
        <w:rPr>
          <w:lang w:val="fr-CH"/>
        </w:rPr>
        <w:t>la diversité régionale et la</w:t>
      </w:r>
      <w:r w:rsidR="00AD7BFE">
        <w:rPr>
          <w:lang w:val="fr-CH"/>
        </w:rPr>
        <w:t xml:space="preserve"> </w:t>
      </w:r>
      <w:r w:rsidR="00E117C7">
        <w:rPr>
          <w:lang w:val="fr-CH"/>
        </w:rPr>
        <w:t>parité hommes-femmes</w:t>
      </w:r>
      <w:r w:rsidR="00EC6C8C">
        <w:rPr>
          <w:lang w:val="fr-CH"/>
        </w:rPr>
        <w:t>;</w:t>
      </w:r>
    </w:p>
    <w:p w:rsidR="00603887" w:rsidRDefault="00D6517B" w:rsidP="00E15588">
      <w:pPr>
        <w:pStyle w:val="enumlev2"/>
        <w:rPr>
          <w:lang w:val="fr-CH"/>
        </w:rPr>
      </w:pPr>
      <w:r>
        <w:rPr>
          <w:lang w:val="fr-CH"/>
        </w:rPr>
        <w:t>d)</w:t>
      </w:r>
      <w:r>
        <w:rPr>
          <w:lang w:val="fr-CH"/>
        </w:rPr>
        <w:tab/>
      </w:r>
      <w:r w:rsidR="00E117C7">
        <w:rPr>
          <w:lang w:val="fr-CH"/>
        </w:rPr>
        <w:t>la satisfaction</w:t>
      </w:r>
      <w:r w:rsidR="00EC6C8C">
        <w:rPr>
          <w:lang w:val="fr-CH"/>
        </w:rPr>
        <w:t xml:space="preserve"> des besoin</w:t>
      </w:r>
      <w:r w:rsidR="00E117C7">
        <w:rPr>
          <w:lang w:val="fr-CH"/>
        </w:rPr>
        <w:t>s</w:t>
      </w:r>
      <w:r w:rsidR="00EC6C8C">
        <w:rPr>
          <w:lang w:val="fr-CH"/>
        </w:rPr>
        <w:t xml:space="preserve"> des pays en développement</w:t>
      </w:r>
      <w:r w:rsidR="007638FC">
        <w:rPr>
          <w:lang w:val="fr-CH"/>
        </w:rPr>
        <w:t>.</w:t>
      </w:r>
    </w:p>
    <w:p w:rsidR="00603887" w:rsidRDefault="00603887" w:rsidP="00603887">
      <w:pPr>
        <w:pStyle w:val="enumlev1"/>
        <w:rPr>
          <w:color w:val="000000"/>
          <w:lang w:val="fr-CH"/>
        </w:rPr>
      </w:pPr>
      <w:r>
        <w:rPr>
          <w:color w:val="000000"/>
          <w:lang w:val="fr-CH"/>
        </w:rPr>
        <w:t>11)</w:t>
      </w:r>
      <w:r>
        <w:rPr>
          <w:color w:val="000000"/>
          <w:lang w:val="fr-CH"/>
        </w:rPr>
        <w:tab/>
      </w:r>
      <w:r w:rsidR="00EC6C8C">
        <w:rPr>
          <w:color w:val="000000"/>
          <w:lang w:val="fr-CH"/>
        </w:rPr>
        <w:t>Les Questions qui définissent les étude</w:t>
      </w:r>
      <w:r w:rsidR="00473807">
        <w:rPr>
          <w:color w:val="000000"/>
          <w:lang w:val="fr-CH"/>
        </w:rPr>
        <w:t xml:space="preserve">s à </w:t>
      </w:r>
      <w:r w:rsidR="00E117C7">
        <w:rPr>
          <w:color w:val="000000"/>
          <w:lang w:val="fr-CH"/>
        </w:rPr>
        <w:t xml:space="preserve">entreprendre devraient tenir compte de </w:t>
      </w:r>
      <w:r w:rsidR="00EC6C8C">
        <w:rPr>
          <w:color w:val="000000"/>
          <w:lang w:val="fr-CH"/>
        </w:rPr>
        <w:t>l</w:t>
      </w:r>
      <w:r w:rsidR="00911A3E">
        <w:rPr>
          <w:color w:val="000000"/>
          <w:lang w:val="fr-CH"/>
        </w:rPr>
        <w:t>'</w:t>
      </w:r>
      <w:r w:rsidR="00EC6C8C">
        <w:rPr>
          <w:color w:val="000000"/>
          <w:lang w:val="fr-CH"/>
        </w:rPr>
        <w:t>intérêt continu et général des membres. Les Questions</w:t>
      </w:r>
      <w:r w:rsidR="00D043EB">
        <w:rPr>
          <w:color w:val="000000"/>
          <w:lang w:val="fr-CH"/>
        </w:rPr>
        <w:t xml:space="preserve"> pour lesquelles aucune contribution n</w:t>
      </w:r>
      <w:r w:rsidR="00911A3E">
        <w:rPr>
          <w:color w:val="000000"/>
          <w:lang w:val="fr-CH"/>
        </w:rPr>
        <w:t>'</w:t>
      </w:r>
      <w:r w:rsidR="00D043EB">
        <w:rPr>
          <w:color w:val="000000"/>
          <w:lang w:val="fr-CH"/>
        </w:rPr>
        <w:t>a été soumise lors d</w:t>
      </w:r>
      <w:r w:rsidR="00E117C7">
        <w:rPr>
          <w:color w:val="000000"/>
          <w:lang w:val="fr-CH"/>
        </w:rPr>
        <w:t>es deux dernières réunions d'une</w:t>
      </w:r>
      <w:r w:rsidR="00D043EB">
        <w:rPr>
          <w:color w:val="000000"/>
          <w:lang w:val="fr-CH"/>
        </w:rPr>
        <w:t xml:space="preserve"> commission d</w:t>
      </w:r>
      <w:r w:rsidR="00911A3E">
        <w:rPr>
          <w:color w:val="000000"/>
          <w:lang w:val="fr-CH"/>
        </w:rPr>
        <w:t>'</w:t>
      </w:r>
      <w:r w:rsidR="00D043EB">
        <w:rPr>
          <w:color w:val="000000"/>
          <w:lang w:val="fr-CH"/>
        </w:rPr>
        <w:t>études d</w:t>
      </w:r>
      <w:r w:rsidR="00E117C7">
        <w:rPr>
          <w:color w:val="000000"/>
          <w:lang w:val="fr-CH"/>
        </w:rPr>
        <w:t>evraient cesser d'</w:t>
      </w:r>
      <w:r w:rsidR="00D043EB">
        <w:rPr>
          <w:color w:val="000000"/>
          <w:lang w:val="fr-CH"/>
        </w:rPr>
        <w:t xml:space="preserve">être </w:t>
      </w:r>
      <w:r w:rsidR="00E117C7">
        <w:rPr>
          <w:color w:val="000000"/>
          <w:lang w:val="fr-CH"/>
        </w:rPr>
        <w:t>étudiées</w:t>
      </w:r>
      <w:r>
        <w:rPr>
          <w:color w:val="000000"/>
          <w:lang w:val="fr-CH"/>
        </w:rPr>
        <w:t>.</w:t>
      </w:r>
    </w:p>
    <w:p w:rsidR="00603887" w:rsidRDefault="00603887" w:rsidP="00603887">
      <w:pPr>
        <w:pStyle w:val="enumlev1"/>
        <w:rPr>
          <w:color w:val="000000"/>
          <w:lang w:val="fr-CH"/>
        </w:rPr>
      </w:pPr>
      <w:r>
        <w:rPr>
          <w:color w:val="000000"/>
          <w:lang w:val="fr-CH"/>
        </w:rPr>
        <w:t>12)</w:t>
      </w:r>
      <w:r>
        <w:rPr>
          <w:color w:val="000000"/>
          <w:lang w:val="fr-CH"/>
        </w:rPr>
        <w:tab/>
      </w:r>
      <w:r w:rsidR="00D043EB">
        <w:rPr>
          <w:color w:val="000000"/>
          <w:lang w:val="fr-CH"/>
        </w:rPr>
        <w:t>Les commissions d</w:t>
      </w:r>
      <w:r w:rsidR="00281561">
        <w:rPr>
          <w:color w:val="000000"/>
          <w:lang w:val="fr-CH"/>
        </w:rPr>
        <w:t>evraient</w:t>
      </w:r>
      <w:r w:rsidR="00D043EB">
        <w:rPr>
          <w:color w:val="000000"/>
          <w:lang w:val="fr-CH"/>
        </w:rPr>
        <w:t xml:space="preserve"> entreprendre uniquement des études susceptibles d</w:t>
      </w:r>
      <w:r w:rsidR="00911A3E">
        <w:rPr>
          <w:color w:val="000000"/>
          <w:lang w:val="fr-CH"/>
        </w:rPr>
        <w:t>'</w:t>
      </w:r>
      <w:r w:rsidR="00D043EB">
        <w:rPr>
          <w:color w:val="000000"/>
          <w:lang w:val="fr-CH"/>
        </w:rPr>
        <w:t>avoir des incidences sur les normes relatives aux télécommunications/TIC.</w:t>
      </w:r>
    </w:p>
    <w:p w:rsidR="007E3D16" w:rsidRDefault="00603887" w:rsidP="006D569F">
      <w:pPr>
        <w:pStyle w:val="enumlev1"/>
        <w:rPr>
          <w:color w:val="000000"/>
          <w:lang w:val="fr-CH"/>
        </w:rPr>
      </w:pPr>
      <w:r>
        <w:rPr>
          <w:color w:val="000000"/>
          <w:lang w:val="fr-CH"/>
        </w:rPr>
        <w:lastRenderedPageBreak/>
        <w:t>13)</w:t>
      </w:r>
      <w:r>
        <w:rPr>
          <w:color w:val="000000"/>
          <w:lang w:val="fr-CH"/>
        </w:rPr>
        <w:tab/>
      </w:r>
      <w:r w:rsidR="00D043EB">
        <w:rPr>
          <w:color w:val="000000"/>
          <w:lang w:val="fr-CH"/>
        </w:rPr>
        <w:t>Le programme de travail de l</w:t>
      </w:r>
      <w:r w:rsidR="00911A3E">
        <w:rPr>
          <w:color w:val="000000"/>
          <w:lang w:val="fr-CH"/>
        </w:rPr>
        <w:t>'</w:t>
      </w:r>
      <w:r w:rsidR="00D043EB">
        <w:rPr>
          <w:color w:val="000000"/>
          <w:lang w:val="fr-CH"/>
        </w:rPr>
        <w:t xml:space="preserve">UIT-T </w:t>
      </w:r>
      <w:r w:rsidR="00281561">
        <w:rPr>
          <w:color w:val="000000"/>
          <w:lang w:val="fr-CH"/>
        </w:rPr>
        <w:t>devrait être axé</w:t>
      </w:r>
      <w:r w:rsidR="00D043EB">
        <w:rPr>
          <w:color w:val="000000"/>
          <w:lang w:val="fr-CH"/>
        </w:rPr>
        <w:t xml:space="preserve"> sur les compétences essentielles de l</w:t>
      </w:r>
      <w:r w:rsidR="00911A3E">
        <w:rPr>
          <w:color w:val="000000"/>
          <w:lang w:val="fr-CH"/>
        </w:rPr>
        <w:t>'</w:t>
      </w:r>
      <w:r w:rsidR="00D043EB">
        <w:rPr>
          <w:color w:val="000000"/>
          <w:lang w:val="fr-CH"/>
        </w:rPr>
        <w:t xml:space="preserve">UIT-T, </w:t>
      </w:r>
      <w:r w:rsidR="00281561">
        <w:rPr>
          <w:color w:val="000000"/>
          <w:lang w:val="fr-CH"/>
        </w:rPr>
        <w:t>telles qu'énoncées dans les</w:t>
      </w:r>
      <w:r w:rsidR="00D043EB">
        <w:rPr>
          <w:color w:val="000000"/>
          <w:lang w:val="fr-CH"/>
        </w:rPr>
        <w:t xml:space="preserve"> buts, objectifs et produits du Plan stratégique</w:t>
      </w:r>
      <w:r w:rsidR="004E26F3">
        <w:rPr>
          <w:color w:val="000000"/>
          <w:lang w:val="fr-CH"/>
        </w:rPr>
        <w:t xml:space="preserve"> et compte dûment tenu de la nécessité d</w:t>
      </w:r>
      <w:r w:rsidR="00911A3E">
        <w:rPr>
          <w:color w:val="000000"/>
          <w:lang w:val="fr-CH"/>
        </w:rPr>
        <w:t>'</w:t>
      </w:r>
      <w:r w:rsidR="004E26F3">
        <w:rPr>
          <w:color w:val="000000"/>
          <w:lang w:val="fr-CH"/>
        </w:rPr>
        <w:t xml:space="preserve">éviter </w:t>
      </w:r>
      <w:r w:rsidR="00281561">
        <w:rPr>
          <w:color w:val="000000"/>
          <w:lang w:val="fr-CH"/>
        </w:rPr>
        <w:t>tout</w:t>
      </w:r>
      <w:r w:rsidR="004E26F3">
        <w:rPr>
          <w:color w:val="000000"/>
          <w:lang w:val="fr-CH"/>
        </w:rPr>
        <w:t xml:space="preserve"> double </w:t>
      </w:r>
      <w:r w:rsidR="00281561">
        <w:rPr>
          <w:color w:val="000000"/>
          <w:lang w:val="fr-CH"/>
        </w:rPr>
        <w:t xml:space="preserve">emploi avec les travaux déjà menés dans le cadre </w:t>
      </w:r>
      <w:r w:rsidR="004E26F3">
        <w:rPr>
          <w:color w:val="000000"/>
          <w:lang w:val="fr-CH"/>
        </w:rPr>
        <w:t>d</w:t>
      </w:r>
      <w:r w:rsidR="00911A3E">
        <w:rPr>
          <w:color w:val="000000"/>
          <w:lang w:val="fr-CH"/>
        </w:rPr>
        <w:t>'</w:t>
      </w:r>
      <w:r w:rsidR="004E26F3">
        <w:rPr>
          <w:color w:val="000000"/>
          <w:lang w:val="fr-CH"/>
        </w:rPr>
        <w:t xml:space="preserve">autres organismes de normalisation </w:t>
      </w:r>
      <w:r w:rsidR="00281561">
        <w:rPr>
          <w:color w:val="000000"/>
          <w:lang w:val="fr-CH"/>
        </w:rPr>
        <w:t>et au sein de l</w:t>
      </w:r>
      <w:r w:rsidR="00911A3E">
        <w:rPr>
          <w:color w:val="000000"/>
          <w:lang w:val="fr-CH"/>
        </w:rPr>
        <w:t>'</w:t>
      </w:r>
      <w:r w:rsidR="00281561">
        <w:rPr>
          <w:color w:val="000000"/>
          <w:lang w:val="fr-CH"/>
        </w:rPr>
        <w:t xml:space="preserve">Union, </w:t>
      </w:r>
      <w:r w:rsidR="004E26F3">
        <w:rPr>
          <w:color w:val="000000"/>
          <w:lang w:val="fr-CH"/>
        </w:rPr>
        <w:t>dans un souci d</w:t>
      </w:r>
      <w:r w:rsidR="00911A3E">
        <w:rPr>
          <w:color w:val="000000"/>
          <w:lang w:val="fr-CH"/>
        </w:rPr>
        <w:t>'</w:t>
      </w:r>
      <w:r w:rsidR="004E26F3">
        <w:rPr>
          <w:color w:val="000000"/>
          <w:lang w:val="fr-CH"/>
        </w:rPr>
        <w:t>efficacité</w:t>
      </w:r>
      <w:r w:rsidR="00B72F0A">
        <w:rPr>
          <w:color w:val="000000"/>
          <w:lang w:val="fr-CH"/>
        </w:rPr>
        <w:t xml:space="preserve"> maximale et en mettant sur pied des mécanismes </w:t>
      </w:r>
      <w:r w:rsidR="00281561">
        <w:rPr>
          <w:color w:val="000000"/>
          <w:lang w:val="fr-CH"/>
        </w:rPr>
        <w:t>propres à favoriser</w:t>
      </w:r>
      <w:r w:rsidR="00B72F0A">
        <w:rPr>
          <w:color w:val="000000"/>
          <w:lang w:val="fr-CH"/>
        </w:rPr>
        <w:t xml:space="preserve"> une</w:t>
      </w:r>
      <w:r w:rsidR="00281561">
        <w:rPr>
          <w:color w:val="000000"/>
          <w:lang w:val="fr-CH"/>
        </w:rPr>
        <w:t xml:space="preserve"> étroite</w:t>
      </w:r>
      <w:r w:rsidR="00B72F0A">
        <w:rPr>
          <w:color w:val="000000"/>
          <w:lang w:val="fr-CH"/>
        </w:rPr>
        <w:t xml:space="preserve"> coopération</w:t>
      </w:r>
      <w:r w:rsidR="00281561">
        <w:rPr>
          <w:color w:val="000000"/>
          <w:lang w:val="fr-CH"/>
        </w:rPr>
        <w:t xml:space="preserve"> et une communication renforcée</w:t>
      </w:r>
      <w:r w:rsidR="00B72F0A">
        <w:rPr>
          <w:color w:val="000000"/>
          <w:lang w:val="fr-CH"/>
        </w:rPr>
        <w:t xml:space="preserve"> avec d</w:t>
      </w:r>
      <w:r w:rsidR="00911A3E">
        <w:rPr>
          <w:color w:val="000000"/>
          <w:lang w:val="fr-CH"/>
        </w:rPr>
        <w:t>'</w:t>
      </w:r>
      <w:r w:rsidR="00B72F0A">
        <w:rPr>
          <w:color w:val="000000"/>
          <w:lang w:val="fr-CH"/>
        </w:rPr>
        <w:t xml:space="preserve">autres entités. </w:t>
      </w:r>
    </w:p>
    <w:p w:rsidR="00BD5F02" w:rsidRDefault="00BD5F02" w:rsidP="00BD5F02">
      <w:pPr>
        <w:pStyle w:val="Proposal"/>
      </w:pPr>
      <w:r>
        <w:tab/>
        <w:t>IAP/46A25/1</w:t>
      </w:r>
    </w:p>
    <w:p w:rsidR="00194A61" w:rsidRPr="00242E6C" w:rsidRDefault="00194A61" w:rsidP="00242E6C">
      <w:pPr>
        <w:pStyle w:val="Headingb"/>
      </w:pPr>
      <w:r w:rsidRPr="00242E6C">
        <w:t>Recommandation</w:t>
      </w:r>
    </w:p>
    <w:p w:rsidR="0083609A" w:rsidRDefault="00CE102B" w:rsidP="00E15588">
      <w:pPr>
        <w:rPr>
          <w:lang w:val="fr-CH"/>
        </w:rPr>
      </w:pPr>
      <w:r>
        <w:rPr>
          <w:lang w:val="fr-CH"/>
        </w:rPr>
        <w:t xml:space="preserve">La CITEL </w:t>
      </w:r>
      <w:r w:rsidR="00242E6C">
        <w:rPr>
          <w:lang w:val="fr-CH"/>
        </w:rPr>
        <w:t>préconise une structure concise et donnant</w:t>
      </w:r>
      <w:r>
        <w:rPr>
          <w:lang w:val="fr-CH"/>
        </w:rPr>
        <w:t xml:space="preserve"> des orientations aux membres et aux participants quant aux priorités et buts de l</w:t>
      </w:r>
      <w:r w:rsidR="00911A3E">
        <w:rPr>
          <w:lang w:val="fr-CH"/>
        </w:rPr>
        <w:t>'</w:t>
      </w:r>
      <w:r>
        <w:rPr>
          <w:lang w:val="fr-CH"/>
        </w:rPr>
        <w:t xml:space="preserve">UIT-T pour les quatre années à venir. </w:t>
      </w:r>
      <w:r w:rsidR="00242E6C">
        <w:rPr>
          <w:lang w:val="fr-CH"/>
        </w:rPr>
        <w:t>Il conviendrait de s'inspirer d</w:t>
      </w:r>
      <w:r>
        <w:rPr>
          <w:lang w:val="fr-CH"/>
        </w:rPr>
        <w:t>es principes</w:t>
      </w:r>
      <w:r w:rsidR="00242E6C">
        <w:rPr>
          <w:lang w:val="fr-CH"/>
        </w:rPr>
        <w:t xml:space="preserve"> énumérés</w:t>
      </w:r>
      <w:r>
        <w:rPr>
          <w:lang w:val="fr-CH"/>
        </w:rPr>
        <w:t xml:space="preserve"> dans la partie </w:t>
      </w:r>
      <w:r w:rsidR="00242E6C">
        <w:rPr>
          <w:lang w:val="fr-CH"/>
        </w:rPr>
        <w:t>"Examen"</w:t>
      </w:r>
      <w:r w:rsidR="00911A3E">
        <w:rPr>
          <w:lang w:val="fr-CH"/>
        </w:rPr>
        <w:t xml:space="preserve"> </w:t>
      </w:r>
      <w:r>
        <w:rPr>
          <w:lang w:val="fr-CH"/>
        </w:rPr>
        <w:t>de la prése</w:t>
      </w:r>
      <w:r w:rsidR="00242E6C">
        <w:rPr>
          <w:lang w:val="fr-CH"/>
        </w:rPr>
        <w:t xml:space="preserve">nte contribution </w:t>
      </w:r>
      <w:r>
        <w:rPr>
          <w:lang w:val="fr-CH"/>
        </w:rPr>
        <w:t>pour déterminer la structure des commissions d</w:t>
      </w:r>
      <w:r w:rsidR="00911A3E">
        <w:rPr>
          <w:lang w:val="fr-CH"/>
        </w:rPr>
        <w:t>'</w:t>
      </w:r>
      <w:r>
        <w:rPr>
          <w:lang w:val="fr-CH"/>
        </w:rPr>
        <w:t xml:space="preserve">études. La CITEL </w:t>
      </w:r>
      <w:r w:rsidR="00242E6C">
        <w:rPr>
          <w:lang w:val="fr-CH"/>
        </w:rPr>
        <w:t>estime aussi</w:t>
      </w:r>
      <w:r>
        <w:rPr>
          <w:lang w:val="fr-CH"/>
        </w:rPr>
        <w:t xml:space="preserve"> que la restructurati</w:t>
      </w:r>
      <w:r w:rsidR="00611706">
        <w:rPr>
          <w:lang w:val="fr-CH"/>
        </w:rPr>
        <w:t>on des commissions d</w:t>
      </w:r>
      <w:r w:rsidR="00911A3E">
        <w:rPr>
          <w:lang w:val="fr-CH"/>
        </w:rPr>
        <w:t>'</w:t>
      </w:r>
      <w:r w:rsidR="00611706">
        <w:rPr>
          <w:lang w:val="fr-CH"/>
        </w:rPr>
        <w:t>études du S</w:t>
      </w:r>
      <w:r>
        <w:rPr>
          <w:lang w:val="fr-CH"/>
        </w:rPr>
        <w:t>ecteur des télécommunications devrait ê</w:t>
      </w:r>
      <w:r w:rsidR="00242E6C">
        <w:rPr>
          <w:lang w:val="fr-CH"/>
        </w:rPr>
        <w:t xml:space="preserve">tre suffisamment souple pour </w:t>
      </w:r>
      <w:r>
        <w:rPr>
          <w:lang w:val="fr-CH"/>
        </w:rPr>
        <w:t xml:space="preserve"> permettre une structure horizontale ou verticale</w:t>
      </w:r>
      <w:r w:rsidR="00611706">
        <w:rPr>
          <w:lang w:val="fr-CH"/>
        </w:rPr>
        <w:t>,</w:t>
      </w:r>
      <w:r>
        <w:rPr>
          <w:lang w:val="fr-CH"/>
        </w:rPr>
        <w:t xml:space="preserve"> </w:t>
      </w:r>
      <w:r w:rsidR="00473807">
        <w:rPr>
          <w:lang w:val="fr-CH"/>
        </w:rPr>
        <w:t xml:space="preserve">selon </w:t>
      </w:r>
      <w:r>
        <w:rPr>
          <w:lang w:val="fr-CH"/>
        </w:rPr>
        <w:t>les besoins et le contexte propre</w:t>
      </w:r>
      <w:r w:rsidR="00473807">
        <w:rPr>
          <w:lang w:val="fr-CH"/>
        </w:rPr>
        <w:t>s</w:t>
      </w:r>
      <w:r>
        <w:rPr>
          <w:lang w:val="fr-CH"/>
        </w:rPr>
        <w:t xml:space="preserve"> à chaque commission</w:t>
      </w:r>
      <w:r w:rsidR="00611706">
        <w:rPr>
          <w:lang w:val="fr-CH"/>
        </w:rPr>
        <w:t xml:space="preserve"> d'études</w:t>
      </w:r>
      <w:r>
        <w:rPr>
          <w:lang w:val="fr-CH"/>
        </w:rPr>
        <w:t>. Essayer</w:t>
      </w:r>
      <w:r w:rsidR="00611706">
        <w:rPr>
          <w:lang w:val="fr-CH"/>
        </w:rPr>
        <w:t xml:space="preserve"> d'intégrer </w:t>
      </w:r>
      <w:r>
        <w:rPr>
          <w:lang w:val="fr-CH"/>
        </w:rPr>
        <w:t>une commission</w:t>
      </w:r>
      <w:r w:rsidR="00652AF5">
        <w:rPr>
          <w:lang w:val="fr-CH"/>
        </w:rPr>
        <w:t xml:space="preserve"> d</w:t>
      </w:r>
      <w:r w:rsidR="00911A3E">
        <w:rPr>
          <w:lang w:val="fr-CH"/>
        </w:rPr>
        <w:t>'</w:t>
      </w:r>
      <w:r w:rsidR="00652AF5">
        <w:rPr>
          <w:lang w:val="fr-CH"/>
        </w:rPr>
        <w:t>études</w:t>
      </w:r>
      <w:r>
        <w:rPr>
          <w:lang w:val="fr-CH"/>
        </w:rPr>
        <w:t xml:space="preserve"> </w:t>
      </w:r>
      <w:r w:rsidR="00611706">
        <w:rPr>
          <w:lang w:val="fr-CH"/>
        </w:rPr>
        <w:t xml:space="preserve">dans </w:t>
      </w:r>
      <w:r w:rsidR="00FB2B17">
        <w:rPr>
          <w:lang w:val="fr-CH"/>
        </w:rPr>
        <w:t>une structure</w:t>
      </w:r>
      <w:r>
        <w:rPr>
          <w:lang w:val="fr-CH"/>
        </w:rPr>
        <w:t xml:space="preserve"> déterminé</w:t>
      </w:r>
      <w:r w:rsidR="00FB2B17">
        <w:rPr>
          <w:lang w:val="fr-CH"/>
        </w:rPr>
        <w:t>e</w:t>
      </w:r>
      <w:r w:rsidR="00611706">
        <w:rPr>
          <w:lang w:val="fr-CH"/>
        </w:rPr>
        <w:t xml:space="preserve"> aux</w:t>
      </w:r>
      <w:r w:rsidR="00652AF5">
        <w:rPr>
          <w:lang w:val="fr-CH"/>
        </w:rPr>
        <w:t xml:space="preserve"> fins de restructuration</w:t>
      </w:r>
      <w:r w:rsidR="00611706">
        <w:rPr>
          <w:lang w:val="fr-CH"/>
        </w:rPr>
        <w:t xml:space="preserve"> risque de lui faire perdre de sa souplesse</w:t>
      </w:r>
      <w:r w:rsidR="00E15588">
        <w:rPr>
          <w:lang w:val="fr-CH"/>
        </w:rPr>
        <w:t>. Bien que les structures "horizontale" et "verticale"</w:t>
      </w:r>
      <w:r w:rsidR="00611706">
        <w:rPr>
          <w:lang w:val="fr-CH"/>
        </w:rPr>
        <w:t>, qui sont différentes,</w:t>
      </w:r>
      <w:r w:rsidR="00652AF5">
        <w:rPr>
          <w:lang w:val="fr-CH"/>
        </w:rPr>
        <w:t xml:space="preserve"> puissent être envisagées </w:t>
      </w:r>
      <w:r w:rsidR="00611706">
        <w:rPr>
          <w:lang w:val="fr-CH"/>
        </w:rPr>
        <w:t>lors de l'élaboration de</w:t>
      </w:r>
      <w:r w:rsidR="00652AF5">
        <w:rPr>
          <w:lang w:val="fr-CH"/>
        </w:rPr>
        <w:t xml:space="preserve"> propositions, ces dernières doivent toujours être évaluées à l</w:t>
      </w:r>
      <w:r w:rsidR="00911A3E">
        <w:rPr>
          <w:lang w:val="fr-CH"/>
        </w:rPr>
        <w:t>'</w:t>
      </w:r>
      <w:r w:rsidR="00652AF5">
        <w:rPr>
          <w:lang w:val="fr-CH"/>
        </w:rPr>
        <w:t xml:space="preserve">aune des principes </w:t>
      </w:r>
      <w:r w:rsidR="00611706">
        <w:rPr>
          <w:lang w:val="fr-CH"/>
        </w:rPr>
        <w:t>énumérés</w:t>
      </w:r>
      <w:r w:rsidR="00652AF5">
        <w:rPr>
          <w:lang w:val="fr-CH"/>
        </w:rPr>
        <w:t xml:space="preserve"> dans la partie </w:t>
      </w:r>
      <w:r w:rsidR="006D569F">
        <w:rPr>
          <w:lang w:val="fr-CH"/>
        </w:rPr>
        <w:t>"</w:t>
      </w:r>
      <w:proofErr w:type="spellStart"/>
      <w:r w:rsidR="006D569F">
        <w:rPr>
          <w:lang w:val="fr-CH"/>
        </w:rPr>
        <w:t>Examen"</w:t>
      </w:r>
      <w:r w:rsidR="00E15588">
        <w:rPr>
          <w:lang w:val="fr-CH"/>
        </w:rPr>
        <w:t>de</w:t>
      </w:r>
      <w:proofErr w:type="spellEnd"/>
      <w:r w:rsidR="00E15588">
        <w:rPr>
          <w:lang w:val="fr-CH"/>
        </w:rPr>
        <w:t xml:space="preserve"> la présente contribution</w:t>
      </w:r>
      <w:r w:rsidR="006D569F">
        <w:rPr>
          <w:lang w:val="fr-CH"/>
        </w:rPr>
        <w:t xml:space="preserve"> et compte te</w:t>
      </w:r>
      <w:r w:rsidR="00E24CFF">
        <w:rPr>
          <w:lang w:val="fr-CH"/>
        </w:rPr>
        <w:t xml:space="preserve">nu de l'objectif général </w:t>
      </w:r>
      <w:r w:rsidR="00911A3E">
        <w:rPr>
          <w:lang w:val="fr-CH"/>
        </w:rPr>
        <w:t>de l'UI</w:t>
      </w:r>
      <w:r w:rsidR="006D569F">
        <w:rPr>
          <w:lang w:val="fr-CH"/>
        </w:rPr>
        <w:t xml:space="preserve">T-T, </w:t>
      </w:r>
      <w:r w:rsidR="00611706">
        <w:rPr>
          <w:lang w:val="fr-CH"/>
        </w:rPr>
        <w:t>qui est d'</w:t>
      </w:r>
      <w:r w:rsidR="00652AF5">
        <w:rPr>
          <w:lang w:val="fr-CH"/>
        </w:rPr>
        <w:t>élaborer</w:t>
      </w:r>
      <w:r w:rsidR="006D569F">
        <w:rPr>
          <w:lang w:val="fr-CH"/>
        </w:rPr>
        <w:t>,</w:t>
      </w:r>
      <w:r w:rsidR="00652AF5">
        <w:rPr>
          <w:lang w:val="fr-CH"/>
        </w:rPr>
        <w:t xml:space="preserve"> </w:t>
      </w:r>
      <w:r w:rsidR="00611706">
        <w:rPr>
          <w:lang w:val="fr-CH"/>
        </w:rPr>
        <w:t>dans les meilleurs délais</w:t>
      </w:r>
      <w:r w:rsidR="006D569F">
        <w:rPr>
          <w:lang w:val="fr-CH"/>
        </w:rPr>
        <w:t xml:space="preserve">, </w:t>
      </w:r>
      <w:r w:rsidR="00652AF5">
        <w:rPr>
          <w:lang w:val="fr-CH"/>
        </w:rPr>
        <w:t xml:space="preserve">des normes </w:t>
      </w:r>
      <w:r w:rsidR="00611706">
        <w:rPr>
          <w:lang w:val="fr-CH"/>
        </w:rPr>
        <w:t xml:space="preserve">adaptées </w:t>
      </w:r>
      <w:r w:rsidR="00E76F3F">
        <w:rPr>
          <w:lang w:val="fr-CH"/>
        </w:rPr>
        <w:t>et de</w:t>
      </w:r>
      <w:r w:rsidR="00652AF5">
        <w:rPr>
          <w:lang w:val="fr-CH"/>
        </w:rPr>
        <w:t xml:space="preserve"> qualité</w:t>
      </w:r>
      <w:r w:rsidR="00E76F3F">
        <w:rPr>
          <w:lang w:val="fr-CH"/>
        </w:rPr>
        <w:t xml:space="preserve"> et à </w:t>
      </w:r>
      <w:r w:rsidR="00611706">
        <w:rPr>
          <w:lang w:val="fr-CH"/>
        </w:rPr>
        <w:t xml:space="preserve">déterminer si elles conviennent </w:t>
      </w:r>
      <w:r w:rsidR="00E76F3F">
        <w:rPr>
          <w:lang w:val="fr-CH"/>
        </w:rPr>
        <w:t>dans une situation donnée.</w:t>
      </w:r>
    </w:p>
    <w:p w:rsidR="00C303A5" w:rsidRPr="00911A3E" w:rsidRDefault="00C303A5" w:rsidP="0032202E">
      <w:pPr>
        <w:pStyle w:val="Reasons"/>
        <w:rPr>
          <w:lang w:val="fr-CH"/>
        </w:rPr>
      </w:pPr>
      <w:bookmarkStart w:id="0" w:name="_GoBack"/>
      <w:bookmarkEnd w:id="0"/>
    </w:p>
    <w:p w:rsidR="00C303A5" w:rsidRDefault="00C303A5">
      <w:pPr>
        <w:jc w:val="center"/>
      </w:pPr>
      <w:r>
        <w:t>______________</w:t>
      </w:r>
    </w:p>
    <w:p w:rsidR="00C303A5" w:rsidRPr="00FC4C92" w:rsidRDefault="00C303A5" w:rsidP="00C303A5">
      <w:pPr>
        <w:pStyle w:val="Reasons"/>
        <w:rPr>
          <w:lang w:val="fr-CH"/>
        </w:rPr>
      </w:pPr>
    </w:p>
    <w:sectPr w:rsidR="00C303A5" w:rsidRPr="00FC4C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52" w:rsidRDefault="00345A52">
      <w:r>
        <w:separator/>
      </w:r>
    </w:p>
  </w:endnote>
  <w:endnote w:type="continuationSeparator" w:id="0">
    <w:p w:rsidR="00345A52" w:rsidRDefault="0034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7638FC" w:rsidRDefault="00E45D05">
    <w:pPr>
      <w:ind w:right="360"/>
      <w:rPr>
        <w:lang w:val="fr-FR"/>
      </w:rPr>
    </w:pPr>
    <w:r>
      <w:fldChar w:fldCharType="begin"/>
    </w:r>
    <w:r w:rsidRPr="007638FC">
      <w:rPr>
        <w:lang w:val="fr-FR"/>
      </w:rPr>
      <w:instrText xml:space="preserve"> FILENAME \p  \* MERGEFORMAT </w:instrText>
    </w:r>
    <w:r>
      <w:fldChar w:fldCharType="separate"/>
    </w:r>
    <w:r w:rsidR="00280BFC">
      <w:rPr>
        <w:noProof/>
        <w:lang w:val="fr-FR"/>
      </w:rPr>
      <w:t>P:\FRA\ITU-T\CONF-T\WTSA16\000\046ADD25F.docx</w:t>
    </w:r>
    <w:r>
      <w:fldChar w:fldCharType="end"/>
    </w:r>
    <w:r w:rsidRPr="007638FC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5F02">
      <w:rPr>
        <w:noProof/>
      </w:rPr>
      <w:t>10.10.16</w:t>
    </w:r>
    <w:r>
      <w:fldChar w:fldCharType="end"/>
    </w:r>
    <w:r w:rsidRPr="007638FC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80BFC">
      <w:rPr>
        <w:noProof/>
      </w:rPr>
      <w:t>10.10.16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7638FC" w:rsidRDefault="00E45D05" w:rsidP="00526703">
    <w:pPr>
      <w:pStyle w:val="Footer"/>
      <w:rPr>
        <w:lang w:val="fr-FR"/>
      </w:rPr>
    </w:pPr>
    <w:r>
      <w:fldChar w:fldCharType="begin"/>
    </w:r>
    <w:r w:rsidRPr="007638FC">
      <w:rPr>
        <w:lang w:val="fr-FR"/>
      </w:rPr>
      <w:instrText xml:space="preserve"> FILENAME \p  \* MERGEFORMAT </w:instrText>
    </w:r>
    <w:r>
      <w:fldChar w:fldCharType="separate"/>
    </w:r>
    <w:r w:rsidR="00280BFC">
      <w:rPr>
        <w:lang w:val="fr-FR"/>
      </w:rPr>
      <w:t>P:\FRA\ITU-T\CONF-T\WTSA16\000\046ADD25F.docx</w:t>
    </w:r>
    <w:r>
      <w:fldChar w:fldCharType="end"/>
    </w:r>
    <w:r w:rsidR="0083609A" w:rsidRPr="007638FC">
      <w:rPr>
        <w:lang w:val="fr-FR"/>
      </w:rPr>
      <w:t xml:space="preserve"> (405153)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426616" w:rsidRPr="00BD5F02" w:rsidTr="003E74F9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426616" w:rsidRDefault="00426616" w:rsidP="003B4A90">
          <w:pPr>
            <w:spacing w:before="0"/>
            <w:rPr>
              <w:b/>
              <w:bCs/>
            </w:rPr>
          </w:pPr>
          <w:bookmarkStart w:id="1" w:name="dcontact"/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426616" w:rsidRPr="0083609A" w:rsidRDefault="00426616" w:rsidP="003B4A90">
          <w:pPr>
            <w:spacing w:before="0"/>
            <w:rPr>
              <w:lang w:val="fr-CH"/>
            </w:rPr>
          </w:pPr>
          <w:r w:rsidRPr="0083609A">
            <w:rPr>
              <w:lang w:val="fr-CH"/>
            </w:rPr>
            <w:t>Oscar León</w:t>
          </w:r>
        </w:p>
        <w:p w:rsidR="00426616" w:rsidRPr="0083609A" w:rsidRDefault="00426616" w:rsidP="003B4A90">
          <w:pPr>
            <w:spacing w:before="0"/>
            <w:rPr>
              <w:lang w:val="fr-CH"/>
            </w:rPr>
          </w:pPr>
          <w:r w:rsidRPr="0083609A">
            <w:rPr>
              <w:lang w:val="fr-CH"/>
            </w:rPr>
            <w:t>CITEL</w:t>
          </w:r>
        </w:p>
        <w:p w:rsidR="00426616" w:rsidRPr="0083609A" w:rsidRDefault="00426616" w:rsidP="003B4A90">
          <w:pPr>
            <w:spacing w:before="0"/>
            <w:rPr>
              <w:lang w:val="fr-CH"/>
            </w:rPr>
          </w:pPr>
          <w:r w:rsidRPr="0083609A">
            <w:rPr>
              <w:lang w:val="fr-CH"/>
            </w:rPr>
            <w:t>Washington, D</w:t>
          </w:r>
          <w:r w:rsidR="00280BFC">
            <w:rPr>
              <w:lang w:val="fr-CH"/>
            </w:rPr>
            <w:t>.</w:t>
          </w:r>
          <w:r w:rsidRPr="0083609A">
            <w:rPr>
              <w:lang w:val="fr-CH"/>
            </w:rPr>
            <w:t>C</w:t>
          </w:r>
          <w:r w:rsidR="00280BFC">
            <w:rPr>
              <w:lang w:val="fr-CH"/>
            </w:rPr>
            <w:t>.</w:t>
          </w:r>
          <w:r w:rsidRPr="0083609A">
            <w:rPr>
              <w:lang w:val="fr-CH"/>
            </w:rPr>
            <w:t xml:space="preserve">, </w:t>
          </w:r>
          <w:proofErr w:type="spellStart"/>
          <w:r w:rsidR="005C46E4" w:rsidRPr="0083609A">
            <w:rPr>
              <w:lang w:val="fr-CH"/>
            </w:rPr>
            <w:t>Etats-Unis</w:t>
          </w:r>
          <w:proofErr w:type="spellEnd"/>
          <w:r w:rsidR="003B4A90">
            <w:rPr>
              <w:lang w:val="fr-CH"/>
            </w:rPr>
            <w:t xml:space="preserve"> d'Amérique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426616" w:rsidRPr="003B4A90" w:rsidRDefault="00426616" w:rsidP="003B4A90">
          <w:pPr>
            <w:spacing w:before="0"/>
            <w:rPr>
              <w:lang w:val="fr-CH"/>
            </w:rPr>
          </w:pPr>
          <w:r w:rsidRPr="003B4A90">
            <w:rPr>
              <w:lang w:val="fr-CH"/>
            </w:rPr>
            <w:t>T</w:t>
          </w:r>
          <w:r w:rsidR="003B4A90" w:rsidRPr="003B4A90">
            <w:rPr>
              <w:lang w:val="fr-CH"/>
            </w:rPr>
            <w:t>é</w:t>
          </w:r>
          <w:r w:rsidRPr="003B4A90">
            <w:rPr>
              <w:lang w:val="fr-CH"/>
            </w:rPr>
            <w:t>l</w:t>
          </w:r>
          <w:r w:rsidR="003B4A90" w:rsidRPr="003B4A90">
            <w:rPr>
              <w:lang w:val="fr-CH"/>
            </w:rPr>
            <w:t>.</w:t>
          </w:r>
          <w:r w:rsidRPr="003B4A90">
            <w:rPr>
              <w:lang w:val="fr-CH"/>
            </w:rPr>
            <w:t>: + 1 (202) 370-4713</w:t>
          </w:r>
        </w:p>
        <w:p w:rsidR="00426616" w:rsidRPr="003B4A90" w:rsidRDefault="00426616" w:rsidP="003B4A90">
          <w:pPr>
            <w:spacing w:before="0"/>
            <w:rPr>
              <w:lang w:val="fr-CH"/>
            </w:rPr>
          </w:pPr>
          <w:r w:rsidRPr="003B4A90">
            <w:rPr>
              <w:lang w:val="fr-CH"/>
            </w:rPr>
            <w:t>Fax: + 1 (202) 458-6854</w:t>
          </w:r>
        </w:p>
        <w:p w:rsidR="00426616" w:rsidRPr="003B4A90" w:rsidRDefault="003B4A90" w:rsidP="003B4A90">
          <w:pPr>
            <w:spacing w:before="0"/>
            <w:rPr>
              <w:lang w:val="fr-CH"/>
            </w:rPr>
          </w:pPr>
          <w:r>
            <w:rPr>
              <w:lang w:val="fr-CH"/>
            </w:rPr>
            <w:t>Courriel</w:t>
          </w:r>
          <w:r w:rsidR="00426616" w:rsidRPr="003B4A90">
            <w:rPr>
              <w:lang w:val="fr-CH"/>
            </w:rPr>
            <w:t xml:space="preserve">: </w:t>
          </w:r>
          <w:hyperlink r:id="rId1" w:history="1">
            <w:r w:rsidR="00280BFC" w:rsidRPr="00AC00F0">
              <w:rPr>
                <w:rStyle w:val="Hyperlink"/>
                <w:lang w:val="fr-CH"/>
              </w:rPr>
              <w:t>citel@oas.org</w:t>
            </w:r>
          </w:hyperlink>
          <w:r w:rsidR="00280BFC">
            <w:rPr>
              <w:lang w:val="fr-CH"/>
            </w:rPr>
            <w:t xml:space="preserve"> </w:t>
          </w:r>
        </w:p>
      </w:tc>
    </w:tr>
    <w:bookmarkEnd w:id="1"/>
  </w:tbl>
  <w:p w:rsidR="00987C1F" w:rsidRPr="003B4A90" w:rsidRDefault="00987C1F" w:rsidP="003B4A90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52" w:rsidRDefault="00345A52">
      <w:r>
        <w:rPr>
          <w:b/>
        </w:rPr>
        <w:t>_______________</w:t>
      </w:r>
    </w:p>
  </w:footnote>
  <w:footnote w:type="continuationSeparator" w:id="0">
    <w:p w:rsidR="00345A52" w:rsidRDefault="00345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BFC" w:rsidRDefault="00280B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D5F02">
      <w:rPr>
        <w:noProof/>
      </w:rPr>
      <w:t>2</w:t>
    </w:r>
    <w:r>
      <w:fldChar w:fldCharType="end"/>
    </w:r>
  </w:p>
  <w:p w:rsidR="00987C1F" w:rsidRDefault="00E07AF5" w:rsidP="00987C1F">
    <w:pPr>
      <w:pStyle w:val="Header"/>
    </w:pPr>
    <w:r>
      <w:t>AMNT16</w:t>
    </w:r>
    <w:r w:rsidR="00987C1F">
      <w:t>/46(Add.26)-</w:t>
    </w:r>
    <w:r w:rsidR="00987C1F" w:rsidRPr="00010B43">
      <w:t>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BFC" w:rsidRDefault="00280B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17EF6099"/>
    <w:multiLevelType w:val="hybridMultilevel"/>
    <w:tmpl w:val="137E372C"/>
    <w:lvl w:ilvl="0" w:tplc="843C71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1A5169"/>
    <w:multiLevelType w:val="hybridMultilevel"/>
    <w:tmpl w:val="91141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6"/>
    <w:rsid w:val="000032AD"/>
    <w:rsid w:val="000041EA"/>
    <w:rsid w:val="00022A29"/>
    <w:rsid w:val="000273A2"/>
    <w:rsid w:val="000355FD"/>
    <w:rsid w:val="00051E39"/>
    <w:rsid w:val="00077239"/>
    <w:rsid w:val="00086491"/>
    <w:rsid w:val="00091346"/>
    <w:rsid w:val="0009706C"/>
    <w:rsid w:val="000A14AF"/>
    <w:rsid w:val="000D547A"/>
    <w:rsid w:val="000F73FF"/>
    <w:rsid w:val="0010295C"/>
    <w:rsid w:val="001075E9"/>
    <w:rsid w:val="00114CF7"/>
    <w:rsid w:val="00123B68"/>
    <w:rsid w:val="00126F2E"/>
    <w:rsid w:val="00146F6F"/>
    <w:rsid w:val="00164C14"/>
    <w:rsid w:val="001848E7"/>
    <w:rsid w:val="00187BD9"/>
    <w:rsid w:val="00190B55"/>
    <w:rsid w:val="00194A61"/>
    <w:rsid w:val="001978FA"/>
    <w:rsid w:val="00197DD4"/>
    <w:rsid w:val="001A0F27"/>
    <w:rsid w:val="001A1578"/>
    <w:rsid w:val="001C1324"/>
    <w:rsid w:val="001C3B5F"/>
    <w:rsid w:val="001D058F"/>
    <w:rsid w:val="001D581B"/>
    <w:rsid w:val="001D77E9"/>
    <w:rsid w:val="001E1430"/>
    <w:rsid w:val="002009EA"/>
    <w:rsid w:val="00202CA0"/>
    <w:rsid w:val="00216B6D"/>
    <w:rsid w:val="00242E6C"/>
    <w:rsid w:val="00250AF4"/>
    <w:rsid w:val="00271316"/>
    <w:rsid w:val="00280BFC"/>
    <w:rsid w:val="00281561"/>
    <w:rsid w:val="0029415D"/>
    <w:rsid w:val="002B2A75"/>
    <w:rsid w:val="002D2BA3"/>
    <w:rsid w:val="002D58BE"/>
    <w:rsid w:val="002E210D"/>
    <w:rsid w:val="002F3F9F"/>
    <w:rsid w:val="003236A6"/>
    <w:rsid w:val="00332C56"/>
    <w:rsid w:val="00345A52"/>
    <w:rsid w:val="00377BD3"/>
    <w:rsid w:val="003832C0"/>
    <w:rsid w:val="00384088"/>
    <w:rsid w:val="0039169B"/>
    <w:rsid w:val="00392D3E"/>
    <w:rsid w:val="003A7F8C"/>
    <w:rsid w:val="003B4A90"/>
    <w:rsid w:val="003B532E"/>
    <w:rsid w:val="003D0F8B"/>
    <w:rsid w:val="004054F5"/>
    <w:rsid w:val="004079B0"/>
    <w:rsid w:val="004126D1"/>
    <w:rsid w:val="0041348E"/>
    <w:rsid w:val="00413F0D"/>
    <w:rsid w:val="00417AD4"/>
    <w:rsid w:val="00426616"/>
    <w:rsid w:val="00435759"/>
    <w:rsid w:val="00444030"/>
    <w:rsid w:val="004508E2"/>
    <w:rsid w:val="00473807"/>
    <w:rsid w:val="00476533"/>
    <w:rsid w:val="00476BC7"/>
    <w:rsid w:val="00492075"/>
    <w:rsid w:val="004969AD"/>
    <w:rsid w:val="004A26C4"/>
    <w:rsid w:val="004B13CB"/>
    <w:rsid w:val="004D5D5C"/>
    <w:rsid w:val="004E26F3"/>
    <w:rsid w:val="004E42A3"/>
    <w:rsid w:val="0050139F"/>
    <w:rsid w:val="00526703"/>
    <w:rsid w:val="00530525"/>
    <w:rsid w:val="0055140B"/>
    <w:rsid w:val="00595780"/>
    <w:rsid w:val="005964AB"/>
    <w:rsid w:val="005C099A"/>
    <w:rsid w:val="005C31A5"/>
    <w:rsid w:val="005C46E4"/>
    <w:rsid w:val="005E10C9"/>
    <w:rsid w:val="005E3E53"/>
    <w:rsid w:val="005E61DD"/>
    <w:rsid w:val="006023DF"/>
    <w:rsid w:val="00603887"/>
    <w:rsid w:val="00611685"/>
    <w:rsid w:val="00611706"/>
    <w:rsid w:val="00620417"/>
    <w:rsid w:val="00652AF5"/>
    <w:rsid w:val="00657DE0"/>
    <w:rsid w:val="00671CDC"/>
    <w:rsid w:val="00685313"/>
    <w:rsid w:val="0069092B"/>
    <w:rsid w:val="00692833"/>
    <w:rsid w:val="006A2487"/>
    <w:rsid w:val="006A6E9B"/>
    <w:rsid w:val="006B249F"/>
    <w:rsid w:val="006B7C2A"/>
    <w:rsid w:val="006C23DA"/>
    <w:rsid w:val="006C39E5"/>
    <w:rsid w:val="006D3AB4"/>
    <w:rsid w:val="006D569F"/>
    <w:rsid w:val="006E013B"/>
    <w:rsid w:val="006E3D45"/>
    <w:rsid w:val="006F35FB"/>
    <w:rsid w:val="006F580E"/>
    <w:rsid w:val="006F7B37"/>
    <w:rsid w:val="0070185B"/>
    <w:rsid w:val="007149F9"/>
    <w:rsid w:val="007315AF"/>
    <w:rsid w:val="00733A30"/>
    <w:rsid w:val="00745AEE"/>
    <w:rsid w:val="00750F10"/>
    <w:rsid w:val="007638FC"/>
    <w:rsid w:val="007742CA"/>
    <w:rsid w:val="007856D0"/>
    <w:rsid w:val="00790D70"/>
    <w:rsid w:val="007C4190"/>
    <w:rsid w:val="007D5320"/>
    <w:rsid w:val="007D56EB"/>
    <w:rsid w:val="007E3D16"/>
    <w:rsid w:val="007E638E"/>
    <w:rsid w:val="008006C5"/>
    <w:rsid w:val="00800972"/>
    <w:rsid w:val="00804475"/>
    <w:rsid w:val="00811633"/>
    <w:rsid w:val="00813B79"/>
    <w:rsid w:val="00831838"/>
    <w:rsid w:val="0083188F"/>
    <w:rsid w:val="0083609A"/>
    <w:rsid w:val="00864CD2"/>
    <w:rsid w:val="00872FC8"/>
    <w:rsid w:val="008845D0"/>
    <w:rsid w:val="00892FE1"/>
    <w:rsid w:val="008A69FB"/>
    <w:rsid w:val="008B1AEA"/>
    <w:rsid w:val="008B43F2"/>
    <w:rsid w:val="008B6CFF"/>
    <w:rsid w:val="008C27E9"/>
    <w:rsid w:val="008C6BAA"/>
    <w:rsid w:val="008E6A71"/>
    <w:rsid w:val="00911A3E"/>
    <w:rsid w:val="0092425C"/>
    <w:rsid w:val="009274B4"/>
    <w:rsid w:val="00934EA2"/>
    <w:rsid w:val="00940614"/>
    <w:rsid w:val="00944A5C"/>
    <w:rsid w:val="00952A66"/>
    <w:rsid w:val="00957670"/>
    <w:rsid w:val="009673C6"/>
    <w:rsid w:val="00987C1F"/>
    <w:rsid w:val="009C3191"/>
    <w:rsid w:val="009C56E5"/>
    <w:rsid w:val="009E5FC8"/>
    <w:rsid w:val="009E687A"/>
    <w:rsid w:val="009F63E2"/>
    <w:rsid w:val="00A04D58"/>
    <w:rsid w:val="00A066F1"/>
    <w:rsid w:val="00A07C31"/>
    <w:rsid w:val="00A11534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11DC"/>
    <w:rsid w:val="00A90939"/>
    <w:rsid w:val="00A93B85"/>
    <w:rsid w:val="00A94A88"/>
    <w:rsid w:val="00AA0B18"/>
    <w:rsid w:val="00AA666F"/>
    <w:rsid w:val="00AB5A50"/>
    <w:rsid w:val="00AB7C5F"/>
    <w:rsid w:val="00AD7BFE"/>
    <w:rsid w:val="00B11D67"/>
    <w:rsid w:val="00B31EF6"/>
    <w:rsid w:val="00B414ED"/>
    <w:rsid w:val="00B639E9"/>
    <w:rsid w:val="00B72F0A"/>
    <w:rsid w:val="00B817CD"/>
    <w:rsid w:val="00B94AD0"/>
    <w:rsid w:val="00BA5265"/>
    <w:rsid w:val="00BB3A95"/>
    <w:rsid w:val="00BB6744"/>
    <w:rsid w:val="00BB6D50"/>
    <w:rsid w:val="00BD5F02"/>
    <w:rsid w:val="00C0018F"/>
    <w:rsid w:val="00C16A5A"/>
    <w:rsid w:val="00C20466"/>
    <w:rsid w:val="00C214ED"/>
    <w:rsid w:val="00C219AB"/>
    <w:rsid w:val="00C234E6"/>
    <w:rsid w:val="00C26BA2"/>
    <w:rsid w:val="00C303A5"/>
    <w:rsid w:val="00C324A8"/>
    <w:rsid w:val="00C361F0"/>
    <w:rsid w:val="00C54517"/>
    <w:rsid w:val="00C64CD8"/>
    <w:rsid w:val="00C8596E"/>
    <w:rsid w:val="00C86275"/>
    <w:rsid w:val="00C97C68"/>
    <w:rsid w:val="00CA1A47"/>
    <w:rsid w:val="00CC247A"/>
    <w:rsid w:val="00CD5906"/>
    <w:rsid w:val="00CE102B"/>
    <w:rsid w:val="00CE388F"/>
    <w:rsid w:val="00CE5E47"/>
    <w:rsid w:val="00CF020F"/>
    <w:rsid w:val="00CF1E9D"/>
    <w:rsid w:val="00CF2B5B"/>
    <w:rsid w:val="00D043EB"/>
    <w:rsid w:val="00D14CE0"/>
    <w:rsid w:val="00D21745"/>
    <w:rsid w:val="00D25664"/>
    <w:rsid w:val="00D54009"/>
    <w:rsid w:val="00D5651D"/>
    <w:rsid w:val="00D57A34"/>
    <w:rsid w:val="00D6112A"/>
    <w:rsid w:val="00D6517B"/>
    <w:rsid w:val="00D74898"/>
    <w:rsid w:val="00D801ED"/>
    <w:rsid w:val="00D93155"/>
    <w:rsid w:val="00D936BC"/>
    <w:rsid w:val="00D96530"/>
    <w:rsid w:val="00DD44AF"/>
    <w:rsid w:val="00DE19CB"/>
    <w:rsid w:val="00DE2AC3"/>
    <w:rsid w:val="00DE5692"/>
    <w:rsid w:val="00E03C94"/>
    <w:rsid w:val="00E07AF5"/>
    <w:rsid w:val="00E11197"/>
    <w:rsid w:val="00E117C7"/>
    <w:rsid w:val="00E14E2A"/>
    <w:rsid w:val="00E15588"/>
    <w:rsid w:val="00E24CFF"/>
    <w:rsid w:val="00E26226"/>
    <w:rsid w:val="00E45C54"/>
    <w:rsid w:val="00E45D05"/>
    <w:rsid w:val="00E55816"/>
    <w:rsid w:val="00E55AEF"/>
    <w:rsid w:val="00E624A6"/>
    <w:rsid w:val="00E76F3F"/>
    <w:rsid w:val="00E84ED7"/>
    <w:rsid w:val="00E90B12"/>
    <w:rsid w:val="00E917FD"/>
    <w:rsid w:val="00E976C1"/>
    <w:rsid w:val="00EA12E5"/>
    <w:rsid w:val="00EB55C6"/>
    <w:rsid w:val="00EC6C8C"/>
    <w:rsid w:val="00EF2B09"/>
    <w:rsid w:val="00EF5779"/>
    <w:rsid w:val="00F02766"/>
    <w:rsid w:val="00F05BD4"/>
    <w:rsid w:val="00F16D87"/>
    <w:rsid w:val="00F36CF4"/>
    <w:rsid w:val="00F6155B"/>
    <w:rsid w:val="00F65C19"/>
    <w:rsid w:val="00F7356B"/>
    <w:rsid w:val="00F776DF"/>
    <w:rsid w:val="00F840C7"/>
    <w:rsid w:val="00F85D6A"/>
    <w:rsid w:val="00FB2B17"/>
    <w:rsid w:val="00FC4C92"/>
    <w:rsid w:val="00FD2546"/>
    <w:rsid w:val="00FD5AC6"/>
    <w:rsid w:val="00FD772E"/>
    <w:rsid w:val="00FE57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61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character" w:customStyle="1" w:styleId="href">
    <w:name w:val="href"/>
    <w:basedOn w:val="DefaultParagraphFont"/>
    <w:rsid w:val="000A3C7B"/>
  </w:style>
  <w:style w:type="paragraph" w:customStyle="1" w:styleId="dpstylecall">
    <w:name w:val="dpstylecall"/>
    <w:basedOn w:val="Normal"/>
    <w:rsid w:val="000D547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0D547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eastAsia="zh-CN"/>
    </w:rPr>
  </w:style>
  <w:style w:type="character" w:styleId="Hyperlink">
    <w:name w:val="Hyperlink"/>
    <w:basedOn w:val="DefaultParagraphFont"/>
    <w:unhideWhenUsed/>
    <w:rsid w:val="00280B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95918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448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F0515E39224C1BB445B352EB31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C6A0-6393-4EA1-964C-339330291F37}"/>
      </w:docPartPr>
      <w:docPartBody>
        <w:p w:rsidR="00F85344" w:rsidRDefault="00D83E31" w:rsidP="00D83E31">
          <w:pPr>
            <w:pStyle w:val="CEF0515E39224C1BB445B352EB3113A9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31"/>
    <w:rsid w:val="003C792E"/>
    <w:rsid w:val="004228CC"/>
    <w:rsid w:val="00430751"/>
    <w:rsid w:val="004852F1"/>
    <w:rsid w:val="007007B4"/>
    <w:rsid w:val="00832CBF"/>
    <w:rsid w:val="008B3C62"/>
    <w:rsid w:val="00994AB5"/>
    <w:rsid w:val="00B95CAC"/>
    <w:rsid w:val="00CD1303"/>
    <w:rsid w:val="00D83E31"/>
    <w:rsid w:val="00E52BE5"/>
    <w:rsid w:val="00E927AD"/>
    <w:rsid w:val="00EB6FEA"/>
    <w:rsid w:val="00F3304D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4AB5"/>
    <w:rPr>
      <w:color w:val="808080"/>
    </w:rPr>
  </w:style>
  <w:style w:type="paragraph" w:customStyle="1" w:styleId="CEF0515E39224C1BB445B352EB3113A9">
    <w:name w:val="CEF0515E39224C1BB445B352EB3113A9"/>
    <w:rsid w:val="00D83E31"/>
  </w:style>
  <w:style w:type="paragraph" w:customStyle="1" w:styleId="EA4690149C8A4883A76BE352208791C8">
    <w:name w:val="EA4690149C8A4883A76BE352208791C8"/>
    <w:rsid w:val="00994AB5"/>
    <w:rPr>
      <w:lang w:val="en-GB"/>
    </w:rPr>
  </w:style>
  <w:style w:type="paragraph" w:customStyle="1" w:styleId="03B9F5F5D7FC42AC8B290BE769AE7F15">
    <w:name w:val="03B9F5F5D7FC42AC8B290BE769AE7F15"/>
    <w:rsid w:val="00994AB5"/>
    <w:rPr>
      <w:lang w:val="en-GB"/>
    </w:rPr>
  </w:style>
  <w:style w:type="paragraph" w:customStyle="1" w:styleId="290F61692985464699FE29FBE2E6017F">
    <w:name w:val="290F61692985464699FE29FBE2E6017F"/>
    <w:rsid w:val="00994AB5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42f1dae-84ac-4382-a553-cb33364340e3">Documents Proposals Manager (DPM)</DPM_x0020_Author>
    <DPM_x0020_File_x0020_name xmlns="842f1dae-84ac-4382-a553-cb33364340e3">T13-WTSA.16-C-0046!A26!MSW-F</DPM_x0020_File_x0020_name>
    <DPM_x0020_Version xmlns="842f1dae-84ac-4382-a553-cb33364340e3">DPM_v2016.9.23.1_prod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42f1dae-84ac-4382-a553-cb33364340e3" targetNamespace="http://schemas.microsoft.com/office/2006/metadata/properties" ma:root="true" ma:fieldsID="d41af5c836d734370eb92e7ee5f83852" ns2:_="" ns3:_="">
    <xsd:import namespace="996b2e75-67fd-4955-a3b0-5ab9934cb50b"/>
    <xsd:import namespace="842f1dae-84ac-4382-a553-cb33364340e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1dae-84ac-4382-a553-cb33364340e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996b2e75-67fd-4955-a3b0-5ab9934cb50b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42f1dae-84ac-4382-a553-cb33364340e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42f1dae-84ac-4382-a553-cb3336434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064B5B-53D9-4EAC-8665-5F85D955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1008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T13-WTSA.16-C-0046!A26!MSW-F</vt:lpstr>
    </vt:vector>
  </TitlesOfParts>
  <Manager>General Secretariat - Pool</Manager>
  <Company>International Telecommunication Union (ITU)</Company>
  <LinksUpToDate>false</LinksUpToDate>
  <CharactersWithSpaces>6937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T13-WTSA.16-C-0046!A26!MSW-F</dc:title>
  <dc:subject>World Telecommunication Standardization Assembly</dc:subject>
  <dc:creator>Documents Proposals Manager (DPM)</dc:creator>
  <cp:keywords>DPM_v2016.9.23.1_prod</cp:keywords>
  <dc:description>Template used by DPM and CPI for the WTSA-16</dc:description>
  <cp:lastModifiedBy>Murphy, Margaret</cp:lastModifiedBy>
  <cp:revision>30</cp:revision>
  <cp:lastPrinted>2016-10-10T14:46:00Z</cp:lastPrinted>
  <dcterms:created xsi:type="dcterms:W3CDTF">2016-10-10T06:53:00Z</dcterms:created>
  <dcterms:modified xsi:type="dcterms:W3CDTF">2016-10-17T13:49:00Z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