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9E0849" w:rsidTr="00A25A43">
        <w:trPr>
          <w:cantSplit/>
          <w:jc w:val="right"/>
        </w:trPr>
        <w:tc>
          <w:tcPr>
            <w:tcW w:w="3428" w:type="pct"/>
            <w:gridSpan w:val="2"/>
          </w:tcPr>
          <w:p w:rsidR="0022345D" w:rsidRPr="009E0849" w:rsidRDefault="0022345D" w:rsidP="009E0849">
            <w:pPr>
              <w:pStyle w:val="Committee"/>
              <w:framePr w:hSpace="0" w:wrap="auto" w:hAnchor="text" w:yAlign="inline"/>
              <w:tabs>
                <w:tab w:val="clear" w:pos="2268"/>
                <w:tab w:val="left" w:pos="2448"/>
              </w:tabs>
              <w:bidi/>
              <w:spacing w:line="340" w:lineRule="exact"/>
              <w:rPr>
                <w:rFonts w:ascii="Verdana" w:hAnsi="Verdana" w:cs="Traditional Arabic"/>
                <w:sz w:val="30"/>
                <w:szCs w:val="30"/>
                <w:rtl/>
              </w:rPr>
            </w:pPr>
            <w:r w:rsidRPr="009E0849">
              <w:rPr>
                <w:rFonts w:ascii="Verdana" w:hAnsi="Verdana" w:cs="Traditional Arabic"/>
                <w:bCs/>
                <w:sz w:val="19"/>
                <w:szCs w:val="30"/>
                <w:rtl/>
                <w:lang w:val="en-US" w:bidi="ar-EG"/>
              </w:rPr>
              <w:t>الجلسة العامة</w:t>
            </w:r>
          </w:p>
        </w:tc>
        <w:tc>
          <w:tcPr>
            <w:tcW w:w="1572" w:type="pct"/>
            <w:gridSpan w:val="2"/>
            <w:vAlign w:val="center"/>
          </w:tcPr>
          <w:p w:rsidR="0022345D" w:rsidRPr="009E0849" w:rsidRDefault="0022345D" w:rsidP="009E0849">
            <w:pPr>
              <w:pStyle w:val="Adress"/>
              <w:framePr w:hSpace="0" w:wrap="auto" w:xAlign="left" w:yAlign="inline"/>
              <w:spacing w:before="0" w:line="340" w:lineRule="exact"/>
              <w:rPr>
                <w:rFonts w:ascii="Verdana" w:hAnsi="Verdana"/>
              </w:rPr>
            </w:pPr>
            <w:r w:rsidRPr="009E0849">
              <w:rPr>
                <w:rFonts w:ascii="Verdana" w:hAnsi="Verdana"/>
                <w:rtl/>
              </w:rPr>
              <w:t xml:space="preserve">الإضافة </w:t>
            </w:r>
            <w:r w:rsidRPr="009E0849">
              <w:rPr>
                <w:rFonts w:ascii="Verdana" w:hAnsi="Verdana"/>
              </w:rPr>
              <w:t>26</w:t>
            </w:r>
            <w:r w:rsidRPr="009E0849">
              <w:rPr>
                <w:rFonts w:ascii="Verdana" w:hAnsi="Verdana"/>
              </w:rPr>
              <w:br/>
            </w:r>
            <w:r w:rsidRPr="009E0849">
              <w:rPr>
                <w:rFonts w:ascii="Verdana" w:hAnsi="Verdana"/>
                <w:rtl/>
              </w:rPr>
              <w:t xml:space="preserve">للوثيقة </w:t>
            </w:r>
            <w:r w:rsidR="009E0849">
              <w:rPr>
                <w:rFonts w:ascii="Verdana" w:hAnsi="Verdana"/>
              </w:rPr>
              <w:t>46-A</w:t>
            </w:r>
          </w:p>
        </w:tc>
      </w:tr>
      <w:tr w:rsidR="0022345D" w:rsidRPr="009E0849" w:rsidTr="00A25A43">
        <w:trPr>
          <w:cantSplit/>
          <w:jc w:val="right"/>
        </w:trPr>
        <w:tc>
          <w:tcPr>
            <w:tcW w:w="3428" w:type="pct"/>
            <w:gridSpan w:val="2"/>
          </w:tcPr>
          <w:p w:rsidR="0022345D" w:rsidRPr="009E0849" w:rsidRDefault="0022345D" w:rsidP="009E0849">
            <w:pPr>
              <w:pStyle w:val="Adress"/>
              <w:framePr w:hSpace="0" w:wrap="auto" w:xAlign="left" w:yAlign="inline"/>
              <w:spacing w:before="0" w:line="340" w:lineRule="exact"/>
              <w:rPr>
                <w:rFonts w:ascii="Verdana" w:hAnsi="Verdana"/>
                <w:rtl/>
              </w:rPr>
            </w:pPr>
          </w:p>
        </w:tc>
        <w:tc>
          <w:tcPr>
            <w:tcW w:w="1572" w:type="pct"/>
            <w:gridSpan w:val="2"/>
            <w:vAlign w:val="center"/>
          </w:tcPr>
          <w:p w:rsidR="0022345D" w:rsidRPr="009E0849" w:rsidRDefault="0022345D" w:rsidP="009E0849">
            <w:pPr>
              <w:pStyle w:val="Adress"/>
              <w:framePr w:hSpace="0" w:wrap="auto" w:xAlign="left" w:yAlign="inline"/>
              <w:spacing w:before="0" w:line="340" w:lineRule="exact"/>
              <w:rPr>
                <w:rFonts w:ascii="Verdana" w:hAnsi="Verdana"/>
                <w:rtl/>
              </w:rPr>
            </w:pPr>
            <w:r w:rsidRPr="009E0849">
              <w:rPr>
                <w:rFonts w:ascii="Verdana" w:eastAsia="SimSun" w:hAnsi="Verdana"/>
              </w:rPr>
              <w:t>23</w:t>
            </w:r>
            <w:r w:rsidRPr="009E0849">
              <w:rPr>
                <w:rFonts w:ascii="Verdana" w:eastAsia="SimSun" w:hAnsi="Verdana"/>
                <w:rtl/>
              </w:rPr>
              <w:t xml:space="preserve"> سبتمبر </w:t>
            </w:r>
            <w:r w:rsidRPr="009E0849">
              <w:rPr>
                <w:rFonts w:ascii="Verdana" w:eastAsia="SimSun" w:hAnsi="Verdana"/>
              </w:rPr>
              <w:t>2016</w:t>
            </w:r>
          </w:p>
        </w:tc>
      </w:tr>
      <w:tr w:rsidR="0022345D" w:rsidRPr="009E0849" w:rsidTr="00A25A43">
        <w:trPr>
          <w:cantSplit/>
          <w:jc w:val="right"/>
        </w:trPr>
        <w:tc>
          <w:tcPr>
            <w:tcW w:w="3428" w:type="pct"/>
            <w:gridSpan w:val="2"/>
          </w:tcPr>
          <w:p w:rsidR="0022345D" w:rsidRPr="009E0849" w:rsidRDefault="0022345D" w:rsidP="009E0849">
            <w:pPr>
              <w:pStyle w:val="Adress"/>
              <w:framePr w:hSpace="0" w:wrap="auto" w:xAlign="left" w:yAlign="inline"/>
              <w:spacing w:before="0" w:line="340" w:lineRule="exact"/>
              <w:rPr>
                <w:rFonts w:ascii="Verdana" w:hAnsi="Verdana"/>
              </w:rPr>
            </w:pPr>
          </w:p>
        </w:tc>
        <w:tc>
          <w:tcPr>
            <w:tcW w:w="1572" w:type="pct"/>
            <w:gridSpan w:val="2"/>
            <w:vAlign w:val="center"/>
          </w:tcPr>
          <w:p w:rsidR="0022345D" w:rsidRPr="009E0849" w:rsidRDefault="0022345D" w:rsidP="009E0849">
            <w:pPr>
              <w:pStyle w:val="Adress"/>
              <w:framePr w:hSpace="0" w:wrap="auto" w:xAlign="left" w:yAlign="inline"/>
              <w:spacing w:before="0" w:line="340" w:lineRule="exact"/>
              <w:rPr>
                <w:rFonts w:ascii="Verdana" w:eastAsia="SimSun" w:hAnsi="Verdana"/>
              </w:rPr>
            </w:pPr>
            <w:r w:rsidRPr="009E0849">
              <w:rPr>
                <w:rFonts w:ascii="Verdana" w:eastAsia="SimSun" w:hAnsi="Verdana"/>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B563BB">
            <w:pPr>
              <w:pStyle w:val="Source"/>
              <w:rPr>
                <w:rtl/>
              </w:rPr>
            </w:pPr>
            <w:r w:rsidRPr="008204AC">
              <w:rPr>
                <w:rtl/>
              </w:rPr>
              <w:t xml:space="preserve">الدول الأعضاء في لجنة البلدان الأمريكية للاتصالات </w:t>
            </w:r>
            <w:r w:rsidR="00B563BB">
              <w:t>(CITEL)</w:t>
            </w:r>
          </w:p>
        </w:tc>
      </w:tr>
      <w:tr w:rsidR="0022345D" w:rsidRPr="00E07379" w:rsidTr="00CC43BE">
        <w:trPr>
          <w:cantSplit/>
          <w:trHeight w:val="567"/>
          <w:jc w:val="right"/>
        </w:trPr>
        <w:tc>
          <w:tcPr>
            <w:tcW w:w="5000" w:type="pct"/>
            <w:gridSpan w:val="4"/>
          </w:tcPr>
          <w:p w:rsidR="0022345D" w:rsidRPr="00BD6EF3" w:rsidRDefault="009E0849" w:rsidP="007D2D35">
            <w:pPr>
              <w:pStyle w:val="Title1"/>
              <w:spacing w:before="240"/>
              <w:rPr>
                <w:rtl/>
              </w:rPr>
            </w:pPr>
            <w:r>
              <w:rPr>
                <w:rFonts w:hint="cs"/>
                <w:rtl/>
              </w:rPr>
              <w:t xml:space="preserve">اقتراح </w:t>
            </w:r>
            <w:r w:rsidR="00F655BD">
              <w:rPr>
                <w:rFonts w:hint="cs"/>
                <w:rtl/>
              </w:rPr>
              <w:t>ب</w:t>
            </w:r>
            <w:r>
              <w:rPr>
                <w:rFonts w:hint="cs"/>
                <w:rtl/>
              </w:rPr>
              <w:t>إلغاء القرار </w:t>
            </w:r>
            <w:r>
              <w:t>33</w:t>
            </w:r>
            <w:r>
              <w:rPr>
                <w:rFonts w:hint="cs"/>
                <w:rtl/>
              </w:rPr>
              <w:t xml:space="preserve"> للجمعية العالمية لتقييس الاتصالات</w:t>
            </w:r>
            <w:r w:rsidR="007D2D35">
              <w:rPr>
                <w:rFonts w:hint="cs"/>
                <w:rtl/>
              </w:rPr>
              <w:t xml:space="preserve"> لعام </w:t>
            </w:r>
            <w:r w:rsidR="007D2D35">
              <w:t>2012</w:t>
            </w:r>
            <w:r>
              <w:rPr>
                <w:rFonts w:hint="cs"/>
                <w:rtl/>
              </w:rPr>
              <w:t> </w:t>
            </w:r>
            <w:r>
              <w:t>(WTSA</w:t>
            </w:r>
            <w:r>
              <w:noBreakHyphen/>
              <w:t>12)</w:t>
            </w:r>
            <w:r>
              <w:rPr>
                <w:rFonts w:hint="eastAsia"/>
                <w:rtl/>
              </w:rPr>
              <w:t> </w:t>
            </w:r>
            <w:r>
              <w:rPr>
                <w:rtl/>
              </w:rPr>
              <w:noBreakHyphen/>
            </w:r>
            <w:r w:rsidR="007D2D35">
              <w:rPr>
                <w:rFonts w:hint="cs"/>
                <w:rtl/>
              </w:rPr>
              <w:t xml:space="preserve"> </w:t>
            </w:r>
            <w:r>
              <w:rPr>
                <w:rFonts w:hint="cs"/>
                <w:rtl/>
              </w:rPr>
              <w:t>مبادئ توجيهية بشأن الأنشطة الاستراتيجية</w:t>
            </w:r>
            <w:r w:rsidR="007D2D35">
              <w:rPr>
                <w:rtl/>
              </w:rPr>
              <w:br/>
            </w:r>
            <w:r>
              <w:rPr>
                <w:rFonts w:hint="cs"/>
                <w:rtl/>
              </w:rPr>
              <w:t>لقطاع تقييس الاتصالات</w:t>
            </w:r>
            <w:r w:rsidR="007D2D35">
              <w:rPr>
                <w:rFonts w:hint="cs"/>
                <w:rtl/>
              </w:rPr>
              <w:t xml:space="preserve"> </w:t>
            </w:r>
            <w:r>
              <w:rPr>
                <w:rFonts w:hint="cs"/>
                <w:rtl/>
              </w:rPr>
              <w:t>للات</w:t>
            </w:r>
            <w:r w:rsidR="000F3E14">
              <w:rPr>
                <w:rFonts w:hint="cs"/>
                <w:rtl/>
              </w:rPr>
              <w:t>‍</w:t>
            </w:r>
            <w:r>
              <w:rPr>
                <w:rFonts w:hint="cs"/>
                <w:rtl/>
              </w:rPr>
              <w:t>حاد الدولي للاتصالات</w:t>
            </w:r>
          </w:p>
        </w:tc>
      </w:tr>
      <w:tr w:rsidR="0022345D" w:rsidRPr="00E07379" w:rsidTr="00CC43BE">
        <w:trPr>
          <w:cantSplit/>
          <w:trHeight w:val="844"/>
          <w:jc w:val="right"/>
        </w:trPr>
        <w:tc>
          <w:tcPr>
            <w:tcW w:w="5000" w:type="pct"/>
            <w:gridSpan w:val="4"/>
          </w:tcPr>
          <w:p w:rsidR="0022345D" w:rsidRPr="00BD6EF3" w:rsidRDefault="0022345D" w:rsidP="00A25A43">
            <w:pPr>
              <w:pStyle w:val="Title2"/>
              <w:rPr>
                <w:rtl/>
              </w:rPr>
            </w:pP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1763F7">
        <w:trPr>
          <w:cantSplit/>
          <w:jc w:val="right"/>
        </w:trPr>
        <w:tc>
          <w:tcPr>
            <w:tcW w:w="8506" w:type="dxa"/>
          </w:tcPr>
          <w:p w:rsidR="006157A3" w:rsidRPr="00984EA5" w:rsidRDefault="009E0849" w:rsidP="00984EA5">
            <w:pPr>
              <w:rPr>
                <w:rtl/>
                <w:lang w:bidi="ar-EG"/>
              </w:rPr>
            </w:pPr>
            <w:r>
              <w:rPr>
                <w:rFonts w:hint="cs"/>
                <w:rtl/>
              </w:rPr>
              <w:t>تقترح هذه المساهمة إلغاء القرار </w:t>
            </w:r>
            <w:r>
              <w:t>33</w:t>
            </w:r>
            <w:r>
              <w:rPr>
                <w:rFonts w:hint="cs"/>
                <w:rtl/>
                <w:lang w:bidi="ar-EG"/>
              </w:rPr>
              <w:t xml:space="preserve"> للجمعية العالمية لتقييس الاتصالات </w:t>
            </w:r>
            <w:r>
              <w:rPr>
                <w:lang w:bidi="ar-EG"/>
              </w:rPr>
              <w:t>(WTSA</w:t>
            </w:r>
            <w:r>
              <w:rPr>
                <w:lang w:bidi="ar-EG"/>
              </w:rPr>
              <w:noBreakHyphen/>
              <w:t>12)</w:t>
            </w:r>
            <w:r>
              <w:rPr>
                <w:rFonts w:hint="cs"/>
                <w:rtl/>
                <w:lang w:bidi="ar-EG"/>
              </w:rPr>
              <w:t xml:space="preserve"> - مبادئ توجيهية بشأن الأنشطة الاستراتيجية لقطاع تقييس الاتصالات للاتحاد الدولي للاتصالات</w:t>
            </w:r>
            <w:r w:rsidR="006A5A26">
              <w:rPr>
                <w:rFonts w:hint="cs"/>
                <w:rtl/>
                <w:lang w:bidi="ar-EG"/>
              </w:rPr>
              <w:t>.</w:t>
            </w:r>
            <w:bookmarkStart w:id="0" w:name="_GoBack"/>
            <w:bookmarkEnd w:id="0"/>
          </w:p>
        </w:tc>
        <w:tc>
          <w:tcPr>
            <w:tcW w:w="1058"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0F3E14" w:rsidRDefault="000F3E14" w:rsidP="000F3E14">
      <w:pPr>
        <w:rPr>
          <w:rtl/>
        </w:rPr>
      </w:pPr>
    </w:p>
    <w:p w:rsidR="001763F7" w:rsidRDefault="001763F7" w:rsidP="001763F7">
      <w:pPr>
        <w:pStyle w:val="Headingb"/>
        <w:rPr>
          <w:rtl/>
        </w:rPr>
      </w:pPr>
      <w:r>
        <w:rPr>
          <w:rFonts w:hint="cs"/>
          <w:rtl/>
        </w:rPr>
        <w:t>مناقشة</w:t>
      </w:r>
    </w:p>
    <w:p w:rsidR="001763F7" w:rsidRPr="00C367E0" w:rsidRDefault="001763F7" w:rsidP="009C47DB">
      <w:pPr>
        <w:rPr>
          <w:noProof/>
          <w:rtl/>
          <w:lang w:bidi="ar-EG"/>
        </w:rPr>
      </w:pPr>
      <w:r>
        <w:rPr>
          <w:rFonts w:hint="cs"/>
          <w:rtl/>
        </w:rPr>
        <w:t>في فقرة "</w:t>
      </w:r>
      <w:r w:rsidR="00C13BD5">
        <w:rPr>
          <w:rFonts w:hint="eastAsia"/>
          <w:rtl/>
        </w:rPr>
        <w:t> </w:t>
      </w:r>
      <w:r w:rsidRPr="00C13BD5">
        <w:rPr>
          <w:rFonts w:hint="cs"/>
          <w:i/>
          <w:iCs/>
          <w:rtl/>
        </w:rPr>
        <w:t>تُقرِّر أن تدعو الدول الأعضاء وأعضاء القطاع</w:t>
      </w:r>
      <w:r>
        <w:rPr>
          <w:rFonts w:hint="cs"/>
          <w:rtl/>
        </w:rPr>
        <w:t xml:space="preserve">" </w:t>
      </w:r>
      <w:r w:rsidRPr="00553789">
        <w:rPr>
          <w:rFonts w:hint="cs"/>
          <w:rtl/>
        </w:rPr>
        <w:t xml:space="preserve">من منطوق القرار </w:t>
      </w:r>
      <w:r w:rsidRPr="00553789">
        <w:t>33</w:t>
      </w:r>
      <w:r w:rsidRPr="00553789">
        <w:rPr>
          <w:rFonts w:hint="cs"/>
          <w:rtl/>
        </w:rPr>
        <w:t xml:space="preserve">، </w:t>
      </w:r>
      <w:r w:rsidRPr="00553789">
        <w:rPr>
          <w:rFonts w:hint="cs"/>
          <w:noProof/>
          <w:rtl/>
          <w:lang w:bidi="ar-EG"/>
        </w:rPr>
        <w:t>يُطلب إلى الدول الأعضاء</w:t>
      </w:r>
      <w:r w:rsidRPr="00553789">
        <w:rPr>
          <w:noProof/>
          <w:rtl/>
          <w:lang w:bidi="ar-EG"/>
        </w:rPr>
        <w:t xml:space="preserve"> مواصلة المساهمة بأفكارها </w:t>
      </w:r>
      <w:r w:rsidRPr="00467808">
        <w:rPr>
          <w:rFonts w:hint="cs"/>
          <w:noProof/>
          <w:rtl/>
          <w:lang w:bidi="ar-EG"/>
        </w:rPr>
        <w:t>بشأن</w:t>
      </w:r>
      <w:r w:rsidRPr="00553789">
        <w:rPr>
          <w:noProof/>
          <w:rtl/>
          <w:lang w:bidi="ar-EG"/>
        </w:rPr>
        <w:t> الخطة الاستراتيجية والأولويا</w:t>
      </w:r>
      <w:r>
        <w:rPr>
          <w:i/>
          <w:iCs/>
          <w:noProof/>
          <w:rtl/>
          <w:lang w:bidi="ar-EG"/>
        </w:rPr>
        <w:t xml:space="preserve">ت </w:t>
      </w:r>
      <w:r w:rsidRPr="00E93951">
        <w:rPr>
          <w:noProof/>
          <w:rtl/>
          <w:lang w:bidi="ar-EG"/>
        </w:rPr>
        <w:t>الخاصة بقطاع تقييس الاتصالات</w:t>
      </w:r>
      <w:r>
        <w:rPr>
          <w:i/>
          <w:iCs/>
          <w:noProof/>
          <w:rtl/>
          <w:lang w:bidi="ar-EG"/>
        </w:rPr>
        <w:t xml:space="preserve"> </w:t>
      </w:r>
      <w:r w:rsidRPr="00553789">
        <w:rPr>
          <w:noProof/>
          <w:rtl/>
          <w:lang w:bidi="ar-EG"/>
        </w:rPr>
        <w:t>في عملية التخطيط الاستراتيجي التي يقوم بها الفريق الاستشاري لتقييس الاتصالات</w:t>
      </w:r>
      <w:r w:rsidRPr="00553789">
        <w:rPr>
          <w:rFonts w:hint="cs"/>
          <w:noProof/>
          <w:rtl/>
          <w:lang w:bidi="ar-EG"/>
        </w:rPr>
        <w:t>. بالإضافة إلى ذلك، يكلف</w:t>
      </w:r>
      <w:r w:rsidRPr="00553789">
        <w:rPr>
          <w:rtl/>
        </w:rPr>
        <w:t xml:space="preserve"> الفريق الاستشاري لتقييس الاتصالات</w:t>
      </w:r>
      <w:r>
        <w:rPr>
          <w:rFonts w:hint="cs"/>
          <w:rtl/>
        </w:rPr>
        <w:t xml:space="preserve"> </w:t>
      </w:r>
      <w:r w:rsidRPr="00553789">
        <w:rPr>
          <w:noProof/>
          <w:rtl/>
          <w:lang w:bidi="ar-EG"/>
        </w:rPr>
        <w:t xml:space="preserve">بمتابعة أعمال القطاع في فترة </w:t>
      </w:r>
      <w:r w:rsidRPr="00553789">
        <w:rPr>
          <w:rFonts w:hint="cs"/>
          <w:noProof/>
          <w:rtl/>
          <w:lang w:bidi="ar-EG"/>
        </w:rPr>
        <w:t>د</w:t>
      </w:r>
      <w:r w:rsidRPr="00553789">
        <w:rPr>
          <w:noProof/>
          <w:rtl/>
          <w:lang w:bidi="ar-EG"/>
        </w:rPr>
        <w:t xml:space="preserve">راسة </w:t>
      </w:r>
      <w:r w:rsidRPr="00553789">
        <w:rPr>
          <w:rFonts w:hint="cs"/>
          <w:noProof/>
          <w:rtl/>
          <w:lang w:bidi="ar-EG"/>
        </w:rPr>
        <w:t>معينة</w:t>
      </w:r>
      <w:r w:rsidRPr="00553789">
        <w:rPr>
          <w:noProof/>
          <w:rtl/>
          <w:lang w:bidi="ar-EG"/>
        </w:rPr>
        <w:t xml:space="preserve"> في ضوء الخطة الاستراتيجية المعتمدة في القرار</w:t>
      </w:r>
      <w:r w:rsidRPr="00553789">
        <w:rPr>
          <w:rFonts w:hint="cs"/>
          <w:noProof/>
          <w:rtl/>
          <w:lang w:bidi="ar-EG"/>
        </w:rPr>
        <w:t> </w:t>
      </w:r>
      <w:r w:rsidRPr="00553789">
        <w:rPr>
          <w:noProof/>
          <w:lang w:bidi="ar-EG"/>
        </w:rPr>
        <w:t>71</w:t>
      </w:r>
      <w:r w:rsidRPr="00553789">
        <w:rPr>
          <w:noProof/>
          <w:rtl/>
          <w:lang w:bidi="ar-EG"/>
        </w:rPr>
        <w:t xml:space="preserve"> </w:t>
      </w:r>
      <w:r w:rsidRPr="00553789">
        <w:rPr>
          <w:rFonts w:hint="cs"/>
          <w:noProof/>
          <w:rtl/>
          <w:lang w:bidi="ar-EG"/>
        </w:rPr>
        <w:t>الصادر عن مؤتمر المندوبين المفوضين.</w:t>
      </w:r>
    </w:p>
    <w:p w:rsidR="001763F7" w:rsidRDefault="001763F7" w:rsidP="00CA15ED">
      <w:pPr>
        <w:rPr>
          <w:rtl/>
          <w:lang w:bidi="ar-EG"/>
        </w:rPr>
      </w:pPr>
      <w:r>
        <w:rPr>
          <w:rFonts w:hint="cs"/>
          <w:rtl/>
          <w:lang w:bidi="ar-EG"/>
        </w:rPr>
        <w:t>وبإنشاء فريق المقرر التابع للفريق الاستشاري لتقييس الاتصالات المعني بالخطة الاستراتيجية والخطة التشغيلية، والمسؤول عن استعراض الخطط التشغيلية لقطاع تقييس الاتصالات المقرر رفعها سنوياً إلى مجلس الاتحاد لكي يوافق عليها، وكذلك عن المساهمة في</w:t>
      </w:r>
      <w:r w:rsidR="00CA15ED">
        <w:rPr>
          <w:rFonts w:hint="eastAsia"/>
          <w:rtl/>
          <w:lang w:bidi="ar-EG"/>
        </w:rPr>
        <w:t> </w:t>
      </w:r>
      <w:r>
        <w:rPr>
          <w:rFonts w:hint="cs"/>
          <w:rtl/>
          <w:lang w:bidi="ar-EG"/>
        </w:rPr>
        <w:t xml:space="preserve">الخطة الاستراتيجية للقطاع لكي تنظر فيها مؤتمرات المندوبين المفوضين التي تعقد كل أربع سنوات من أجل اعتمادها، يكون </w:t>
      </w:r>
      <w:r w:rsidR="00CD5CC3">
        <w:rPr>
          <w:rFonts w:hint="cs"/>
          <w:rtl/>
          <w:lang w:bidi="ar-EG"/>
        </w:rPr>
        <w:t>الفريق</w:t>
      </w:r>
      <w:r>
        <w:rPr>
          <w:rFonts w:hint="cs"/>
          <w:rtl/>
          <w:lang w:bidi="ar-EG"/>
        </w:rPr>
        <w:t xml:space="preserve"> </w:t>
      </w:r>
      <w:r>
        <w:rPr>
          <w:rFonts w:hint="cs"/>
          <w:rtl/>
          <w:lang w:bidi="ar-EG"/>
        </w:rPr>
        <w:lastRenderedPageBreak/>
        <w:t xml:space="preserve">الاستشاري قد وفى بمسؤولياته بموجب الأحكام </w:t>
      </w:r>
      <w:r>
        <w:rPr>
          <w:color w:val="000000"/>
          <w:rtl/>
        </w:rPr>
        <w:t>المنصوص عليها في هذا القرار</w:t>
      </w:r>
      <w:r>
        <w:rPr>
          <w:rFonts w:hint="cs"/>
          <w:color w:val="000000"/>
          <w:rtl/>
        </w:rPr>
        <w:t xml:space="preserve"> بتوفير الفرصة للأعضاء للمساهمة في عمليات </w:t>
      </w:r>
      <w:r>
        <w:rPr>
          <w:rFonts w:hint="cs"/>
          <w:rtl/>
          <w:lang w:bidi="ar-EG"/>
        </w:rPr>
        <w:t>الخطة التشغيلية</w:t>
      </w:r>
      <w:r>
        <w:rPr>
          <w:rFonts w:hint="cs"/>
          <w:color w:val="000000"/>
          <w:rtl/>
        </w:rPr>
        <w:t xml:space="preserve"> </w:t>
      </w:r>
      <w:r>
        <w:rPr>
          <w:rFonts w:hint="cs"/>
          <w:rtl/>
          <w:lang w:bidi="ar-EG"/>
        </w:rPr>
        <w:t>والخطة الاستراتيجية. وعلاوة</w:t>
      </w:r>
      <w:r w:rsidR="00B563BB">
        <w:rPr>
          <w:rFonts w:hint="cs"/>
          <w:rtl/>
          <w:lang w:bidi="ar-EG"/>
        </w:rPr>
        <w:t>ً</w:t>
      </w:r>
      <w:r>
        <w:rPr>
          <w:rFonts w:hint="cs"/>
          <w:rtl/>
          <w:lang w:bidi="ar-EG"/>
        </w:rPr>
        <w:t xml:space="preserve"> على ذلك، فبإنشاء فريق مقرر جديد تابع للفريق الاستشاري لتقييس الاتصالات ومعني بوظيفة التقييس الاستراتيجية من أجل استعراض وتقييم ساحة التقييس المتطورة، وتقديم توصيات </w:t>
      </w:r>
      <w:r w:rsidR="00270325">
        <w:rPr>
          <w:rFonts w:hint="cs"/>
          <w:rtl/>
          <w:lang w:bidi="ar-EG"/>
        </w:rPr>
        <w:t>للفريق</w:t>
      </w:r>
      <w:r>
        <w:rPr>
          <w:rFonts w:hint="cs"/>
          <w:rtl/>
          <w:lang w:bidi="ar-EG"/>
        </w:rPr>
        <w:t xml:space="preserve"> الاستشاري بشأن تأثير هذه التغييرات على أولويات القطاع وبرنامج العمل ككل، تكون جميع الجوانب المحددة في القرار قد عولجت.</w:t>
      </w:r>
    </w:p>
    <w:p w:rsidR="001763F7" w:rsidRDefault="001763F7" w:rsidP="001763F7">
      <w:pPr>
        <w:pStyle w:val="Headingb"/>
        <w:rPr>
          <w:rtl/>
        </w:rPr>
      </w:pPr>
      <w:r>
        <w:rPr>
          <w:rFonts w:hint="cs"/>
          <w:rtl/>
        </w:rPr>
        <w:t>المقترح</w:t>
      </w:r>
    </w:p>
    <w:p w:rsidR="001763F7" w:rsidRDefault="001763F7" w:rsidP="001763F7">
      <w:pPr>
        <w:rPr>
          <w:rtl/>
          <w:lang w:bidi="ar-EG"/>
        </w:rPr>
      </w:pPr>
      <w:r>
        <w:rPr>
          <w:rFonts w:hint="cs"/>
          <w:rtl/>
        </w:rPr>
        <w:t xml:space="preserve">ينبغي إلغاء القرار </w:t>
      </w:r>
      <w:r>
        <w:t>33</w:t>
      </w:r>
      <w:r>
        <w:rPr>
          <w:rFonts w:hint="cs"/>
          <w:rtl/>
          <w:lang w:bidi="ar-EG"/>
        </w:rPr>
        <w:t xml:space="preserve"> - </w:t>
      </w:r>
      <w:r w:rsidRPr="00D7730C">
        <w:rPr>
          <w:noProof/>
          <w:rtl/>
          <w:lang w:bidi="ar-EG"/>
        </w:rPr>
        <w:t>مبادئ توجيهية بشأن الأنشطة الاستراتيجية</w:t>
      </w:r>
      <w:r>
        <w:rPr>
          <w:rFonts w:hint="cs"/>
          <w:noProof/>
          <w:rtl/>
          <w:lang w:bidi="ar-EG"/>
        </w:rPr>
        <w:t xml:space="preserve"> </w:t>
      </w:r>
      <w:r w:rsidRPr="00D7730C">
        <w:rPr>
          <w:noProof/>
          <w:rtl/>
          <w:lang w:bidi="ar-EG"/>
        </w:rPr>
        <w:t>لقطاع تقييس الاتصالات</w:t>
      </w:r>
      <w:r>
        <w:rPr>
          <w:rFonts w:hint="cs"/>
          <w:noProof/>
          <w:rtl/>
          <w:lang w:bidi="ar-EG"/>
        </w:rPr>
        <w:t xml:space="preserve"> للاتحاد الدولي للاتصالات.</w:t>
      </w:r>
    </w:p>
    <w:p w:rsidR="009E0849" w:rsidRDefault="009E0849" w:rsidP="009E0849">
      <w:pPr>
        <w:rPr>
          <w:rtl/>
          <w:lang w:bidi="ar-EG"/>
        </w:rPr>
      </w:pPr>
    </w:p>
    <w:p w:rsidR="00C82615" w:rsidRDefault="00C82615" w:rsidP="009E0849">
      <w:r>
        <w:br w:type="page"/>
      </w:r>
    </w:p>
    <w:p w:rsidR="00F4022F" w:rsidRDefault="00270325">
      <w:pPr>
        <w:pStyle w:val="Proposal"/>
      </w:pPr>
      <w:r>
        <w:lastRenderedPageBreak/>
        <w:t>SUP</w:t>
      </w:r>
      <w:r>
        <w:tab/>
        <w:t>IAP/46A26/1</w:t>
      </w:r>
    </w:p>
    <w:p w:rsidR="00973933" w:rsidRPr="001E6837" w:rsidRDefault="00270325" w:rsidP="006E45F8">
      <w:pPr>
        <w:pStyle w:val="ResNo"/>
        <w:rPr>
          <w:rtl/>
          <w:lang w:bidi="ar-SY"/>
        </w:rPr>
      </w:pPr>
      <w:bookmarkStart w:id="1" w:name="_Toc349551565"/>
      <w:r w:rsidRPr="00D7730C">
        <w:rPr>
          <w:rFonts w:hint="cs"/>
          <w:rtl/>
        </w:rPr>
        <w:t>ال</w:t>
      </w:r>
      <w:r w:rsidRPr="00D7730C">
        <w:rPr>
          <w:rtl/>
        </w:rPr>
        <w:t>ق</w:t>
      </w:r>
      <w:r w:rsidRPr="00D7730C">
        <w:rPr>
          <w:rFonts w:hint="cs"/>
          <w:rtl/>
        </w:rPr>
        <w:t>ـ</w:t>
      </w:r>
      <w:r w:rsidRPr="00D7730C">
        <w:rPr>
          <w:rtl/>
        </w:rPr>
        <w:t xml:space="preserve">رار </w:t>
      </w:r>
      <w:r w:rsidRPr="00687D9E">
        <w:rPr>
          <w:rStyle w:val="href"/>
        </w:rPr>
        <w:t>33</w:t>
      </w:r>
      <w:r>
        <w:rPr>
          <w:rFonts w:hint="cs"/>
          <w:rtl/>
        </w:rPr>
        <w:t xml:space="preserve"> (المراجَع في دبي، </w:t>
      </w:r>
      <w:r>
        <w:t>2012</w:t>
      </w:r>
      <w:r>
        <w:rPr>
          <w:rFonts w:hint="cs"/>
          <w:rtl/>
          <w:lang w:bidi="ar-SY"/>
        </w:rPr>
        <w:t>)</w:t>
      </w:r>
      <w:bookmarkEnd w:id="1"/>
    </w:p>
    <w:p w:rsidR="00973933" w:rsidRPr="00D7730C" w:rsidRDefault="00270325" w:rsidP="00973933">
      <w:pPr>
        <w:pStyle w:val="Restitle"/>
        <w:keepLines/>
        <w:rPr>
          <w:b w:val="0"/>
          <w:bCs w:val="0"/>
          <w:noProof/>
          <w:rtl/>
          <w:lang w:bidi="ar-EG"/>
        </w:rPr>
      </w:pPr>
      <w:bookmarkStart w:id="2" w:name="_Toc219803529"/>
      <w:bookmarkStart w:id="3" w:name="_Toc349551566"/>
      <w:r w:rsidRPr="00D7730C">
        <w:rPr>
          <w:noProof/>
          <w:rtl/>
          <w:lang w:bidi="ar-EG"/>
        </w:rPr>
        <w:t>مبادئ توجيهية بشأن الأنشطة الاستراتيجية</w:t>
      </w:r>
      <w:r>
        <w:rPr>
          <w:rFonts w:hint="cs"/>
          <w:noProof/>
          <w:rtl/>
          <w:lang w:bidi="ar-EG"/>
        </w:rPr>
        <w:br/>
      </w:r>
      <w:r w:rsidRPr="00D7730C">
        <w:rPr>
          <w:noProof/>
          <w:rtl/>
          <w:lang w:bidi="ar-EG"/>
        </w:rPr>
        <w:t>لقطاع تقييس الاتصالات</w:t>
      </w:r>
      <w:bookmarkEnd w:id="2"/>
      <w:r>
        <w:rPr>
          <w:rFonts w:hint="cs"/>
          <w:noProof/>
          <w:rtl/>
          <w:lang w:bidi="ar-EG"/>
        </w:rPr>
        <w:t xml:space="preserve"> للاتحاد الدولي للاتصالات</w:t>
      </w:r>
      <w:bookmarkEnd w:id="3"/>
    </w:p>
    <w:p w:rsidR="00973933" w:rsidRPr="00E1343D" w:rsidRDefault="00270325" w:rsidP="00E1343D">
      <w:pPr>
        <w:pStyle w:val="Resref"/>
        <w:spacing w:after="360"/>
        <w:rPr>
          <w:rFonts w:ascii="Times New Roman italic" w:hAnsi="Times New Roman italic"/>
          <w:iCs/>
          <w:rtl/>
          <w:lang w:val="es-ES"/>
        </w:rPr>
      </w:pPr>
      <w:r w:rsidRPr="00E1343D">
        <w:rPr>
          <w:rFonts w:ascii="Times New Roman italic" w:hAnsi="Times New Roman italic"/>
          <w:iCs/>
          <w:rtl/>
          <w:lang w:val="es-ES"/>
        </w:rPr>
        <w:t xml:space="preserve">(مونتريال، </w:t>
      </w:r>
      <w:r w:rsidRPr="00E1343D">
        <w:rPr>
          <w:rFonts w:ascii="Times New Roman italic" w:hAnsi="Times New Roman italic"/>
          <w:iCs/>
          <w:lang w:val="es-ES"/>
        </w:rPr>
        <w:t>2000</w:t>
      </w:r>
      <w:r w:rsidRPr="00E1343D">
        <w:rPr>
          <w:rFonts w:ascii="Times New Roman italic" w:hAnsi="Times New Roman italic"/>
          <w:iCs/>
          <w:rtl/>
          <w:lang w:val="es-ES"/>
        </w:rPr>
        <w:t xml:space="preserve">؛ فلوريانوبوليس، </w:t>
      </w:r>
      <w:r w:rsidRPr="00E1343D">
        <w:rPr>
          <w:rFonts w:ascii="Times New Roman italic" w:hAnsi="Times New Roman italic"/>
          <w:iCs/>
          <w:lang w:val="es-ES"/>
        </w:rPr>
        <w:t>2004</w:t>
      </w:r>
      <w:r w:rsidRPr="00E1343D">
        <w:rPr>
          <w:rFonts w:ascii="Times New Roman italic" w:hAnsi="Times New Roman italic"/>
          <w:iCs/>
          <w:rtl/>
          <w:lang w:val="es-ES"/>
        </w:rPr>
        <w:t>؛ جوهانسبرغ،</w:t>
      </w:r>
      <w:r w:rsidRPr="00E1343D">
        <w:rPr>
          <w:rFonts w:ascii="Times New Roman italic" w:hAnsi="Times New Roman italic"/>
          <w:iCs/>
          <w:lang w:val="es-ES"/>
        </w:rPr>
        <w:t xml:space="preserve">2008 </w:t>
      </w:r>
      <w:r w:rsidRPr="00E1343D">
        <w:rPr>
          <w:rFonts w:ascii="Times New Roman italic" w:hAnsi="Times New Roman italic" w:hint="cs"/>
          <w:iCs/>
          <w:rtl/>
          <w:lang w:val="es-ES"/>
        </w:rPr>
        <w:t>؛ دبي، </w:t>
      </w:r>
      <w:r w:rsidRPr="00E1343D">
        <w:rPr>
          <w:rFonts w:ascii="Times New Roman italic" w:hAnsi="Times New Roman italic"/>
          <w:iCs/>
          <w:lang w:val="es-ES"/>
        </w:rPr>
        <w:t>2012</w:t>
      </w:r>
      <w:r w:rsidRPr="00E1343D">
        <w:rPr>
          <w:rFonts w:ascii="Times New Roman italic" w:hAnsi="Times New Roman italic"/>
          <w:iCs/>
          <w:rtl/>
          <w:lang w:val="es-ES"/>
        </w:rPr>
        <w:t>)</w:t>
      </w:r>
    </w:p>
    <w:p w:rsidR="00F4022F" w:rsidRDefault="00270325">
      <w:pPr>
        <w:pStyle w:val="Reasons"/>
        <w:rPr>
          <w:b w:val="0"/>
          <w:bCs w:val="0"/>
          <w:rtl/>
          <w:lang w:bidi="ar-EG"/>
        </w:rPr>
      </w:pPr>
      <w:r>
        <w:rPr>
          <w:rtl/>
        </w:rPr>
        <w:t>الأسباب:</w:t>
      </w:r>
      <w:r>
        <w:tab/>
      </w:r>
      <w:r w:rsidR="001763F7" w:rsidRPr="001763F7">
        <w:rPr>
          <w:rFonts w:hint="cs"/>
          <w:b w:val="0"/>
          <w:bCs w:val="0"/>
          <w:rtl/>
        </w:rPr>
        <w:t xml:space="preserve">انظر المناقشة والمقترح في الوثيقة </w:t>
      </w:r>
      <w:r w:rsidR="001763F7" w:rsidRPr="001763F7">
        <w:rPr>
          <w:b w:val="0"/>
          <w:bCs w:val="0"/>
        </w:rPr>
        <w:t>46</w:t>
      </w:r>
      <w:r w:rsidR="001763F7" w:rsidRPr="001763F7">
        <w:rPr>
          <w:rFonts w:hint="cs"/>
          <w:b w:val="0"/>
          <w:bCs w:val="0"/>
          <w:rtl/>
          <w:lang w:bidi="ar-EG"/>
        </w:rPr>
        <w:t xml:space="preserve"> (الإضافة </w:t>
      </w:r>
      <w:r w:rsidR="001763F7" w:rsidRPr="001763F7">
        <w:rPr>
          <w:b w:val="0"/>
          <w:bCs w:val="0"/>
          <w:lang w:bidi="ar-EG"/>
        </w:rPr>
        <w:t>26</w:t>
      </w:r>
      <w:r w:rsidR="001763F7" w:rsidRPr="001763F7">
        <w:rPr>
          <w:rFonts w:hint="cs"/>
          <w:b w:val="0"/>
          <w:bCs w:val="0"/>
          <w:rtl/>
          <w:lang w:bidi="ar-EG"/>
        </w:rPr>
        <w:t>).</w:t>
      </w:r>
    </w:p>
    <w:p w:rsidR="00D3052F" w:rsidRPr="00D3052F" w:rsidRDefault="00D3052F" w:rsidP="00D3052F">
      <w:pPr>
        <w:pStyle w:val="Reasons"/>
        <w:rPr>
          <w:rtl/>
          <w:lang w:bidi="ar-EG"/>
        </w:rPr>
      </w:pPr>
    </w:p>
    <w:p w:rsidR="001763F7" w:rsidRPr="001763F7" w:rsidRDefault="001763F7" w:rsidP="001763F7">
      <w:pPr>
        <w:spacing w:before="600"/>
        <w:jc w:val="center"/>
        <w:rPr>
          <w:rtl/>
          <w:lang w:bidi="ar-EG"/>
        </w:rPr>
      </w:pPr>
      <w:r>
        <w:rPr>
          <w:rFonts w:hint="cs"/>
          <w:rtl/>
          <w:lang w:bidi="ar-EG"/>
        </w:rPr>
        <w:t>___________</w:t>
      </w:r>
    </w:p>
    <w:sectPr w:rsidR="001763F7" w:rsidRPr="001763F7">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9E0849"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9E0849">
      <w:rPr>
        <w:rFonts w:cs="Times New Roman"/>
        <w:sz w:val="16"/>
        <w:szCs w:val="16"/>
        <w:lang w:val="fr-CH"/>
      </w:rPr>
      <w:instrText xml:space="preserve"> FILENAME \p \* MERGEFORMAT </w:instrText>
    </w:r>
    <w:r w:rsidRPr="00E07379">
      <w:rPr>
        <w:rFonts w:cs="Times New Roman"/>
        <w:sz w:val="16"/>
        <w:szCs w:val="16"/>
      </w:rPr>
      <w:fldChar w:fldCharType="separate"/>
    </w:r>
    <w:r w:rsidR="00FD2AC4">
      <w:rPr>
        <w:rFonts w:cs="Times New Roman"/>
        <w:noProof/>
        <w:sz w:val="16"/>
        <w:szCs w:val="16"/>
        <w:lang w:val="fr-CH"/>
      </w:rPr>
      <w:t>P:\ARA\ITU-T\CONF-T\WTSA16\000\046ADD26A.docx</w:t>
    </w:r>
    <w:r w:rsidRPr="00E07379">
      <w:rPr>
        <w:rFonts w:cs="Times New Roman"/>
        <w:sz w:val="16"/>
        <w:szCs w:val="16"/>
      </w:rPr>
      <w:fldChar w:fldCharType="end"/>
    </w:r>
    <w:r w:rsidR="009E0849" w:rsidRPr="009E0849">
      <w:rPr>
        <w:rFonts w:cs="Times New Roman"/>
        <w:sz w:val="16"/>
        <w:szCs w:val="16"/>
        <w:lang w:val="fr-CH"/>
      </w:rPr>
      <w:t xml:space="preserve">   (405153)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CF755C" w:rsidRPr="000F3E14" w:rsidTr="00C43D58">
      <w:trPr>
        <w:cantSplit/>
        <w:trHeight w:val="204"/>
        <w:jc w:val="center"/>
      </w:trPr>
      <w:tc>
        <w:tcPr>
          <w:tcW w:w="1617" w:type="dxa"/>
        </w:tcPr>
        <w:p w:rsidR="00CF755C" w:rsidRPr="000F3E14" w:rsidRDefault="00CF755C" w:rsidP="00CF755C">
          <w:pPr>
            <w:pStyle w:val="Tabletext0"/>
            <w:rPr>
              <w:b/>
              <w:bCs/>
              <w:spacing w:val="0"/>
            </w:rPr>
          </w:pPr>
          <w:r w:rsidRPr="000F3E14">
            <w:rPr>
              <w:rFonts w:hint="cs"/>
              <w:b/>
              <w:bCs/>
              <w:spacing w:val="0"/>
              <w:rtl/>
            </w:rPr>
            <w:t>للاتصال:</w:t>
          </w:r>
        </w:p>
      </w:tc>
      <w:tc>
        <w:tcPr>
          <w:tcW w:w="4394" w:type="dxa"/>
        </w:tcPr>
        <w:p w:rsidR="00CF755C" w:rsidRPr="000F3E14" w:rsidRDefault="00CF755C" w:rsidP="00CF755C">
          <w:pPr>
            <w:pStyle w:val="Tabletext0"/>
            <w:rPr>
              <w:spacing w:val="0"/>
              <w:rtl/>
              <w:lang w:val="en-US" w:bidi="ar-SA"/>
            </w:rPr>
          </w:pPr>
          <w:r w:rsidRPr="000F3E14">
            <w:rPr>
              <w:rFonts w:hint="cs"/>
              <w:spacing w:val="0"/>
              <w:rtl/>
              <w:lang w:val="en-US"/>
            </w:rPr>
            <w:t>أوسكار ليون</w:t>
          </w:r>
        </w:p>
        <w:p w:rsidR="00CF755C" w:rsidRPr="000F3E14" w:rsidRDefault="00CF755C" w:rsidP="00D158F2">
          <w:pPr>
            <w:pStyle w:val="Tabletext0"/>
            <w:rPr>
              <w:spacing w:val="0"/>
              <w:highlight w:val="yellow"/>
              <w:rtl/>
            </w:rPr>
          </w:pPr>
          <w:r w:rsidRPr="000F3E14">
            <w:rPr>
              <w:spacing w:val="0"/>
              <w:position w:val="2"/>
              <w:rtl/>
              <w:lang w:bidi="ar-SA"/>
            </w:rPr>
            <w:t>لجنة البلدان الأمريكية للاتصالات</w:t>
          </w:r>
          <w:r w:rsidR="000970B5">
            <w:rPr>
              <w:rFonts w:hint="cs"/>
              <w:spacing w:val="0"/>
              <w:position w:val="2"/>
              <w:rtl/>
              <w:lang w:bidi="ar-SA"/>
            </w:rPr>
            <w:t xml:space="preserve"> </w:t>
          </w:r>
          <w:r w:rsidR="000970B5">
            <w:rPr>
              <w:spacing w:val="0"/>
              <w:position w:val="2"/>
              <w:lang w:val="en-US" w:bidi="ar-SA"/>
            </w:rPr>
            <w:t>(CITEL)</w:t>
          </w:r>
          <w:r w:rsidRPr="000F3E14">
            <w:rPr>
              <w:spacing w:val="0"/>
              <w:rtl/>
            </w:rPr>
            <w:br/>
          </w:r>
          <w:r w:rsidRPr="000F3E14">
            <w:rPr>
              <w:spacing w:val="0"/>
              <w:rtl/>
              <w:lang w:bidi="ar-SA"/>
            </w:rPr>
            <w:t>واشنطن العاصمة، الولايات المتحدة الأمريكية</w:t>
          </w:r>
        </w:p>
      </w:tc>
      <w:tc>
        <w:tcPr>
          <w:tcW w:w="3912" w:type="dxa"/>
        </w:tcPr>
        <w:p w:rsidR="00CF755C" w:rsidRPr="000F3E14" w:rsidRDefault="00CF755C" w:rsidP="00CF755C">
          <w:pPr>
            <w:pStyle w:val="Tabletext0"/>
            <w:tabs>
              <w:tab w:val="clear" w:pos="794"/>
              <w:tab w:val="clear" w:pos="2437"/>
              <w:tab w:val="left" w:pos="1161"/>
            </w:tabs>
            <w:rPr>
              <w:spacing w:val="0"/>
              <w:rtl/>
            </w:rPr>
          </w:pPr>
          <w:r w:rsidRPr="000F3E14">
            <w:rPr>
              <w:rFonts w:hint="cs"/>
              <w:spacing w:val="0"/>
              <w:rtl/>
            </w:rPr>
            <w:t>الهاتف:</w:t>
          </w:r>
          <w:r w:rsidRPr="000F3E14">
            <w:rPr>
              <w:spacing w:val="0"/>
            </w:rPr>
            <w:tab/>
          </w:r>
          <w:r w:rsidRPr="000F3E14">
            <w:rPr>
              <w:spacing w:val="0"/>
              <w:lang w:val="en-GB"/>
            </w:rPr>
            <w:t>+ 1 (202) 370-4713</w:t>
          </w:r>
        </w:p>
        <w:p w:rsidR="00CF755C" w:rsidRPr="000F3E14" w:rsidRDefault="00CF755C" w:rsidP="00CF755C">
          <w:pPr>
            <w:pStyle w:val="Tabletext0"/>
            <w:tabs>
              <w:tab w:val="clear" w:pos="794"/>
              <w:tab w:val="clear" w:pos="2437"/>
              <w:tab w:val="left" w:pos="1161"/>
            </w:tabs>
            <w:rPr>
              <w:spacing w:val="0"/>
              <w:rtl/>
            </w:rPr>
          </w:pPr>
          <w:r w:rsidRPr="000F3E14">
            <w:rPr>
              <w:rFonts w:hint="cs"/>
              <w:spacing w:val="0"/>
              <w:rtl/>
            </w:rPr>
            <w:t>الفاكس:</w:t>
          </w:r>
          <w:r w:rsidRPr="000F3E14">
            <w:rPr>
              <w:spacing w:val="0"/>
              <w:rtl/>
            </w:rPr>
            <w:tab/>
          </w:r>
          <w:r w:rsidRPr="000F3E14">
            <w:rPr>
              <w:spacing w:val="0"/>
              <w:lang w:val="en-GB"/>
            </w:rPr>
            <w:t>+ 1 (202) 458-6854</w:t>
          </w:r>
          <w:r w:rsidRPr="000F3E14">
            <w:rPr>
              <w:spacing w:val="0"/>
            </w:rPr>
            <w:br/>
          </w:r>
          <w:r w:rsidRPr="000F3E14">
            <w:rPr>
              <w:rFonts w:hint="cs"/>
              <w:spacing w:val="0"/>
              <w:rtl/>
            </w:rPr>
            <w:t>البريد الإلكتروني:</w:t>
          </w:r>
          <w:r w:rsidRPr="000F3E14">
            <w:rPr>
              <w:spacing w:val="0"/>
            </w:rPr>
            <w:tab/>
          </w:r>
          <w:hyperlink r:id="rId1" w:history="1">
            <w:r w:rsidRPr="000F3E14">
              <w:rPr>
                <w:rStyle w:val="Hyperlink"/>
                <w:spacing w:val="0"/>
                <w:lang w:val="en-GB"/>
              </w:rPr>
              <w:t>citel@oas.org</w:t>
            </w:r>
          </w:hyperlink>
        </w:p>
      </w:tc>
    </w:tr>
  </w:tbl>
  <w:p w:rsidR="00E07379" w:rsidRPr="00CF755C" w:rsidRDefault="00E07379" w:rsidP="00E07379">
    <w:pP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6A5A26">
      <w:rPr>
        <w:rStyle w:val="PageNumber"/>
        <w:noProof/>
        <w:sz w:val="18"/>
        <w:szCs w:val="18"/>
      </w:rPr>
      <w:t>3</w:t>
    </w:r>
    <w:r w:rsidRPr="005D6C0D">
      <w:rPr>
        <w:rStyle w:val="PageNumber"/>
        <w:sz w:val="18"/>
        <w:szCs w:val="18"/>
      </w:rPr>
      <w:fldChar w:fldCharType="end"/>
    </w:r>
    <w:r w:rsidRPr="005D6C0D">
      <w:rPr>
        <w:rStyle w:val="PageNumber"/>
        <w:sz w:val="18"/>
        <w:szCs w:val="18"/>
        <w:rtl/>
      </w:rPr>
      <w:br/>
    </w:r>
    <w:r w:rsidR="005D6C0D" w:rsidRPr="005D6C0D">
      <w:rPr>
        <w:sz w:val="18"/>
        <w:szCs w:val="24"/>
      </w:rPr>
      <w:t>WTSA16/46(Add.26)-A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46444"/>
    <w:rsid w:val="0006023B"/>
    <w:rsid w:val="0008638B"/>
    <w:rsid w:val="00090574"/>
    <w:rsid w:val="00092FC2"/>
    <w:rsid w:val="000970B5"/>
    <w:rsid w:val="000A1677"/>
    <w:rsid w:val="000B407F"/>
    <w:rsid w:val="000F0B1C"/>
    <w:rsid w:val="000F1D42"/>
    <w:rsid w:val="000F3E14"/>
    <w:rsid w:val="000F4D07"/>
    <w:rsid w:val="00102A03"/>
    <w:rsid w:val="001040A3"/>
    <w:rsid w:val="00173915"/>
    <w:rsid w:val="001763F7"/>
    <w:rsid w:val="001F42A9"/>
    <w:rsid w:val="0022345D"/>
    <w:rsid w:val="00225854"/>
    <w:rsid w:val="0023283D"/>
    <w:rsid w:val="00252E0C"/>
    <w:rsid w:val="00270325"/>
    <w:rsid w:val="00276881"/>
    <w:rsid w:val="00276E83"/>
    <w:rsid w:val="002978F4"/>
    <w:rsid w:val="002A3D84"/>
    <w:rsid w:val="002B028D"/>
    <w:rsid w:val="002B435E"/>
    <w:rsid w:val="002C4DAE"/>
    <w:rsid w:val="002E6541"/>
    <w:rsid w:val="002F5560"/>
    <w:rsid w:val="0030486B"/>
    <w:rsid w:val="003231B9"/>
    <w:rsid w:val="003275AC"/>
    <w:rsid w:val="00333D29"/>
    <w:rsid w:val="003409F4"/>
    <w:rsid w:val="00357185"/>
    <w:rsid w:val="003C475F"/>
    <w:rsid w:val="003E4132"/>
    <w:rsid w:val="003F678F"/>
    <w:rsid w:val="0042686F"/>
    <w:rsid w:val="004367CE"/>
    <w:rsid w:val="00443869"/>
    <w:rsid w:val="00467808"/>
    <w:rsid w:val="004712C6"/>
    <w:rsid w:val="00497703"/>
    <w:rsid w:val="004F0F06"/>
    <w:rsid w:val="00501E0E"/>
    <w:rsid w:val="005204D7"/>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A5A26"/>
    <w:rsid w:val="006C1556"/>
    <w:rsid w:val="006E45F8"/>
    <w:rsid w:val="006F267F"/>
    <w:rsid w:val="006F63F7"/>
    <w:rsid w:val="006F6F03"/>
    <w:rsid w:val="00706D7A"/>
    <w:rsid w:val="00726AEC"/>
    <w:rsid w:val="007530CA"/>
    <w:rsid w:val="0079553D"/>
    <w:rsid w:val="007B01CC"/>
    <w:rsid w:val="007D2D35"/>
    <w:rsid w:val="007F646C"/>
    <w:rsid w:val="00801FCD"/>
    <w:rsid w:val="00803D7E"/>
    <w:rsid w:val="00803F08"/>
    <w:rsid w:val="008235CD"/>
    <w:rsid w:val="00823A07"/>
    <w:rsid w:val="00835FEC"/>
    <w:rsid w:val="008513CB"/>
    <w:rsid w:val="00874D9C"/>
    <w:rsid w:val="00886B8A"/>
    <w:rsid w:val="008A1810"/>
    <w:rsid w:val="00917694"/>
    <w:rsid w:val="009263CD"/>
    <w:rsid w:val="00930E6D"/>
    <w:rsid w:val="00972CA2"/>
    <w:rsid w:val="00982B28"/>
    <w:rsid w:val="00984EA5"/>
    <w:rsid w:val="00992593"/>
    <w:rsid w:val="009C17E1"/>
    <w:rsid w:val="009C35ED"/>
    <w:rsid w:val="009C47DB"/>
    <w:rsid w:val="009E0849"/>
    <w:rsid w:val="009F1C12"/>
    <w:rsid w:val="00A10A59"/>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563BB"/>
    <w:rsid w:val="00B66B9A"/>
    <w:rsid w:val="00B82089"/>
    <w:rsid w:val="00B970AE"/>
    <w:rsid w:val="00BA1427"/>
    <w:rsid w:val="00BE49D0"/>
    <w:rsid w:val="00BF2C38"/>
    <w:rsid w:val="00C13BD5"/>
    <w:rsid w:val="00C23331"/>
    <w:rsid w:val="00C265DA"/>
    <w:rsid w:val="00C367E0"/>
    <w:rsid w:val="00C442F2"/>
    <w:rsid w:val="00C674FE"/>
    <w:rsid w:val="00C7297D"/>
    <w:rsid w:val="00C75633"/>
    <w:rsid w:val="00C8242E"/>
    <w:rsid w:val="00C82615"/>
    <w:rsid w:val="00C84DC8"/>
    <w:rsid w:val="00C867DB"/>
    <w:rsid w:val="00CA15ED"/>
    <w:rsid w:val="00CA2A38"/>
    <w:rsid w:val="00CA36DD"/>
    <w:rsid w:val="00CA50FF"/>
    <w:rsid w:val="00CC3CD2"/>
    <w:rsid w:val="00CC43BE"/>
    <w:rsid w:val="00CD123C"/>
    <w:rsid w:val="00CD2085"/>
    <w:rsid w:val="00CD5CC3"/>
    <w:rsid w:val="00CE2EE1"/>
    <w:rsid w:val="00CF3FFD"/>
    <w:rsid w:val="00CF755C"/>
    <w:rsid w:val="00D0494C"/>
    <w:rsid w:val="00D14BEB"/>
    <w:rsid w:val="00D158F2"/>
    <w:rsid w:val="00D21C89"/>
    <w:rsid w:val="00D3052F"/>
    <w:rsid w:val="00D45542"/>
    <w:rsid w:val="00D77D0F"/>
    <w:rsid w:val="00DA1CF0"/>
    <w:rsid w:val="00DB2271"/>
    <w:rsid w:val="00DB5659"/>
    <w:rsid w:val="00DC24B4"/>
    <w:rsid w:val="00DD7A05"/>
    <w:rsid w:val="00DF16DC"/>
    <w:rsid w:val="00DF5361"/>
    <w:rsid w:val="00E009A1"/>
    <w:rsid w:val="00E00D15"/>
    <w:rsid w:val="00E071BE"/>
    <w:rsid w:val="00E07379"/>
    <w:rsid w:val="00E1343D"/>
    <w:rsid w:val="00E14494"/>
    <w:rsid w:val="00E17033"/>
    <w:rsid w:val="00E32189"/>
    <w:rsid w:val="00E45211"/>
    <w:rsid w:val="00E45319"/>
    <w:rsid w:val="00E7380C"/>
    <w:rsid w:val="00E74BE7"/>
    <w:rsid w:val="00E86CC9"/>
    <w:rsid w:val="00E93951"/>
    <w:rsid w:val="00E96624"/>
    <w:rsid w:val="00F126F1"/>
    <w:rsid w:val="00F2106A"/>
    <w:rsid w:val="00F36D8B"/>
    <w:rsid w:val="00F401D0"/>
    <w:rsid w:val="00F4022F"/>
    <w:rsid w:val="00F45F2B"/>
    <w:rsid w:val="00F57AE4"/>
    <w:rsid w:val="00F655BD"/>
    <w:rsid w:val="00F67150"/>
    <w:rsid w:val="00F84366"/>
    <w:rsid w:val="00F85089"/>
    <w:rsid w:val="00F85564"/>
    <w:rsid w:val="00F86CFA"/>
    <w:rsid w:val="00FD2AC4"/>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 w:type="paragraph" w:customStyle="1" w:styleId="Tabletext0">
    <w:name w:val="Table text"/>
    <w:basedOn w:val="Normal"/>
    <w:qFormat/>
    <w:rsid w:val="00CF755C"/>
    <w:pPr>
      <w:keepNext/>
      <w:tabs>
        <w:tab w:val="clear" w:pos="1134"/>
        <w:tab w:val="left" w:pos="794"/>
        <w:tab w:val="right" w:pos="2437"/>
      </w:tabs>
      <w:overflowPunct w:val="0"/>
      <w:autoSpaceDE w:val="0"/>
      <w:autoSpaceDN w:val="0"/>
      <w:adjustRightInd w:val="0"/>
      <w:spacing w:before="60" w:after="60" w:line="260" w:lineRule="exact"/>
      <w:jc w:val="left"/>
      <w:textAlignment w:val="baseline"/>
    </w:pPr>
    <w:rPr>
      <w:spacing w:val="-6"/>
      <w:sz w:val="20"/>
      <w:szCs w:val="26"/>
      <w:lang w:val="fr-FR" w:bidi="ar-EG"/>
    </w:rPr>
  </w:style>
  <w:style w:type="character" w:styleId="CommentReference">
    <w:name w:val="annotation reference"/>
    <w:basedOn w:val="DefaultParagraphFont"/>
    <w:uiPriority w:val="99"/>
    <w:semiHidden/>
    <w:unhideWhenUsed/>
    <w:rsid w:val="000F3E14"/>
    <w:rPr>
      <w:sz w:val="16"/>
      <w:szCs w:val="16"/>
    </w:rPr>
  </w:style>
  <w:style w:type="paragraph" w:styleId="CommentText">
    <w:name w:val="annotation text"/>
    <w:basedOn w:val="Normal"/>
    <w:link w:val="CommentTextChar"/>
    <w:uiPriority w:val="99"/>
    <w:semiHidden/>
    <w:unhideWhenUsed/>
    <w:rsid w:val="000F3E14"/>
    <w:pPr>
      <w:spacing w:line="240" w:lineRule="auto"/>
    </w:pPr>
    <w:rPr>
      <w:sz w:val="20"/>
      <w:szCs w:val="20"/>
    </w:rPr>
  </w:style>
  <w:style w:type="character" w:customStyle="1" w:styleId="CommentTextChar">
    <w:name w:val="Comment Text Char"/>
    <w:basedOn w:val="DefaultParagraphFont"/>
    <w:link w:val="CommentText"/>
    <w:uiPriority w:val="99"/>
    <w:semiHidden/>
    <w:rsid w:val="000F3E14"/>
    <w:rPr>
      <w:rFonts w:ascii="Times New Roman" w:eastAsia="Times New Roman" w:hAnsi="Times New Roman" w:cs="Traditional Arabic"/>
      <w:sz w:val="20"/>
      <w:szCs w:val="20"/>
      <w:lang w:eastAsia="en-US"/>
    </w:rPr>
  </w:style>
  <w:style w:type="paragraph" w:styleId="CommentSubject">
    <w:name w:val="annotation subject"/>
    <w:basedOn w:val="CommentText"/>
    <w:next w:val="CommentText"/>
    <w:link w:val="CommentSubjectChar"/>
    <w:uiPriority w:val="99"/>
    <w:semiHidden/>
    <w:unhideWhenUsed/>
    <w:rsid w:val="000F3E14"/>
    <w:rPr>
      <w:b/>
      <w:bCs/>
    </w:rPr>
  </w:style>
  <w:style w:type="character" w:customStyle="1" w:styleId="CommentSubjectChar">
    <w:name w:val="Comment Subject Char"/>
    <w:basedOn w:val="CommentTextChar"/>
    <w:link w:val="CommentSubject"/>
    <w:uiPriority w:val="99"/>
    <w:semiHidden/>
    <w:rsid w:val="000F3E14"/>
    <w:rPr>
      <w:rFonts w:ascii="Times New Roman" w:eastAsia="Times New Roman" w:hAnsi="Times New Roman" w:cs="Traditional Arabic"/>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a6788b1-3b71-45eb-87e3-909233dd0f45">Documents Proposals Manager (DPM)</DPM_x0020_Author>
    <DPM_x0020_File_x0020_name xmlns="5a6788b1-3b71-45eb-87e3-909233dd0f45">T13-WTSA.16-C-0046!A26!MSW-A</DPM_x0020_File_x0020_name>
    <DPM_x0020_Version xmlns="5a6788b1-3b71-45eb-87e3-909233dd0f45">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a6788b1-3b71-45eb-87e3-909233dd0f45" targetNamespace="http://schemas.microsoft.com/office/2006/metadata/properties" ma:root="true" ma:fieldsID="d41af5c836d734370eb92e7ee5f83852" ns2:_="" ns3:_="">
    <xsd:import namespace="996b2e75-67fd-4955-a3b0-5ab9934cb50b"/>
    <xsd:import namespace="5a6788b1-3b71-45eb-87e3-909233dd0f4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a6788b1-3b71-45eb-87e3-909233dd0f4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terms/"/>
    <ds:schemaRef ds:uri="996b2e75-67fd-4955-a3b0-5ab9934cb50b"/>
    <ds:schemaRef ds:uri="http://purl.org/dc/dcmitype/"/>
    <ds:schemaRef ds:uri="5a6788b1-3b71-45eb-87e3-909233dd0f45"/>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a6788b1-3b71-45eb-87e3-909233dd0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EB484A-BF77-4CF4-9981-7774200AD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T13-WTSA.16-C-0046!A26!MSW-A</vt:lpstr>
    </vt:vector>
  </TitlesOfParts>
  <Company>International Telecommunication Union (ITU)</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T13-WTSA.16-C-0046!A26!MSW-A</dc:title>
  <dc:subject>World Telecommunication Standardization Assembly</dc:subject>
  <dc:creator>Documents Proposals Manager (DPM)</dc:creator>
  <cp:keywords>DPM_v2016.9.29.1_prod</cp:keywords>
  <dc:description>Template used by DPM and CPI for the WTSA-16</dc:description>
  <cp:lastModifiedBy>Awad, Samy</cp:lastModifiedBy>
  <cp:revision>21</cp:revision>
  <cp:lastPrinted>2016-06-07T13:25:00Z</cp:lastPrinted>
  <dcterms:created xsi:type="dcterms:W3CDTF">2016-09-30T15:41:00Z</dcterms:created>
  <dcterms:modified xsi:type="dcterms:W3CDTF">2016-10-04T08:59:00Z</dcterms:modified>
  <cp:category>Conference document</cp:category>
</cp:coreProperties>
</file>