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46 (Add.27)</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rsidTr="00E2414B">
        <w:trPr>
          <w:cantSplit/>
        </w:trPr>
        <w:tc>
          <w:tcPr>
            <w:tcW w:w="9811" w:type="dxa"/>
            <w:gridSpan w:val="3"/>
            <w:hideMark/>
          </w:tcPr>
          <w:p w:rsidR="000A3B30" w:rsidRPr="00400909" w:rsidRDefault="00794BA8" w:rsidP="00B72CBE">
            <w:pPr>
              <w:pStyle w:val="Title1"/>
              <w:rPr>
                <w:rFonts w:ascii="Verdana" w:hAnsi="Verdana"/>
                <w:lang w:eastAsia="zh-CN"/>
              </w:rPr>
            </w:pPr>
            <w:r>
              <w:rPr>
                <w:lang w:eastAsia="zh-CN"/>
              </w:rPr>
              <w:t>建议删除</w:t>
            </w:r>
            <w:r w:rsidR="000A3B30" w:rsidRPr="000273B7">
              <w:rPr>
                <w:lang w:eastAsia="zh-CN"/>
              </w:rPr>
              <w:t>WTSA-12</w:t>
            </w:r>
            <w:r>
              <w:rPr>
                <w:rFonts w:hint="eastAsia"/>
                <w:lang w:eastAsia="zh-CN"/>
              </w:rPr>
              <w:t>第</w:t>
            </w:r>
            <w:r w:rsidR="000A3B30" w:rsidRPr="000273B7">
              <w:rPr>
                <w:lang w:eastAsia="zh-CN"/>
              </w:rPr>
              <w:t>45</w:t>
            </w:r>
            <w:r>
              <w:rPr>
                <w:lang w:eastAsia="zh-CN"/>
              </w:rPr>
              <w:t>号决议</w:t>
            </w:r>
            <w:r w:rsidR="000A3B30" w:rsidRPr="000273B7">
              <w:rPr>
                <w:lang w:eastAsia="zh-CN"/>
              </w:rPr>
              <w:t xml:space="preserve"> </w:t>
            </w:r>
            <w:r w:rsidR="00110077">
              <w:rPr>
                <w:lang w:eastAsia="zh-CN"/>
              </w:rPr>
              <w:t xml:space="preserve">– </w:t>
            </w:r>
            <w:r w:rsidR="00B72CBE" w:rsidRPr="00E04A5F">
              <w:rPr>
                <w:rFonts w:hint="eastAsia"/>
                <w:lang w:eastAsia="zh-CN"/>
              </w:rPr>
              <w:t>有效协调</w:t>
            </w:r>
            <w:r w:rsidR="00B72CBE">
              <w:rPr>
                <w:rFonts w:hint="eastAsia"/>
                <w:lang w:eastAsia="zh-CN"/>
              </w:rPr>
              <w:t>国际电联电信标准化部门</w:t>
            </w:r>
            <w:r w:rsidR="0051734B">
              <w:rPr>
                <w:lang w:eastAsia="zh-CN"/>
              </w:rPr>
              <w:br/>
            </w:r>
            <w:r w:rsidR="00B72CBE">
              <w:rPr>
                <w:rFonts w:hint="eastAsia"/>
                <w:lang w:eastAsia="zh-CN"/>
              </w:rPr>
              <w:t>所有</w:t>
            </w:r>
            <w:r w:rsidR="00B72CBE" w:rsidRPr="00E04A5F">
              <w:rPr>
                <w:rFonts w:hint="eastAsia"/>
                <w:lang w:eastAsia="zh-CN"/>
              </w:rPr>
              <w:t>研究组开展的标准化工作以及</w:t>
            </w:r>
            <w:r w:rsidR="00B72CBE">
              <w:rPr>
                <w:rFonts w:hint="eastAsia"/>
                <w:lang w:eastAsia="zh-CN"/>
              </w:rPr>
              <w:t>电信标准化顾问组</w:t>
            </w:r>
            <w:r w:rsidR="00B72CBE" w:rsidRPr="00E04A5F">
              <w:rPr>
                <w:rFonts w:hint="eastAsia"/>
                <w:lang w:eastAsia="zh-CN"/>
              </w:rPr>
              <w:t>的作用</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C748C8">
        <w:trPr>
          <w:cantSplit/>
        </w:trPr>
        <w:tc>
          <w:tcPr>
            <w:tcW w:w="993" w:type="dxa"/>
          </w:tcPr>
          <w:p w:rsidR="003556C0" w:rsidRPr="00426748" w:rsidRDefault="003556C0" w:rsidP="00193AD1">
            <w:pPr>
              <w:rPr>
                <w:lang w:eastAsia="zh-CN"/>
              </w:rPr>
            </w:pPr>
            <w:r w:rsidRPr="001051B1">
              <w:rPr>
                <w:rFonts w:hint="eastAsia"/>
                <w:b/>
                <w:bCs/>
              </w:rPr>
              <w:t>摘要</w:t>
            </w:r>
            <w:r w:rsidR="00C748C8">
              <w:rPr>
                <w:rFonts w:hint="eastAsia"/>
                <w:b/>
                <w:bCs/>
                <w:lang w:eastAsia="zh-CN"/>
              </w:rPr>
              <w:t>：</w:t>
            </w:r>
          </w:p>
        </w:tc>
        <w:sdt>
          <w:sdtPr>
            <w:rPr>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794BA8" w:rsidP="0051734B">
                <w:pPr>
                  <w:rPr>
                    <w:lang w:eastAsia="zh-CN"/>
                  </w:rPr>
                </w:pPr>
                <w:r>
                  <w:rPr>
                    <w:lang w:eastAsia="zh-CN"/>
                  </w:rPr>
                  <w:t>本文稿建议删除</w:t>
                </w:r>
                <w:r w:rsidRPr="00821655">
                  <w:rPr>
                    <w:lang w:eastAsia="zh-CN"/>
                  </w:rPr>
                  <w:t>WTSA-12</w:t>
                </w:r>
                <w:r>
                  <w:rPr>
                    <w:lang w:eastAsia="zh-CN"/>
                  </w:rPr>
                  <w:t>第</w:t>
                </w:r>
                <w:r>
                  <w:rPr>
                    <w:lang w:eastAsia="zh-CN"/>
                  </w:rPr>
                  <w:t>45</w:t>
                </w:r>
                <w:r>
                  <w:rPr>
                    <w:lang w:eastAsia="zh-CN"/>
                  </w:rPr>
                  <w:t>号决议</w:t>
                </w:r>
                <w:r w:rsidR="00CC1971">
                  <w:rPr>
                    <w:lang w:eastAsia="zh-CN"/>
                  </w:rPr>
                  <w:t xml:space="preserve"> – </w:t>
                </w:r>
                <w:r w:rsidRPr="00821655">
                  <w:rPr>
                    <w:rFonts w:hint="eastAsia"/>
                    <w:lang w:eastAsia="zh-CN"/>
                  </w:rPr>
                  <w:t>有效协调国际电联电信标准化部门所有研究组开展的标准化工作以及电信标准化顾问组的作用</w:t>
                </w:r>
                <w:r>
                  <w:rPr>
                    <w:rFonts w:hint="eastAsia"/>
                    <w:lang w:eastAsia="zh-CN"/>
                  </w:rPr>
                  <w:t>。</w:t>
                </w:r>
              </w:p>
            </w:tc>
          </w:sdtContent>
        </w:sdt>
      </w:tr>
    </w:tbl>
    <w:p w:rsidR="00E21525" w:rsidRPr="00E216F8" w:rsidRDefault="00794BA8" w:rsidP="00E21525">
      <w:pPr>
        <w:pStyle w:val="Headingb"/>
        <w:rPr>
          <w:lang w:eastAsia="zh-CN"/>
        </w:rPr>
      </w:pPr>
      <w:r>
        <w:rPr>
          <w:lang w:eastAsia="zh-CN"/>
        </w:rPr>
        <w:t>讨论</w:t>
      </w:r>
    </w:p>
    <w:p w:rsidR="00E21525" w:rsidRPr="00E216F8" w:rsidRDefault="00794BA8" w:rsidP="00110077">
      <w:pPr>
        <w:ind w:firstLineChars="200" w:firstLine="480"/>
        <w:rPr>
          <w:lang w:val="en-US" w:eastAsia="zh-CN"/>
        </w:rPr>
      </w:pPr>
      <w:r>
        <w:rPr>
          <w:rFonts w:hint="eastAsia"/>
          <w:lang w:val="en-US" w:eastAsia="zh-CN"/>
        </w:rPr>
        <w:t>鉴于</w:t>
      </w:r>
      <w:r>
        <w:rPr>
          <w:lang w:val="en-US" w:eastAsia="zh-CN"/>
        </w:rPr>
        <w:t>国际电联</w:t>
      </w:r>
      <w:r>
        <w:rPr>
          <w:rFonts w:hint="eastAsia"/>
          <w:lang w:val="en-US" w:eastAsia="zh-CN"/>
        </w:rPr>
        <w:t>《公约》第</w:t>
      </w:r>
      <w:r w:rsidRPr="00E216F8">
        <w:rPr>
          <w:lang w:val="en-US" w:eastAsia="zh-CN"/>
        </w:rPr>
        <w:t>14A</w:t>
      </w:r>
      <w:r>
        <w:rPr>
          <w:rFonts w:hint="eastAsia"/>
          <w:lang w:val="en-US" w:eastAsia="zh-CN"/>
        </w:rPr>
        <w:t>条以及</w:t>
      </w:r>
      <w:r w:rsidRPr="00E216F8">
        <w:rPr>
          <w:lang w:val="en-US" w:eastAsia="zh-CN"/>
        </w:rPr>
        <w:t>ITU-T</w:t>
      </w:r>
      <w:r>
        <w:rPr>
          <w:lang w:val="en-US" w:eastAsia="zh-CN"/>
        </w:rPr>
        <w:t>第</w:t>
      </w:r>
      <w:r w:rsidRPr="00E216F8">
        <w:rPr>
          <w:lang w:val="en-US" w:eastAsia="zh-CN"/>
        </w:rPr>
        <w:t>1</w:t>
      </w:r>
      <w:r>
        <w:rPr>
          <w:lang w:val="en-US" w:eastAsia="zh-CN"/>
        </w:rPr>
        <w:t>和</w:t>
      </w:r>
      <w:r w:rsidRPr="00E216F8">
        <w:rPr>
          <w:lang w:val="en-US" w:eastAsia="zh-CN"/>
        </w:rPr>
        <w:t>22</w:t>
      </w:r>
      <w:r>
        <w:rPr>
          <w:lang w:val="en-US" w:eastAsia="zh-CN"/>
        </w:rPr>
        <w:t>号决议</w:t>
      </w:r>
      <w:r>
        <w:rPr>
          <w:rFonts w:hint="eastAsia"/>
          <w:lang w:val="en-US" w:eastAsia="zh-CN"/>
        </w:rPr>
        <w:t>确定</w:t>
      </w:r>
      <w:r w:rsidR="0051734B">
        <w:rPr>
          <w:rFonts w:hint="eastAsia"/>
          <w:lang w:val="en-US" w:eastAsia="zh-CN"/>
        </w:rPr>
        <w:t>的</w:t>
      </w:r>
      <w:r>
        <w:rPr>
          <w:lang w:val="en-US" w:eastAsia="zh-CN"/>
        </w:rPr>
        <w:t>电信标准化顾问组</w:t>
      </w:r>
      <w:r>
        <w:rPr>
          <w:rFonts w:hint="eastAsia"/>
          <w:lang w:val="en-US" w:eastAsia="zh-CN"/>
        </w:rPr>
        <w:t>（</w:t>
      </w:r>
      <w:r w:rsidRPr="00E216F8">
        <w:rPr>
          <w:lang w:val="en-US" w:eastAsia="zh-CN"/>
        </w:rPr>
        <w:t>TSAG</w:t>
      </w:r>
      <w:r>
        <w:rPr>
          <w:rFonts w:hint="eastAsia"/>
          <w:lang w:val="en-US" w:eastAsia="zh-CN"/>
        </w:rPr>
        <w:t>）</w:t>
      </w:r>
      <w:r w:rsidR="00B67B76" w:rsidRPr="00794BA8">
        <w:rPr>
          <w:rFonts w:hint="eastAsia"/>
          <w:lang w:val="en-US" w:eastAsia="zh-CN"/>
        </w:rPr>
        <w:t>的</w:t>
      </w:r>
      <w:r w:rsidR="0051734B">
        <w:rPr>
          <w:rFonts w:hint="eastAsia"/>
          <w:lang w:val="en-US" w:eastAsia="zh-CN"/>
        </w:rPr>
        <w:t>现有</w:t>
      </w:r>
      <w:r w:rsidR="00B67B76" w:rsidRPr="00794BA8">
        <w:rPr>
          <w:rFonts w:hint="eastAsia"/>
          <w:lang w:val="en-US" w:eastAsia="zh-CN"/>
        </w:rPr>
        <w:t>作用与职责</w:t>
      </w:r>
      <w:r w:rsidR="0051734B">
        <w:rPr>
          <w:rFonts w:hint="eastAsia"/>
          <w:lang w:val="en-US" w:eastAsia="zh-CN"/>
        </w:rPr>
        <w:t>，</w:t>
      </w:r>
      <w:r>
        <w:rPr>
          <w:rFonts w:hint="eastAsia"/>
          <w:lang w:val="en-US" w:eastAsia="zh-CN"/>
        </w:rPr>
        <w:t>其中包括</w:t>
      </w:r>
      <w:r w:rsidR="0051734B">
        <w:rPr>
          <w:rFonts w:hint="eastAsia"/>
          <w:lang w:val="en-US" w:eastAsia="zh-CN"/>
        </w:rPr>
        <w:t>上述</w:t>
      </w:r>
      <w:r w:rsidR="00B04EB8">
        <w:rPr>
          <w:rFonts w:hint="eastAsia"/>
          <w:lang w:val="en-US" w:eastAsia="zh-CN"/>
        </w:rPr>
        <w:t>协调职能，保留第</w:t>
      </w:r>
      <w:r w:rsidR="00B04EB8" w:rsidRPr="00E216F8">
        <w:rPr>
          <w:lang w:val="en-US" w:eastAsia="zh-CN"/>
        </w:rPr>
        <w:t>45</w:t>
      </w:r>
      <w:r w:rsidR="00B04EB8">
        <w:rPr>
          <w:rFonts w:hint="eastAsia"/>
          <w:lang w:val="en-US" w:eastAsia="zh-CN"/>
        </w:rPr>
        <w:t>号决议</w:t>
      </w:r>
      <w:r w:rsidR="004B074D">
        <w:rPr>
          <w:rFonts w:hint="eastAsia"/>
          <w:lang w:val="en-US" w:eastAsia="zh-CN"/>
        </w:rPr>
        <w:t>没有明显的</w:t>
      </w:r>
      <w:r w:rsidR="0051734B">
        <w:rPr>
          <w:rFonts w:hint="eastAsia"/>
          <w:lang w:val="en-US" w:eastAsia="zh-CN"/>
        </w:rPr>
        <w:t>意义</w:t>
      </w:r>
      <w:r w:rsidR="004B074D">
        <w:rPr>
          <w:rFonts w:hint="eastAsia"/>
          <w:lang w:val="en-US" w:eastAsia="zh-CN"/>
        </w:rPr>
        <w:t>。考虑到第</w:t>
      </w:r>
      <w:r w:rsidR="004B074D" w:rsidRPr="00E216F8">
        <w:rPr>
          <w:lang w:val="en-US" w:eastAsia="zh-CN"/>
        </w:rPr>
        <w:t>45</w:t>
      </w:r>
      <w:r w:rsidR="004B074D">
        <w:rPr>
          <w:rFonts w:hint="eastAsia"/>
          <w:lang w:val="en-US" w:eastAsia="zh-CN"/>
        </w:rPr>
        <w:t>号决议的</w:t>
      </w:r>
      <w:r w:rsidR="004B074D" w:rsidRPr="0051734B">
        <w:rPr>
          <w:rFonts w:ascii="STKaiti" w:eastAsia="STKaiti" w:hAnsi="STKaiti" w:hint="eastAsia"/>
          <w:lang w:val="en-US" w:eastAsia="zh-CN"/>
        </w:rPr>
        <w:t>做出决议</w:t>
      </w:r>
      <w:r w:rsidR="004B074D">
        <w:rPr>
          <w:rFonts w:hint="eastAsia"/>
          <w:lang w:val="en-US" w:eastAsia="zh-CN"/>
        </w:rPr>
        <w:t>部分，</w:t>
      </w:r>
      <w:r w:rsidR="0051734B">
        <w:rPr>
          <w:rFonts w:hint="eastAsia"/>
          <w:lang w:val="en-US" w:eastAsia="zh-CN"/>
        </w:rPr>
        <w:t>现</w:t>
      </w:r>
      <w:r w:rsidR="0051734B">
        <w:rPr>
          <w:lang w:val="en-US" w:eastAsia="zh-CN"/>
        </w:rPr>
        <w:t>对以下</w:t>
      </w:r>
      <w:r w:rsidR="004B074D">
        <w:rPr>
          <w:rFonts w:hint="eastAsia"/>
          <w:lang w:val="en-US" w:eastAsia="zh-CN"/>
        </w:rPr>
        <w:t>内容</w:t>
      </w:r>
      <w:r w:rsidR="0051734B">
        <w:rPr>
          <w:rFonts w:hint="eastAsia"/>
          <w:lang w:val="en-US" w:eastAsia="zh-CN"/>
        </w:rPr>
        <w:t>做出</w:t>
      </w:r>
      <w:r w:rsidR="0051734B">
        <w:rPr>
          <w:lang w:val="en-US" w:eastAsia="zh-CN"/>
        </w:rPr>
        <w:t>说明</w:t>
      </w:r>
      <w:r w:rsidR="004B074D">
        <w:rPr>
          <w:rFonts w:hint="eastAsia"/>
          <w:lang w:val="en-US" w:eastAsia="zh-CN"/>
        </w:rPr>
        <w:t>：</w:t>
      </w:r>
    </w:p>
    <w:p w:rsidR="00E21525" w:rsidRPr="00110077" w:rsidRDefault="00E21525" w:rsidP="00110077">
      <w:pPr>
        <w:pStyle w:val="enumlev1"/>
      </w:pPr>
      <w:proofErr w:type="spellStart"/>
      <w:r w:rsidRPr="00110077">
        <w:t>i</w:t>
      </w:r>
      <w:proofErr w:type="spellEnd"/>
      <w:r w:rsidRPr="00110077">
        <w:t>)</w:t>
      </w:r>
      <w:r w:rsidRPr="00110077">
        <w:tab/>
      </w:r>
      <w:proofErr w:type="spellStart"/>
      <w:r w:rsidR="00071357" w:rsidRPr="00386166">
        <w:rPr>
          <w:rFonts w:asciiTheme="majorBidi" w:eastAsia="STKaiti" w:hAnsiTheme="majorBidi" w:cstheme="majorBidi"/>
        </w:rPr>
        <w:t>从全局观点出发，确定</w:t>
      </w:r>
      <w:proofErr w:type="spellEnd"/>
      <w:r w:rsidR="00071357" w:rsidRPr="00386166">
        <w:rPr>
          <w:rFonts w:asciiTheme="majorBidi" w:eastAsia="STKaiti" w:hAnsiTheme="majorBidi" w:cstheme="majorBidi"/>
        </w:rPr>
        <w:t>ITU-T</w:t>
      </w:r>
      <w:proofErr w:type="spellStart"/>
      <w:r w:rsidR="00071357" w:rsidRPr="00386166">
        <w:rPr>
          <w:rFonts w:asciiTheme="majorBidi" w:eastAsia="STKaiti" w:hAnsiTheme="majorBidi" w:cstheme="majorBidi"/>
        </w:rPr>
        <w:t>研究的高层目标和工作重点。</w:t>
      </w:r>
      <w:r w:rsidR="004B074D" w:rsidRPr="00110077">
        <w:rPr>
          <w:rFonts w:hint="eastAsia"/>
        </w:rPr>
        <w:t>这可以通过最近设立的</w:t>
      </w:r>
      <w:proofErr w:type="spellEnd"/>
      <w:r w:rsidR="004B074D" w:rsidRPr="00110077">
        <w:t>TSAG</w:t>
      </w:r>
      <w:proofErr w:type="spellStart"/>
      <w:r w:rsidR="004B074D" w:rsidRPr="00110077">
        <w:rPr>
          <w:rFonts w:hint="eastAsia"/>
        </w:rPr>
        <w:t>标准化战略报告人组来实现</w:t>
      </w:r>
      <w:proofErr w:type="spellEnd"/>
      <w:r w:rsidR="004B074D" w:rsidRPr="00110077">
        <w:rPr>
          <w:rFonts w:hint="eastAsia"/>
        </w:rPr>
        <w:t>。</w:t>
      </w:r>
    </w:p>
    <w:p w:rsidR="00E21525" w:rsidRPr="00110077" w:rsidRDefault="00E21525" w:rsidP="00110077">
      <w:pPr>
        <w:pStyle w:val="enumlev1"/>
        <w:rPr>
          <w:lang w:eastAsia="zh-CN"/>
        </w:rPr>
      </w:pPr>
      <w:r w:rsidRPr="00110077">
        <w:t>ii)</w:t>
      </w:r>
      <w:r w:rsidRPr="00110077">
        <w:tab/>
      </w:r>
      <w:proofErr w:type="spellStart"/>
      <w:r w:rsidR="0065647F" w:rsidRPr="00386166">
        <w:rPr>
          <w:rFonts w:asciiTheme="majorBidi" w:eastAsia="STKaiti" w:hAnsiTheme="majorBidi" w:cstheme="majorBidi" w:hint="eastAsia"/>
        </w:rPr>
        <w:t>在研究组之间开展合作，包括避免工作重复并确定相关工作项目之间的联系</w:t>
      </w:r>
      <w:proofErr w:type="spellEnd"/>
      <w:r w:rsidR="0065647F" w:rsidRPr="00386166">
        <w:rPr>
          <w:rFonts w:asciiTheme="majorBidi" w:eastAsia="STKaiti" w:hAnsiTheme="majorBidi" w:cstheme="majorBidi" w:hint="eastAsia"/>
        </w:rPr>
        <w:t>。</w:t>
      </w:r>
      <w:r w:rsidR="00C10E0E" w:rsidRPr="00110077">
        <w:rPr>
          <w:lang w:eastAsia="zh-CN"/>
        </w:rPr>
        <w:t>TSAG</w:t>
      </w:r>
      <w:r w:rsidR="00C10E0E" w:rsidRPr="00110077">
        <w:rPr>
          <w:lang w:eastAsia="zh-CN"/>
        </w:rPr>
        <w:t>的现</w:t>
      </w:r>
      <w:r w:rsidR="0051734B" w:rsidRPr="00110077">
        <w:rPr>
          <w:rFonts w:hint="eastAsia"/>
          <w:lang w:eastAsia="zh-CN"/>
        </w:rPr>
        <w:t>有</w:t>
      </w:r>
      <w:r w:rsidR="004B074D" w:rsidRPr="00110077">
        <w:rPr>
          <w:rFonts w:hint="eastAsia"/>
          <w:lang w:eastAsia="zh-CN"/>
        </w:rPr>
        <w:t>职责包括这一</w:t>
      </w:r>
      <w:r w:rsidR="0051734B" w:rsidRPr="00110077">
        <w:rPr>
          <w:rFonts w:hint="eastAsia"/>
          <w:lang w:eastAsia="zh-CN"/>
        </w:rPr>
        <w:t>职能，</w:t>
      </w:r>
      <w:r w:rsidR="004B074D" w:rsidRPr="00110077">
        <w:rPr>
          <w:rFonts w:hint="eastAsia"/>
          <w:lang w:eastAsia="zh-CN"/>
        </w:rPr>
        <w:t>研究组管理</w:t>
      </w:r>
      <w:r w:rsidR="0051734B" w:rsidRPr="00110077">
        <w:rPr>
          <w:rFonts w:hint="eastAsia"/>
          <w:lang w:eastAsia="zh-CN"/>
        </w:rPr>
        <w:t>班子</w:t>
      </w:r>
      <w:r w:rsidR="004B074D" w:rsidRPr="00110077">
        <w:rPr>
          <w:rFonts w:hint="eastAsia"/>
          <w:lang w:eastAsia="zh-CN"/>
        </w:rPr>
        <w:t>定期会议</w:t>
      </w:r>
      <w:r w:rsidR="004B074D" w:rsidRPr="00110077">
        <w:rPr>
          <w:rFonts w:hint="eastAsia"/>
          <w:lang w:eastAsia="zh-CN"/>
        </w:rPr>
        <w:t>/</w:t>
      </w:r>
      <w:r w:rsidR="004B074D" w:rsidRPr="00110077">
        <w:rPr>
          <w:rFonts w:hint="eastAsia"/>
          <w:lang w:eastAsia="zh-CN"/>
        </w:rPr>
        <w:t>电话会议</w:t>
      </w:r>
      <w:r w:rsidR="0051734B" w:rsidRPr="00110077">
        <w:rPr>
          <w:rFonts w:hint="eastAsia"/>
          <w:lang w:eastAsia="zh-CN"/>
        </w:rPr>
        <w:t>亦提供</w:t>
      </w:r>
      <w:r w:rsidR="004B074D" w:rsidRPr="00110077">
        <w:rPr>
          <w:rFonts w:hint="eastAsia"/>
          <w:lang w:eastAsia="zh-CN"/>
        </w:rPr>
        <w:t>支持</w:t>
      </w:r>
      <w:r w:rsidR="00110077">
        <w:rPr>
          <w:rFonts w:hint="eastAsia"/>
          <w:lang w:eastAsia="zh-CN"/>
        </w:rPr>
        <w:t>。</w:t>
      </w:r>
    </w:p>
    <w:p w:rsidR="00E21525" w:rsidRPr="00110077" w:rsidRDefault="00E21525" w:rsidP="00110077">
      <w:pPr>
        <w:pStyle w:val="enumlev1"/>
      </w:pPr>
      <w:r w:rsidRPr="00110077">
        <w:rPr>
          <w:lang w:eastAsia="zh-CN"/>
        </w:rPr>
        <w:t>iii)</w:t>
      </w:r>
      <w:r w:rsidRPr="00110077">
        <w:rPr>
          <w:lang w:eastAsia="zh-CN"/>
        </w:rPr>
        <w:tab/>
      </w:r>
      <w:r w:rsidR="0065647F" w:rsidRPr="00386166">
        <w:rPr>
          <w:rFonts w:asciiTheme="majorBidi" w:eastAsia="STKaiti" w:hAnsiTheme="majorBidi" w:cstheme="majorBidi" w:hint="eastAsia"/>
        </w:rPr>
        <w:t>有计划地协调各项标准化活动的时间范围、实际成果、目标和阶段性成果。</w:t>
      </w:r>
      <w:r w:rsidR="00C10E0E" w:rsidRPr="00110077">
        <w:t>TSAG</w:t>
      </w:r>
      <w:proofErr w:type="spellStart"/>
      <w:r w:rsidR="00C10E0E" w:rsidRPr="00110077">
        <w:t>战略和</w:t>
      </w:r>
      <w:r w:rsidR="0051734B" w:rsidRPr="00110077">
        <w:rPr>
          <w:rFonts w:hint="eastAsia"/>
        </w:rPr>
        <w:t>运作</w:t>
      </w:r>
      <w:r w:rsidR="00C10E0E" w:rsidRPr="00110077">
        <w:t>规划报告人组持续对以</w:t>
      </w:r>
      <w:r w:rsidR="0051734B" w:rsidRPr="00110077">
        <w:rPr>
          <w:rFonts w:hint="eastAsia"/>
        </w:rPr>
        <w:t>注重实效</w:t>
      </w:r>
      <w:r w:rsidR="00C10E0E" w:rsidRPr="00110077">
        <w:t>的管理框架为基础的国际电联战略规划以及滚动</w:t>
      </w:r>
      <w:r w:rsidR="0051734B" w:rsidRPr="00110077">
        <w:rPr>
          <w:rFonts w:hint="eastAsia"/>
        </w:rPr>
        <w:t>式</w:t>
      </w:r>
      <w:r w:rsidR="0051734B" w:rsidRPr="00110077">
        <w:t>运作</w:t>
      </w:r>
      <w:r w:rsidR="00C10E0E" w:rsidRPr="00110077">
        <w:t>规划进行审查</w:t>
      </w:r>
      <w:proofErr w:type="spellEnd"/>
      <w:r w:rsidR="00C10E0E" w:rsidRPr="00110077">
        <w:rPr>
          <w:rFonts w:hint="eastAsia"/>
        </w:rPr>
        <w:t>。</w:t>
      </w:r>
    </w:p>
    <w:p w:rsidR="00E21525" w:rsidRPr="00110077" w:rsidRDefault="00E21525" w:rsidP="00110077">
      <w:pPr>
        <w:pStyle w:val="enumlev1"/>
        <w:rPr>
          <w:lang w:eastAsia="zh-CN"/>
        </w:rPr>
      </w:pPr>
      <w:r w:rsidRPr="00110077">
        <w:lastRenderedPageBreak/>
        <w:t>iv)</w:t>
      </w:r>
      <w:r w:rsidRPr="00110077">
        <w:tab/>
      </w:r>
      <w:proofErr w:type="spellStart"/>
      <w:r w:rsidR="0065647F" w:rsidRPr="00386166">
        <w:rPr>
          <w:rFonts w:asciiTheme="majorBidi" w:eastAsia="STKaiti" w:hAnsiTheme="majorBidi" w:cstheme="majorBidi" w:hint="eastAsia"/>
        </w:rPr>
        <w:t>考虑到发展中国家的利益，并鼓励和促进这些国家参与这些活动</w:t>
      </w:r>
      <w:proofErr w:type="spellEnd"/>
      <w:r w:rsidR="0065647F" w:rsidRPr="00386166">
        <w:rPr>
          <w:rFonts w:asciiTheme="majorBidi" w:eastAsia="STKaiti" w:hAnsiTheme="majorBidi" w:cstheme="majorBidi" w:hint="eastAsia"/>
        </w:rPr>
        <w:t>。</w:t>
      </w:r>
      <w:r w:rsidR="00C10E0E" w:rsidRPr="00110077">
        <w:rPr>
          <w:lang w:eastAsia="zh-CN"/>
        </w:rPr>
        <w:t>这是一项在整个部门实施的指令</w:t>
      </w:r>
      <w:r w:rsidR="00C10E0E" w:rsidRPr="00110077">
        <w:rPr>
          <w:rFonts w:hint="eastAsia"/>
          <w:lang w:eastAsia="zh-CN"/>
        </w:rPr>
        <w:t>；在</w:t>
      </w:r>
      <w:r w:rsidR="00C10E0E" w:rsidRPr="00110077">
        <w:rPr>
          <w:lang w:eastAsia="zh-CN"/>
        </w:rPr>
        <w:t>TSAG</w:t>
      </w:r>
      <w:r w:rsidR="00C10E0E" w:rsidRPr="00110077">
        <w:rPr>
          <w:rFonts w:hint="eastAsia"/>
          <w:lang w:eastAsia="zh-CN"/>
        </w:rPr>
        <w:t>，有两位副主席专门负责与“缩小标准化工作差距</w:t>
      </w:r>
      <w:r w:rsidR="00110077">
        <w:rPr>
          <w:rFonts w:hint="eastAsia"/>
          <w:lang w:eastAsia="zh-CN"/>
        </w:rPr>
        <w:t>”</w:t>
      </w:r>
      <w:r w:rsidR="00C10E0E" w:rsidRPr="00110077">
        <w:rPr>
          <w:rFonts w:hint="eastAsia"/>
          <w:lang w:eastAsia="zh-CN"/>
        </w:rPr>
        <w:t>相关的事宜。</w:t>
      </w:r>
    </w:p>
    <w:p w:rsidR="00C10E0E" w:rsidRPr="00110077" w:rsidRDefault="00E21525" w:rsidP="00110077">
      <w:pPr>
        <w:pStyle w:val="enumlev1"/>
      </w:pPr>
      <w:r w:rsidRPr="00110077">
        <w:t>v)</w:t>
      </w:r>
      <w:r w:rsidRPr="00110077">
        <w:tab/>
      </w:r>
      <w:proofErr w:type="spellStart"/>
      <w:r w:rsidR="0065647F" w:rsidRPr="00386166">
        <w:rPr>
          <w:rFonts w:asciiTheme="majorBidi" w:eastAsia="STKaiti" w:hAnsiTheme="majorBidi" w:cstheme="majorBidi" w:hint="eastAsia"/>
        </w:rPr>
        <w:t>与国际电联无线电通信部门和电信发展部门以及其它外部标准化机构开展合作和协调</w:t>
      </w:r>
      <w:proofErr w:type="spellEnd"/>
      <w:r w:rsidR="0065647F" w:rsidRPr="00386166">
        <w:rPr>
          <w:rFonts w:asciiTheme="majorBidi" w:eastAsia="STKaiti" w:hAnsiTheme="majorBidi" w:cstheme="majorBidi" w:hint="eastAsia"/>
        </w:rPr>
        <w:t>。</w:t>
      </w:r>
      <w:r w:rsidR="00C10E0E" w:rsidRPr="00110077">
        <w:t>TSAG</w:t>
      </w:r>
      <w:r w:rsidR="00C10E0E" w:rsidRPr="00110077">
        <w:t>国际电联内部协作与协调分报告人组正在</w:t>
      </w:r>
      <w:r w:rsidR="00494FC8" w:rsidRPr="00110077">
        <w:rPr>
          <w:rFonts w:hint="eastAsia"/>
        </w:rPr>
        <w:t>进行</w:t>
      </w:r>
      <w:r w:rsidR="00494FC8" w:rsidRPr="00110077">
        <w:t>有关</w:t>
      </w:r>
      <w:r w:rsidR="00C10E0E" w:rsidRPr="00110077">
        <w:t>跨部门协调和协作的</w:t>
      </w:r>
      <w:r w:rsidR="00494FC8" w:rsidRPr="00110077">
        <w:t>事项</w:t>
      </w:r>
      <w:r w:rsidR="00494FC8" w:rsidRPr="00110077">
        <w:rPr>
          <w:rFonts w:hint="eastAsia"/>
        </w:rPr>
        <w:t>。</w:t>
      </w:r>
      <w:r w:rsidR="00494FC8" w:rsidRPr="00110077">
        <w:t>这项工作在成员层面得到新的跨部门协调组</w:t>
      </w:r>
      <w:r w:rsidR="00494FC8" w:rsidRPr="00110077">
        <w:rPr>
          <w:rFonts w:hint="eastAsia"/>
        </w:rPr>
        <w:t>、</w:t>
      </w:r>
      <w:r w:rsidR="00494FC8" w:rsidRPr="00110077">
        <w:t>在秘书处层面得到跨部门协调任务组的支持</w:t>
      </w:r>
      <w:r w:rsidR="00494FC8" w:rsidRPr="00110077">
        <w:rPr>
          <w:rFonts w:hint="eastAsia"/>
        </w:rPr>
        <w:t>。</w:t>
      </w:r>
      <w:r w:rsidR="0051734B" w:rsidRPr="00110077">
        <w:rPr>
          <w:rFonts w:hint="eastAsia"/>
        </w:rPr>
        <w:t>在与</w:t>
      </w:r>
      <w:r w:rsidR="00494FC8" w:rsidRPr="00110077">
        <w:rPr>
          <w:rFonts w:hint="eastAsia"/>
        </w:rPr>
        <w:t>外部组织</w:t>
      </w:r>
      <w:r w:rsidR="0051734B" w:rsidRPr="00110077">
        <w:rPr>
          <w:rFonts w:hint="eastAsia"/>
        </w:rPr>
        <w:t>的关系</w:t>
      </w:r>
      <w:r w:rsidR="0051734B" w:rsidRPr="00110077">
        <w:t>方面</w:t>
      </w:r>
      <w:r w:rsidR="00494FC8" w:rsidRPr="00110077">
        <w:rPr>
          <w:rFonts w:hint="eastAsia"/>
        </w:rPr>
        <w:t>，</w:t>
      </w:r>
      <w:r w:rsidR="00494FC8" w:rsidRPr="00110077">
        <w:t>TSAG</w:t>
      </w:r>
      <w:proofErr w:type="spellStart"/>
      <w:r w:rsidR="00494FC8" w:rsidRPr="00110077">
        <w:t>设立了有关加强与外部实体和标准制定组织协作的报告人组</w:t>
      </w:r>
      <w:proofErr w:type="spellEnd"/>
      <w:r w:rsidR="00494FC8" w:rsidRPr="00110077">
        <w:rPr>
          <w:rFonts w:hint="eastAsia"/>
        </w:rPr>
        <w:t>。</w:t>
      </w:r>
    </w:p>
    <w:p w:rsidR="00E21525" w:rsidRPr="00E216F8" w:rsidRDefault="00794BA8" w:rsidP="00E21525">
      <w:pPr>
        <w:pStyle w:val="Headingb"/>
        <w:rPr>
          <w:lang w:eastAsia="zh-CN"/>
        </w:rPr>
      </w:pPr>
      <w:r>
        <w:rPr>
          <w:lang w:eastAsia="zh-CN"/>
        </w:rPr>
        <w:t>提案</w:t>
      </w:r>
    </w:p>
    <w:p w:rsidR="005C7B12" w:rsidRDefault="00494FC8" w:rsidP="00110077">
      <w:pPr>
        <w:ind w:firstLineChars="200" w:firstLine="480"/>
        <w:rPr>
          <w:lang w:eastAsia="zh-CN"/>
        </w:rPr>
      </w:pPr>
      <w:r>
        <w:rPr>
          <w:lang w:val="en-US" w:eastAsia="zh-CN"/>
        </w:rPr>
        <w:t>鉴于与第</w:t>
      </w:r>
      <w:r w:rsidRPr="00E216F8">
        <w:rPr>
          <w:lang w:val="en-US" w:eastAsia="zh-CN"/>
        </w:rPr>
        <w:t>45</w:t>
      </w:r>
      <w:r>
        <w:rPr>
          <w:lang w:val="en-US" w:eastAsia="zh-CN"/>
        </w:rPr>
        <w:t>号决议相关的行动一直在持续进行</w:t>
      </w:r>
      <w:r>
        <w:rPr>
          <w:rFonts w:hint="eastAsia"/>
          <w:lang w:val="en-US" w:eastAsia="zh-CN"/>
        </w:rPr>
        <w:t>，</w:t>
      </w:r>
      <w:r w:rsidR="0051734B">
        <w:rPr>
          <w:lang w:val="en-US" w:eastAsia="zh-CN"/>
        </w:rPr>
        <w:t>可</w:t>
      </w:r>
      <w:r>
        <w:rPr>
          <w:lang w:val="en-US" w:eastAsia="zh-CN"/>
        </w:rPr>
        <w:t>删除</w:t>
      </w:r>
      <w:r w:rsidR="0051734B">
        <w:rPr>
          <w:rFonts w:hint="eastAsia"/>
          <w:lang w:val="en-US" w:eastAsia="zh-CN"/>
        </w:rPr>
        <w:t>此</w:t>
      </w:r>
      <w:r>
        <w:rPr>
          <w:lang w:val="en-US" w:eastAsia="zh-CN"/>
        </w:rPr>
        <w:t>决议</w:t>
      </w:r>
      <w:r>
        <w:rPr>
          <w:rFonts w:hint="eastAsia"/>
          <w:lang w:val="en-US" w:eastAsia="zh-CN"/>
        </w:rPr>
        <w:t>。</w:t>
      </w: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80AD8" w:rsidRDefault="00004455">
      <w:pPr>
        <w:pStyle w:val="Proposal"/>
        <w:rPr>
          <w:lang w:eastAsia="zh-CN"/>
        </w:rPr>
      </w:pPr>
      <w:r>
        <w:rPr>
          <w:lang w:eastAsia="zh-CN"/>
        </w:rPr>
        <w:t>SUP</w:t>
      </w:r>
      <w:r>
        <w:rPr>
          <w:lang w:eastAsia="zh-CN"/>
        </w:rPr>
        <w:tab/>
        <w:t>IAP/46A27/1</w:t>
      </w:r>
    </w:p>
    <w:p w:rsidR="002F3272" w:rsidRPr="00E04A5F" w:rsidRDefault="00004455" w:rsidP="002F3272">
      <w:pPr>
        <w:pStyle w:val="ResNo"/>
        <w:rPr>
          <w:lang w:eastAsia="zh-CN"/>
        </w:rPr>
      </w:pPr>
      <w:bookmarkStart w:id="0" w:name="_Toc219521722"/>
      <w:bookmarkStart w:id="1" w:name="_Toc348252457"/>
      <w:r w:rsidRPr="0038451B">
        <w:rPr>
          <w:rStyle w:val="href"/>
          <w:rFonts w:hint="eastAsia"/>
        </w:rPr>
        <w:t>第</w:t>
      </w:r>
      <w:r w:rsidRPr="0038451B">
        <w:rPr>
          <w:rStyle w:val="href"/>
        </w:rPr>
        <w:t>45</w:t>
      </w:r>
      <w:r w:rsidRPr="0038451B">
        <w:rPr>
          <w:rStyle w:val="href"/>
          <w:rFonts w:hint="eastAsia"/>
        </w:rPr>
        <w:t>号决议</w:t>
      </w:r>
      <w:bookmarkEnd w:id="0"/>
      <w:r>
        <w:rPr>
          <w:rFonts w:hint="eastAsia"/>
          <w:lang w:eastAsia="zh-CN"/>
        </w:rPr>
        <w:t>（</w:t>
      </w:r>
      <w:r>
        <w:rPr>
          <w:lang w:eastAsia="zh-CN"/>
        </w:rPr>
        <w:t>2012</w:t>
      </w:r>
      <w:r>
        <w:rPr>
          <w:rFonts w:hint="eastAsia"/>
          <w:lang w:eastAsia="zh-CN"/>
        </w:rPr>
        <w:t>年，迪拜，修订版）</w:t>
      </w:r>
      <w:bookmarkEnd w:id="1"/>
    </w:p>
    <w:p w:rsidR="002F3272" w:rsidRPr="00E04A5F" w:rsidRDefault="00004455" w:rsidP="002F3272">
      <w:pPr>
        <w:pStyle w:val="Restitle"/>
        <w:rPr>
          <w:lang w:eastAsia="zh-CN"/>
        </w:rPr>
      </w:pPr>
      <w:bookmarkStart w:id="2" w:name="_Toc219521723"/>
      <w:bookmarkStart w:id="3" w:name="_Toc348252458"/>
      <w:r w:rsidRPr="00E04A5F">
        <w:rPr>
          <w:rFonts w:hint="eastAsia"/>
          <w:lang w:eastAsia="zh-CN"/>
        </w:rPr>
        <w:t>有效协调</w:t>
      </w:r>
      <w:r>
        <w:rPr>
          <w:rFonts w:hint="eastAsia"/>
          <w:lang w:eastAsia="zh-CN"/>
        </w:rPr>
        <w:t>国际电联电信标准化部门所有</w:t>
      </w:r>
      <w:r w:rsidRPr="00E04A5F">
        <w:rPr>
          <w:rFonts w:hint="eastAsia"/>
          <w:lang w:eastAsia="zh-CN"/>
        </w:rPr>
        <w:t>研究组开展的</w:t>
      </w:r>
      <w:r w:rsidRPr="00E04A5F">
        <w:rPr>
          <w:lang w:eastAsia="zh-CN"/>
        </w:rPr>
        <w:br/>
      </w:r>
      <w:r w:rsidRPr="00E04A5F">
        <w:rPr>
          <w:rFonts w:hint="eastAsia"/>
          <w:lang w:eastAsia="zh-CN"/>
        </w:rPr>
        <w:t>标准化工作以及</w:t>
      </w:r>
      <w:r>
        <w:rPr>
          <w:rFonts w:hint="eastAsia"/>
          <w:lang w:eastAsia="zh-CN"/>
        </w:rPr>
        <w:t>电信标准化顾问组</w:t>
      </w:r>
      <w:r w:rsidRPr="00E04A5F">
        <w:rPr>
          <w:rFonts w:hint="eastAsia"/>
          <w:lang w:eastAsia="zh-CN"/>
        </w:rPr>
        <w:t>的作用</w:t>
      </w:r>
      <w:bookmarkEnd w:id="2"/>
      <w:bookmarkEnd w:id="3"/>
    </w:p>
    <w:p w:rsidR="002F3272" w:rsidRPr="00293D20" w:rsidRDefault="00004455" w:rsidP="002F3272">
      <w:pPr>
        <w:pStyle w:val="Resref"/>
        <w:rPr>
          <w:iCs/>
          <w:lang w:eastAsia="zh-CN"/>
        </w:rPr>
      </w:pPr>
      <w:r w:rsidRPr="00293D20">
        <w:rPr>
          <w:rFonts w:hint="eastAsia"/>
          <w:iCs/>
          <w:lang w:eastAsia="zh-CN"/>
        </w:rPr>
        <w:t>（</w:t>
      </w:r>
      <w:r w:rsidRPr="00293D20">
        <w:rPr>
          <w:rFonts w:hint="eastAsia"/>
          <w:iCs/>
          <w:lang w:eastAsia="zh-CN"/>
        </w:rPr>
        <w:t>2004</w:t>
      </w:r>
      <w:r w:rsidRPr="00293D20">
        <w:rPr>
          <w:rFonts w:hint="eastAsia"/>
          <w:iCs/>
          <w:lang w:eastAsia="zh-CN"/>
        </w:rPr>
        <w:t>年，弗洛里亚诺波利斯；</w:t>
      </w:r>
      <w:r w:rsidRPr="00293D20">
        <w:rPr>
          <w:rFonts w:hint="eastAsia"/>
          <w:iCs/>
          <w:lang w:eastAsia="zh-CN"/>
        </w:rPr>
        <w:t>2008</w:t>
      </w:r>
      <w:r w:rsidRPr="00293D20">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sidRPr="00293D20">
        <w:rPr>
          <w:rFonts w:hint="eastAsia"/>
          <w:iCs/>
          <w:lang w:eastAsia="zh-CN"/>
        </w:rPr>
        <w:t>）</w:t>
      </w:r>
    </w:p>
    <w:p w:rsidR="00B80AD8" w:rsidRDefault="00004455" w:rsidP="00CC1971">
      <w:pPr>
        <w:pStyle w:val="Reasons"/>
        <w:rPr>
          <w:lang w:eastAsia="zh-CN"/>
        </w:rPr>
      </w:pPr>
      <w:r>
        <w:rPr>
          <w:b/>
          <w:lang w:eastAsia="zh-CN"/>
        </w:rPr>
        <w:t>理由：</w:t>
      </w:r>
      <w:r>
        <w:rPr>
          <w:lang w:eastAsia="zh-CN"/>
        </w:rPr>
        <w:tab/>
      </w:r>
      <w:r w:rsidR="00794BA8">
        <w:rPr>
          <w:lang w:eastAsia="zh-CN"/>
        </w:rPr>
        <w:t>见</w:t>
      </w:r>
      <w:r w:rsidR="00CC1971">
        <w:rPr>
          <w:lang w:eastAsia="zh-CN"/>
        </w:rPr>
        <w:t>46</w:t>
      </w:r>
      <w:bookmarkStart w:id="4" w:name="_GoBack"/>
      <w:bookmarkEnd w:id="4"/>
      <w:r w:rsidR="00CC1971">
        <w:rPr>
          <w:lang w:eastAsia="zh-CN"/>
        </w:rPr>
        <w:t>(Add.</w:t>
      </w:r>
      <w:r w:rsidR="00794BA8" w:rsidRPr="00E216F8">
        <w:rPr>
          <w:lang w:eastAsia="zh-CN"/>
        </w:rPr>
        <w:t>27)</w:t>
      </w:r>
      <w:r w:rsidR="00794BA8">
        <w:rPr>
          <w:lang w:eastAsia="zh-CN"/>
        </w:rPr>
        <w:t>号文件的讨论和提案部分</w:t>
      </w:r>
      <w:r w:rsidR="00794BA8">
        <w:rPr>
          <w:rFonts w:hint="eastAsia"/>
          <w:lang w:eastAsia="zh-CN"/>
        </w:rPr>
        <w:t>。</w:t>
      </w:r>
    </w:p>
    <w:p w:rsidR="00110077" w:rsidRDefault="00110077" w:rsidP="0051734B">
      <w:pPr>
        <w:pStyle w:val="Reasons"/>
        <w:rPr>
          <w:lang w:eastAsia="zh-CN"/>
        </w:rPr>
      </w:pPr>
    </w:p>
    <w:p w:rsidR="00110077" w:rsidRDefault="00110077">
      <w:pPr>
        <w:jc w:val="center"/>
      </w:pPr>
      <w:r>
        <w:t>______________</w:t>
      </w:r>
    </w:p>
    <w:sectPr w:rsidR="00110077">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EFF" w:rsidRPr="00FB5EFF" w:rsidRDefault="00FB5EFF" w:rsidP="00FB5EFF">
    <w:pPr>
      <w:pStyle w:val="Footer"/>
      <w:rPr>
        <w:lang w:val="fr-CH"/>
      </w:rPr>
    </w:pPr>
    <w:r>
      <w:fldChar w:fldCharType="begin"/>
    </w:r>
    <w:r w:rsidRPr="00FB5EFF">
      <w:rPr>
        <w:lang w:val="fr-CH"/>
      </w:rPr>
      <w:instrText xml:space="preserve"> FILENAME \p  \* MERGEFORMAT </w:instrText>
    </w:r>
    <w:r>
      <w:fldChar w:fldCharType="separate"/>
    </w:r>
    <w:r w:rsidRPr="00FB5EFF">
      <w:rPr>
        <w:lang w:val="fr-CH"/>
      </w:rPr>
      <w:t>P:\CHI\ITU-T\CONF-T\WTSA16\000\046ADD27C.docx</w:t>
    </w:r>
    <w:r>
      <w:fldChar w:fldCharType="end"/>
    </w:r>
    <w:r w:rsidRPr="00FB5EFF">
      <w:rPr>
        <w:lang w:val="fr-CH"/>
      </w:rPr>
      <w:t xml:space="preserve"> </w:t>
    </w:r>
    <w:r w:rsidRPr="00004455">
      <w:rPr>
        <w:lang w:val="fr-CH"/>
      </w:rPr>
      <w:t>(</w:t>
    </w:r>
    <w:r>
      <w:rPr>
        <w:lang w:val="fr-CH"/>
      </w:rPr>
      <w:t>405154</w:t>
    </w:r>
    <w:r w:rsidRPr="00004455">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99361E" w:rsidRPr="001807E9" w:rsidTr="00D45F63">
      <w:trPr>
        <w:cantSplit/>
        <w:trHeight w:val="204"/>
      </w:trPr>
      <w:tc>
        <w:tcPr>
          <w:tcW w:w="1617" w:type="dxa"/>
          <w:tcBorders>
            <w:top w:val="single" w:sz="12" w:space="0" w:color="auto"/>
          </w:tcBorders>
        </w:tcPr>
        <w:p w:rsidR="0099361E" w:rsidRPr="001807E9" w:rsidRDefault="0099361E" w:rsidP="0099361E">
          <w:pPr>
            <w:rPr>
              <w:b/>
              <w:bCs/>
              <w:lang w:eastAsia="zh-CN"/>
            </w:rPr>
          </w:pPr>
          <w:bookmarkStart w:id="5" w:name="dcontact"/>
          <w:r>
            <w:rPr>
              <w:rFonts w:hint="eastAsia"/>
              <w:b/>
              <w:bCs/>
              <w:lang w:eastAsia="zh-CN"/>
            </w:rPr>
            <w:t>联系人</w:t>
          </w:r>
          <w:r>
            <w:rPr>
              <w:b/>
              <w:bCs/>
              <w:lang w:eastAsia="zh-CN"/>
            </w:rPr>
            <w:t>：</w:t>
          </w:r>
        </w:p>
      </w:tc>
      <w:tc>
        <w:tcPr>
          <w:tcW w:w="4394" w:type="dxa"/>
          <w:tcBorders>
            <w:top w:val="single" w:sz="12" w:space="0" w:color="auto"/>
          </w:tcBorders>
        </w:tcPr>
        <w:p w:rsidR="0099361E" w:rsidRPr="001807E9" w:rsidRDefault="0099361E" w:rsidP="0099361E">
          <w:pPr>
            <w:rPr>
              <w:lang w:val="es-ES"/>
            </w:rPr>
          </w:pPr>
          <w:r w:rsidRPr="001807E9">
            <w:rPr>
              <w:lang w:val="es-ES"/>
            </w:rPr>
            <w:t>Oscar León</w:t>
          </w:r>
        </w:p>
        <w:p w:rsidR="0099361E" w:rsidRPr="001807E9" w:rsidRDefault="0099361E" w:rsidP="0099361E">
          <w:pPr>
            <w:spacing w:before="0"/>
            <w:rPr>
              <w:lang w:val="es-ES"/>
            </w:rPr>
          </w:pPr>
          <w:r w:rsidRPr="001807E9">
            <w:rPr>
              <w:lang w:val="es-ES"/>
            </w:rPr>
            <w:t>CITEL</w:t>
          </w:r>
        </w:p>
        <w:p w:rsidR="0099361E" w:rsidRPr="001807E9" w:rsidRDefault="0051734B" w:rsidP="0099361E">
          <w:pPr>
            <w:spacing w:before="0"/>
            <w:rPr>
              <w:lang w:val="es-ES" w:eastAsia="zh-CN"/>
            </w:rPr>
          </w:pPr>
          <w:r>
            <w:rPr>
              <w:rFonts w:hint="eastAsia"/>
              <w:lang w:val="es-ES" w:eastAsia="zh-CN"/>
            </w:rPr>
            <w:t>美国，</w:t>
          </w:r>
          <w:r>
            <w:rPr>
              <w:lang w:val="es-ES" w:eastAsia="zh-CN"/>
            </w:rPr>
            <w:t>华盛顿特区</w:t>
          </w:r>
        </w:p>
      </w:tc>
      <w:tc>
        <w:tcPr>
          <w:tcW w:w="3912" w:type="dxa"/>
          <w:tcBorders>
            <w:top w:val="single" w:sz="12" w:space="0" w:color="auto"/>
          </w:tcBorders>
        </w:tcPr>
        <w:p w:rsidR="0099361E" w:rsidRPr="001807E9" w:rsidRDefault="0099361E" w:rsidP="0099361E">
          <w:pPr>
            <w:rPr>
              <w:lang w:eastAsia="zh-CN"/>
            </w:rPr>
          </w:pPr>
          <w:r>
            <w:rPr>
              <w:rFonts w:hint="eastAsia"/>
              <w:lang w:eastAsia="zh-CN"/>
            </w:rPr>
            <w:t>电话</w:t>
          </w:r>
          <w:r>
            <w:rPr>
              <w:lang w:eastAsia="zh-CN"/>
            </w:rPr>
            <w:t>：</w:t>
          </w:r>
          <w:r w:rsidRPr="001807E9">
            <w:rPr>
              <w:lang w:eastAsia="zh-CN"/>
            </w:rPr>
            <w:t>+ 1 (202) 370-4713</w:t>
          </w:r>
        </w:p>
        <w:p w:rsidR="0099361E" w:rsidRPr="001807E9" w:rsidRDefault="0099361E" w:rsidP="0099361E">
          <w:pPr>
            <w:spacing w:before="0"/>
            <w:rPr>
              <w:lang w:eastAsia="zh-CN"/>
            </w:rPr>
          </w:pPr>
          <w:r>
            <w:rPr>
              <w:rFonts w:hint="eastAsia"/>
              <w:lang w:eastAsia="zh-CN"/>
            </w:rPr>
            <w:t>传真</w:t>
          </w:r>
          <w:r>
            <w:rPr>
              <w:lang w:eastAsia="zh-CN"/>
            </w:rPr>
            <w:t>：</w:t>
          </w:r>
          <w:r w:rsidRPr="001807E9">
            <w:rPr>
              <w:lang w:eastAsia="zh-CN"/>
            </w:rPr>
            <w:t>+ 1 (202) 458-6854</w:t>
          </w:r>
        </w:p>
        <w:p w:rsidR="0099361E" w:rsidRPr="001807E9" w:rsidRDefault="0099361E" w:rsidP="0099361E">
          <w:pPr>
            <w:spacing w:before="0"/>
            <w:rPr>
              <w:lang w:eastAsia="zh-CN"/>
            </w:rPr>
          </w:pPr>
          <w:r>
            <w:rPr>
              <w:rFonts w:hint="eastAsia"/>
              <w:lang w:eastAsia="zh-CN"/>
            </w:rPr>
            <w:t>电子</w:t>
          </w:r>
          <w:r>
            <w:rPr>
              <w:lang w:eastAsia="zh-CN"/>
            </w:rPr>
            <w:t>邮件：</w:t>
          </w:r>
          <w:hyperlink r:id="rId1" w:history="1">
            <w:r w:rsidRPr="00321020">
              <w:rPr>
                <w:rStyle w:val="Hyperlink"/>
                <w:lang w:eastAsia="zh-CN"/>
              </w:rPr>
              <w:t>citel@oas.org</w:t>
            </w:r>
          </w:hyperlink>
        </w:p>
      </w:tc>
    </w:tr>
    <w:bookmarkEnd w:id="5"/>
  </w:tbl>
  <w:p w:rsidR="003468CA" w:rsidRPr="000A3B30" w:rsidRDefault="003468CA" w:rsidP="00231452">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C1971">
      <w:rPr>
        <w:rStyle w:val="PageNumber"/>
        <w:noProof/>
      </w:rPr>
      <w:t>3</w:t>
    </w:r>
    <w:r>
      <w:rPr>
        <w:rStyle w:val="PageNumber"/>
      </w:rPr>
      <w:fldChar w:fldCharType="end"/>
    </w:r>
  </w:p>
  <w:p w:rsidR="00B851D4" w:rsidRPr="000A3B30" w:rsidRDefault="00502B2E" w:rsidP="000A3B30">
    <w:pPr>
      <w:pStyle w:val="Header"/>
      <w:rPr>
        <w:lang w:val="en-US"/>
      </w:rPr>
    </w:pPr>
    <w:r>
      <w:t>WTSA16/46(Add.27)-C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4455"/>
    <w:rsid w:val="0001097C"/>
    <w:rsid w:val="000174B1"/>
    <w:rsid w:val="000264C2"/>
    <w:rsid w:val="000273B7"/>
    <w:rsid w:val="00031E6B"/>
    <w:rsid w:val="00037C90"/>
    <w:rsid w:val="00056E55"/>
    <w:rsid w:val="00071357"/>
    <w:rsid w:val="00073F1E"/>
    <w:rsid w:val="00081F9B"/>
    <w:rsid w:val="000A3B30"/>
    <w:rsid w:val="000C09BA"/>
    <w:rsid w:val="000C1F1E"/>
    <w:rsid w:val="000C6AA7"/>
    <w:rsid w:val="000E26F6"/>
    <w:rsid w:val="00110077"/>
    <w:rsid w:val="00123B64"/>
    <w:rsid w:val="00166859"/>
    <w:rsid w:val="001765EC"/>
    <w:rsid w:val="001853E8"/>
    <w:rsid w:val="001B6360"/>
    <w:rsid w:val="001F4EA6"/>
    <w:rsid w:val="00214959"/>
    <w:rsid w:val="00231452"/>
    <w:rsid w:val="00246C4C"/>
    <w:rsid w:val="0028063B"/>
    <w:rsid w:val="002A4C9C"/>
    <w:rsid w:val="002B1DCF"/>
    <w:rsid w:val="002B509B"/>
    <w:rsid w:val="002D162B"/>
    <w:rsid w:val="002D625E"/>
    <w:rsid w:val="002E2A59"/>
    <w:rsid w:val="00305254"/>
    <w:rsid w:val="003169D2"/>
    <w:rsid w:val="003468CA"/>
    <w:rsid w:val="003556C0"/>
    <w:rsid w:val="0037196B"/>
    <w:rsid w:val="00372FC2"/>
    <w:rsid w:val="00386166"/>
    <w:rsid w:val="003A69EA"/>
    <w:rsid w:val="003B4BEF"/>
    <w:rsid w:val="003C6B45"/>
    <w:rsid w:val="003F0C01"/>
    <w:rsid w:val="00400909"/>
    <w:rsid w:val="0041282E"/>
    <w:rsid w:val="00437869"/>
    <w:rsid w:val="00465A34"/>
    <w:rsid w:val="00494FC8"/>
    <w:rsid w:val="004B074D"/>
    <w:rsid w:val="004C4554"/>
    <w:rsid w:val="004D04A4"/>
    <w:rsid w:val="004D2DEC"/>
    <w:rsid w:val="004F2BE6"/>
    <w:rsid w:val="00502B2E"/>
    <w:rsid w:val="0051734B"/>
    <w:rsid w:val="00524E4B"/>
    <w:rsid w:val="00527E8A"/>
    <w:rsid w:val="00534930"/>
    <w:rsid w:val="00536193"/>
    <w:rsid w:val="00542E85"/>
    <w:rsid w:val="00562479"/>
    <w:rsid w:val="00576849"/>
    <w:rsid w:val="005A0ACB"/>
    <w:rsid w:val="005C7B12"/>
    <w:rsid w:val="005E7FD8"/>
    <w:rsid w:val="00611DCC"/>
    <w:rsid w:val="00622560"/>
    <w:rsid w:val="00632F7E"/>
    <w:rsid w:val="00637760"/>
    <w:rsid w:val="00644391"/>
    <w:rsid w:val="00647712"/>
    <w:rsid w:val="0065647F"/>
    <w:rsid w:val="00662E12"/>
    <w:rsid w:val="00691142"/>
    <w:rsid w:val="006B6525"/>
    <w:rsid w:val="006B67CE"/>
    <w:rsid w:val="006C38ED"/>
    <w:rsid w:val="006E6182"/>
    <w:rsid w:val="006F3C60"/>
    <w:rsid w:val="006F409E"/>
    <w:rsid w:val="00707454"/>
    <w:rsid w:val="00736415"/>
    <w:rsid w:val="00740CC2"/>
    <w:rsid w:val="00770D2A"/>
    <w:rsid w:val="00775B71"/>
    <w:rsid w:val="007864F6"/>
    <w:rsid w:val="00794BA8"/>
    <w:rsid w:val="00796488"/>
    <w:rsid w:val="007B7C4B"/>
    <w:rsid w:val="007F0FC5"/>
    <w:rsid w:val="007F1339"/>
    <w:rsid w:val="007F5C36"/>
    <w:rsid w:val="008047DB"/>
    <w:rsid w:val="008129A9"/>
    <w:rsid w:val="00820712"/>
    <w:rsid w:val="00821655"/>
    <w:rsid w:val="008221A4"/>
    <w:rsid w:val="0082361D"/>
    <w:rsid w:val="00824BD6"/>
    <w:rsid w:val="0083672D"/>
    <w:rsid w:val="00844734"/>
    <w:rsid w:val="00857FA1"/>
    <w:rsid w:val="00865C21"/>
    <w:rsid w:val="00865DFB"/>
    <w:rsid w:val="00871E15"/>
    <w:rsid w:val="008A7416"/>
    <w:rsid w:val="008B6852"/>
    <w:rsid w:val="008C26FF"/>
    <w:rsid w:val="008D1D14"/>
    <w:rsid w:val="008E1785"/>
    <w:rsid w:val="008E7127"/>
    <w:rsid w:val="008E7C8E"/>
    <w:rsid w:val="00912959"/>
    <w:rsid w:val="0092075B"/>
    <w:rsid w:val="009657F9"/>
    <w:rsid w:val="009759FE"/>
    <w:rsid w:val="0099361E"/>
    <w:rsid w:val="0099525B"/>
    <w:rsid w:val="009C69F3"/>
    <w:rsid w:val="009C72B7"/>
    <w:rsid w:val="009D164C"/>
    <w:rsid w:val="00A0052C"/>
    <w:rsid w:val="00A06370"/>
    <w:rsid w:val="00A16B3A"/>
    <w:rsid w:val="00A31B14"/>
    <w:rsid w:val="00A323DC"/>
    <w:rsid w:val="00A815BE"/>
    <w:rsid w:val="00AA5DA1"/>
    <w:rsid w:val="00AB7F81"/>
    <w:rsid w:val="00AD4FAF"/>
    <w:rsid w:val="00AE369F"/>
    <w:rsid w:val="00B026CB"/>
    <w:rsid w:val="00B04EB8"/>
    <w:rsid w:val="00B637AD"/>
    <w:rsid w:val="00B67B76"/>
    <w:rsid w:val="00B72CBE"/>
    <w:rsid w:val="00B80AD8"/>
    <w:rsid w:val="00B851D4"/>
    <w:rsid w:val="00B868FC"/>
    <w:rsid w:val="00B95072"/>
    <w:rsid w:val="00BB26CD"/>
    <w:rsid w:val="00C07239"/>
    <w:rsid w:val="00C10E0E"/>
    <w:rsid w:val="00C364B1"/>
    <w:rsid w:val="00C47D87"/>
    <w:rsid w:val="00C627F9"/>
    <w:rsid w:val="00C6584D"/>
    <w:rsid w:val="00C748C8"/>
    <w:rsid w:val="00C929E0"/>
    <w:rsid w:val="00CB4E5A"/>
    <w:rsid w:val="00CC1971"/>
    <w:rsid w:val="00CC73D7"/>
    <w:rsid w:val="00CF0AD7"/>
    <w:rsid w:val="00CF0BE1"/>
    <w:rsid w:val="00CF25B1"/>
    <w:rsid w:val="00CF5665"/>
    <w:rsid w:val="00D061C5"/>
    <w:rsid w:val="00D52A14"/>
    <w:rsid w:val="00D660D2"/>
    <w:rsid w:val="00D74599"/>
    <w:rsid w:val="00D90575"/>
    <w:rsid w:val="00DA0469"/>
    <w:rsid w:val="00DD13B7"/>
    <w:rsid w:val="00DF3B0C"/>
    <w:rsid w:val="00E05750"/>
    <w:rsid w:val="00E148F2"/>
    <w:rsid w:val="00E14984"/>
    <w:rsid w:val="00E21525"/>
    <w:rsid w:val="00E22A25"/>
    <w:rsid w:val="00E2414B"/>
    <w:rsid w:val="00E249E0"/>
    <w:rsid w:val="00E4252D"/>
    <w:rsid w:val="00E560F1"/>
    <w:rsid w:val="00E66A97"/>
    <w:rsid w:val="00E9167E"/>
    <w:rsid w:val="00E92319"/>
    <w:rsid w:val="00EF3C50"/>
    <w:rsid w:val="00F469EB"/>
    <w:rsid w:val="00F46DC3"/>
    <w:rsid w:val="00F532F9"/>
    <w:rsid w:val="00F65C1D"/>
    <w:rsid w:val="00F66B87"/>
    <w:rsid w:val="00F837F4"/>
    <w:rsid w:val="00FB5EFF"/>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cbffa9c-0015-4ba1-8e8f-2475770127cf">Documents Proposals Manager (DPM)</DPM_x0020_Author>
    <DPM_x0020_File_x0020_name xmlns="1cbffa9c-0015-4ba1-8e8f-2475770127cf">T13-WTSA.16-C-0046!A27!MSW-C</DPM_x0020_File_x0020_name>
    <DPM_x0020_Version xmlns="1cbffa9c-0015-4ba1-8e8f-2475770127cf">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cbffa9c-0015-4ba1-8e8f-2475770127cf" targetNamespace="http://schemas.microsoft.com/office/2006/metadata/properties" ma:root="true" ma:fieldsID="d41af5c836d734370eb92e7ee5f83852" ns2:_="" ns3:_="">
    <xsd:import namespace="996b2e75-67fd-4955-a3b0-5ab9934cb50b"/>
    <xsd:import namespace="1cbffa9c-0015-4ba1-8e8f-2475770127c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cbffa9c-0015-4ba1-8e8f-2475770127c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1cbffa9c-0015-4ba1-8e8f-2475770127cf"/>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cbffa9c-0015-4ba1-8e8f-247577012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840</Words>
  <Characters>210</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T13-WTSA.16-C-0046!A27!MSW-C</vt:lpstr>
    </vt:vector>
  </TitlesOfParts>
  <Manager>General Secretariat - Pool</Manager>
  <Company>International Telecommunication Union (ITU)</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T13-WTSA.16-C-0046!A27!MSW-C</dc:title>
  <dc:subject>World Telecommunication Standardization Assembly</dc:subject>
  <dc:creator>Documents Proposals Manager (DPM)</dc:creator>
  <cp:keywords>DPM_v2016.9.23.1_prod</cp:keywords>
  <dc:description>Template used by DPM and CPI for the WTSA-16</dc:description>
  <cp:lastModifiedBy>An, Changfeng</cp:lastModifiedBy>
  <cp:revision>13</cp:revision>
  <cp:lastPrinted>2016-06-07T13:24:00Z</cp:lastPrinted>
  <dcterms:created xsi:type="dcterms:W3CDTF">2016-10-17T14:21:00Z</dcterms:created>
  <dcterms:modified xsi:type="dcterms:W3CDTF">2016-10-17T14:41:00Z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