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63462B" w:rsidTr="004B520A">
        <w:trPr>
          <w:cantSplit/>
        </w:trPr>
        <w:tc>
          <w:tcPr>
            <w:tcW w:w="1379" w:type="dxa"/>
            <w:vAlign w:val="center"/>
          </w:tcPr>
          <w:p w:rsidR="000E5EE9" w:rsidRPr="0063462B" w:rsidRDefault="000E5EE9" w:rsidP="004B520A">
            <w:pPr>
              <w:rPr>
                <w:rFonts w:ascii="Verdana" w:hAnsi="Verdana" w:cs="Times New Roman Bold"/>
                <w:b/>
                <w:bCs/>
                <w:sz w:val="22"/>
                <w:szCs w:val="22"/>
              </w:rPr>
            </w:pPr>
            <w:r w:rsidRPr="0063462B">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63462B" w:rsidRDefault="000E5EE9" w:rsidP="004B520A">
            <w:pPr>
              <w:rPr>
                <w:rFonts w:ascii="Verdana" w:hAnsi="Verdana" w:cs="Times New Roman Bold"/>
                <w:b/>
                <w:bCs/>
                <w:szCs w:val="24"/>
              </w:rPr>
            </w:pPr>
            <w:r w:rsidRPr="0063462B">
              <w:rPr>
                <w:rFonts w:ascii="Verdana" w:hAnsi="Verdana" w:cs="Times New Roman Bold"/>
                <w:b/>
                <w:bCs/>
                <w:szCs w:val="24"/>
              </w:rPr>
              <w:t>Asamblea Mundial de Normalización de las Telecomunicaciones (</w:t>
            </w:r>
            <w:r w:rsidR="0028017B" w:rsidRPr="0063462B">
              <w:rPr>
                <w:rFonts w:ascii="Verdana" w:hAnsi="Verdana" w:cs="Times New Roman Bold"/>
                <w:b/>
                <w:bCs/>
                <w:szCs w:val="24"/>
              </w:rPr>
              <w:t>AMNT-16</w:t>
            </w:r>
            <w:r w:rsidRPr="0063462B">
              <w:rPr>
                <w:rFonts w:ascii="Verdana" w:hAnsi="Verdana" w:cs="Times New Roman Bold"/>
                <w:b/>
                <w:bCs/>
                <w:szCs w:val="24"/>
              </w:rPr>
              <w:t>)</w:t>
            </w:r>
          </w:p>
          <w:p w:rsidR="000E5EE9" w:rsidRPr="0063462B" w:rsidRDefault="0028017B" w:rsidP="004B520A">
            <w:pPr>
              <w:spacing w:before="0"/>
              <w:rPr>
                <w:rFonts w:ascii="Verdana" w:hAnsi="Verdana" w:cs="Times New Roman Bold"/>
                <w:b/>
                <w:bCs/>
                <w:sz w:val="19"/>
                <w:szCs w:val="19"/>
              </w:rPr>
            </w:pPr>
            <w:r w:rsidRPr="0063462B">
              <w:rPr>
                <w:rFonts w:ascii="Verdana" w:hAnsi="Verdana" w:cs="Times New Roman Bold"/>
                <w:b/>
                <w:bCs/>
                <w:sz w:val="18"/>
                <w:szCs w:val="18"/>
              </w:rPr>
              <w:t>Hammamet, 25 de octubre</w:t>
            </w:r>
            <w:r w:rsidR="00E21778" w:rsidRPr="0063462B">
              <w:rPr>
                <w:rFonts w:ascii="Verdana" w:hAnsi="Verdana" w:cs="Times New Roman Bold"/>
                <w:b/>
                <w:bCs/>
                <w:sz w:val="18"/>
                <w:szCs w:val="18"/>
              </w:rPr>
              <w:t xml:space="preserve"> </w:t>
            </w:r>
            <w:r w:rsidRPr="0063462B">
              <w:rPr>
                <w:rFonts w:ascii="Verdana" w:hAnsi="Verdana" w:cs="Times New Roman Bold"/>
                <w:b/>
                <w:bCs/>
                <w:sz w:val="18"/>
                <w:szCs w:val="18"/>
              </w:rPr>
              <w:t>-</w:t>
            </w:r>
            <w:r w:rsidR="00E21778" w:rsidRPr="0063462B">
              <w:rPr>
                <w:rFonts w:ascii="Verdana" w:hAnsi="Verdana" w:cs="Times New Roman Bold"/>
                <w:b/>
                <w:bCs/>
                <w:sz w:val="18"/>
                <w:szCs w:val="18"/>
              </w:rPr>
              <w:t xml:space="preserve"> </w:t>
            </w:r>
            <w:r w:rsidRPr="0063462B">
              <w:rPr>
                <w:rFonts w:ascii="Verdana" w:hAnsi="Verdana" w:cs="Times New Roman Bold"/>
                <w:b/>
                <w:bCs/>
                <w:sz w:val="18"/>
                <w:szCs w:val="18"/>
              </w:rPr>
              <w:t>3 de noviembre de 2016</w:t>
            </w:r>
          </w:p>
        </w:tc>
        <w:tc>
          <w:tcPr>
            <w:tcW w:w="1873" w:type="dxa"/>
            <w:vAlign w:val="center"/>
          </w:tcPr>
          <w:p w:rsidR="000E5EE9" w:rsidRPr="0063462B" w:rsidRDefault="000E5EE9" w:rsidP="004B520A">
            <w:pPr>
              <w:spacing w:before="0"/>
              <w:jc w:val="right"/>
            </w:pPr>
            <w:r w:rsidRPr="0063462B">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63462B" w:rsidTr="004B520A">
        <w:trPr>
          <w:cantSplit/>
        </w:trPr>
        <w:tc>
          <w:tcPr>
            <w:tcW w:w="6613" w:type="dxa"/>
            <w:gridSpan w:val="2"/>
            <w:tcBorders>
              <w:bottom w:val="single" w:sz="12" w:space="0" w:color="auto"/>
            </w:tcBorders>
          </w:tcPr>
          <w:p w:rsidR="00F0220A" w:rsidRPr="0063462B" w:rsidRDefault="00F0220A" w:rsidP="004B520A">
            <w:pPr>
              <w:spacing w:before="0"/>
            </w:pPr>
          </w:p>
        </w:tc>
        <w:tc>
          <w:tcPr>
            <w:tcW w:w="3198" w:type="dxa"/>
            <w:gridSpan w:val="2"/>
            <w:tcBorders>
              <w:bottom w:val="single" w:sz="12" w:space="0" w:color="auto"/>
            </w:tcBorders>
          </w:tcPr>
          <w:p w:rsidR="00F0220A" w:rsidRPr="0063462B" w:rsidRDefault="00F0220A" w:rsidP="004B520A">
            <w:pPr>
              <w:spacing w:before="0"/>
            </w:pPr>
          </w:p>
        </w:tc>
      </w:tr>
      <w:tr w:rsidR="005A374D" w:rsidRPr="0063462B" w:rsidTr="004B520A">
        <w:trPr>
          <w:cantSplit/>
        </w:trPr>
        <w:tc>
          <w:tcPr>
            <w:tcW w:w="6613" w:type="dxa"/>
            <w:gridSpan w:val="2"/>
            <w:tcBorders>
              <w:top w:val="single" w:sz="12" w:space="0" w:color="auto"/>
            </w:tcBorders>
          </w:tcPr>
          <w:p w:rsidR="005A374D" w:rsidRPr="0063462B" w:rsidRDefault="005A374D" w:rsidP="004B520A">
            <w:pPr>
              <w:spacing w:before="0"/>
            </w:pPr>
          </w:p>
        </w:tc>
        <w:tc>
          <w:tcPr>
            <w:tcW w:w="3198" w:type="dxa"/>
            <w:gridSpan w:val="2"/>
          </w:tcPr>
          <w:p w:rsidR="005A374D" w:rsidRPr="0063462B" w:rsidRDefault="005A374D" w:rsidP="004B520A">
            <w:pPr>
              <w:spacing w:before="0"/>
              <w:rPr>
                <w:rFonts w:ascii="Verdana" w:hAnsi="Verdana"/>
                <w:b/>
                <w:bCs/>
                <w:sz w:val="20"/>
              </w:rPr>
            </w:pPr>
          </w:p>
        </w:tc>
      </w:tr>
      <w:tr w:rsidR="00E83D45" w:rsidRPr="0063462B" w:rsidTr="004B520A">
        <w:trPr>
          <w:cantSplit/>
        </w:trPr>
        <w:tc>
          <w:tcPr>
            <w:tcW w:w="6613" w:type="dxa"/>
            <w:gridSpan w:val="2"/>
          </w:tcPr>
          <w:p w:rsidR="00E83D45" w:rsidRPr="0063462B" w:rsidRDefault="00E83D45" w:rsidP="004B520A">
            <w:pPr>
              <w:pStyle w:val="Committee"/>
              <w:framePr w:hSpace="0" w:wrap="auto" w:hAnchor="text" w:yAlign="inline"/>
              <w:rPr>
                <w:lang w:val="es-ES_tradnl"/>
              </w:rPr>
            </w:pPr>
            <w:r w:rsidRPr="0063462B">
              <w:rPr>
                <w:lang w:val="es-ES_tradnl"/>
              </w:rPr>
              <w:t>SESIÓN PLENARIA</w:t>
            </w:r>
          </w:p>
        </w:tc>
        <w:tc>
          <w:tcPr>
            <w:tcW w:w="3198" w:type="dxa"/>
            <w:gridSpan w:val="2"/>
          </w:tcPr>
          <w:p w:rsidR="00E83D45" w:rsidRPr="0063462B" w:rsidRDefault="00E83D45" w:rsidP="004B520A">
            <w:pPr>
              <w:spacing w:before="0"/>
              <w:rPr>
                <w:rFonts w:ascii="Verdana" w:hAnsi="Verdana"/>
                <w:b/>
                <w:bCs/>
                <w:sz w:val="20"/>
              </w:rPr>
            </w:pPr>
            <w:r w:rsidRPr="0063462B">
              <w:rPr>
                <w:rFonts w:ascii="Verdana" w:hAnsi="Verdana"/>
                <w:b/>
                <w:sz w:val="20"/>
              </w:rPr>
              <w:t>Addéndum 27 al</w:t>
            </w:r>
            <w:r w:rsidRPr="0063462B">
              <w:rPr>
                <w:rFonts w:ascii="Verdana" w:hAnsi="Verdana"/>
                <w:b/>
                <w:sz w:val="20"/>
              </w:rPr>
              <w:br/>
              <w:t>Documento 46-S</w:t>
            </w:r>
          </w:p>
        </w:tc>
      </w:tr>
      <w:tr w:rsidR="00E83D45" w:rsidRPr="0063462B" w:rsidTr="004B520A">
        <w:trPr>
          <w:cantSplit/>
        </w:trPr>
        <w:tc>
          <w:tcPr>
            <w:tcW w:w="6613" w:type="dxa"/>
            <w:gridSpan w:val="2"/>
          </w:tcPr>
          <w:p w:rsidR="00E83D45" w:rsidRPr="0063462B" w:rsidRDefault="00E83D45" w:rsidP="004B520A">
            <w:pPr>
              <w:spacing w:before="0" w:after="48"/>
              <w:rPr>
                <w:rFonts w:ascii="Verdana" w:hAnsi="Verdana"/>
                <w:b/>
                <w:smallCaps/>
                <w:sz w:val="20"/>
              </w:rPr>
            </w:pPr>
          </w:p>
        </w:tc>
        <w:tc>
          <w:tcPr>
            <w:tcW w:w="3198" w:type="dxa"/>
            <w:gridSpan w:val="2"/>
          </w:tcPr>
          <w:p w:rsidR="00E83D45" w:rsidRPr="0063462B" w:rsidRDefault="00E83D45" w:rsidP="004B520A">
            <w:pPr>
              <w:spacing w:before="0"/>
              <w:rPr>
                <w:rFonts w:ascii="Verdana" w:hAnsi="Verdana"/>
                <w:b/>
                <w:bCs/>
                <w:sz w:val="20"/>
              </w:rPr>
            </w:pPr>
            <w:r w:rsidRPr="0063462B">
              <w:rPr>
                <w:rFonts w:ascii="Verdana" w:hAnsi="Verdana"/>
                <w:b/>
                <w:sz w:val="20"/>
              </w:rPr>
              <w:t>23 de septiembre de 2016</w:t>
            </w:r>
          </w:p>
        </w:tc>
      </w:tr>
      <w:tr w:rsidR="00E83D45" w:rsidRPr="0063462B" w:rsidTr="004B520A">
        <w:trPr>
          <w:cantSplit/>
        </w:trPr>
        <w:tc>
          <w:tcPr>
            <w:tcW w:w="6613" w:type="dxa"/>
            <w:gridSpan w:val="2"/>
          </w:tcPr>
          <w:p w:rsidR="00E83D45" w:rsidRPr="0063462B" w:rsidRDefault="00E83D45" w:rsidP="004B520A">
            <w:pPr>
              <w:spacing w:before="0"/>
            </w:pPr>
          </w:p>
        </w:tc>
        <w:tc>
          <w:tcPr>
            <w:tcW w:w="3198" w:type="dxa"/>
            <w:gridSpan w:val="2"/>
          </w:tcPr>
          <w:p w:rsidR="00E83D45" w:rsidRPr="0063462B" w:rsidRDefault="00E83D45" w:rsidP="004B520A">
            <w:pPr>
              <w:spacing w:before="0"/>
              <w:rPr>
                <w:rFonts w:ascii="Verdana" w:hAnsi="Verdana"/>
                <w:b/>
                <w:bCs/>
                <w:sz w:val="20"/>
              </w:rPr>
            </w:pPr>
            <w:r w:rsidRPr="0063462B">
              <w:rPr>
                <w:rFonts w:ascii="Verdana" w:hAnsi="Verdana"/>
                <w:b/>
                <w:sz w:val="20"/>
              </w:rPr>
              <w:t>Original: inglés</w:t>
            </w:r>
          </w:p>
        </w:tc>
      </w:tr>
      <w:tr w:rsidR="00681766" w:rsidRPr="0063462B" w:rsidTr="004B520A">
        <w:trPr>
          <w:cantSplit/>
        </w:trPr>
        <w:tc>
          <w:tcPr>
            <w:tcW w:w="9811" w:type="dxa"/>
            <w:gridSpan w:val="4"/>
          </w:tcPr>
          <w:p w:rsidR="00681766" w:rsidRPr="0063462B" w:rsidRDefault="00681766" w:rsidP="004B520A">
            <w:pPr>
              <w:spacing w:before="0"/>
              <w:rPr>
                <w:rFonts w:ascii="Verdana" w:hAnsi="Verdana"/>
                <w:b/>
                <w:bCs/>
                <w:sz w:val="20"/>
              </w:rPr>
            </w:pPr>
          </w:p>
        </w:tc>
      </w:tr>
      <w:tr w:rsidR="00E83D45" w:rsidRPr="0063462B" w:rsidTr="004B520A">
        <w:trPr>
          <w:cantSplit/>
        </w:trPr>
        <w:tc>
          <w:tcPr>
            <w:tcW w:w="9811" w:type="dxa"/>
            <w:gridSpan w:val="4"/>
          </w:tcPr>
          <w:p w:rsidR="00E83D45" w:rsidRPr="0063462B" w:rsidRDefault="00E83D45" w:rsidP="004B520A">
            <w:pPr>
              <w:pStyle w:val="Source"/>
            </w:pPr>
            <w:r w:rsidRPr="0063462B">
              <w:t>Estados Miembros de la Comisión Interamericana de Telecomunicaciones (CITEL)</w:t>
            </w:r>
          </w:p>
        </w:tc>
      </w:tr>
      <w:tr w:rsidR="00E83D45" w:rsidRPr="0063462B" w:rsidTr="004B520A">
        <w:trPr>
          <w:cantSplit/>
        </w:trPr>
        <w:tc>
          <w:tcPr>
            <w:tcW w:w="9811" w:type="dxa"/>
            <w:gridSpan w:val="4"/>
          </w:tcPr>
          <w:p w:rsidR="00E83D45" w:rsidRPr="0063462B" w:rsidRDefault="008977D6" w:rsidP="004B520A">
            <w:pPr>
              <w:pStyle w:val="Title1"/>
            </w:pPr>
            <w:r w:rsidRPr="0063462B">
              <w:t>PROPUESTA DE SUPRESIÓN DE LA RESOLUCIÓN 45 DE LA AMNT</w:t>
            </w:r>
            <w:r w:rsidRPr="0063462B">
              <w:noBreakHyphen/>
              <w:t>12 –</w:t>
            </w:r>
            <w:r w:rsidR="00E83D45" w:rsidRPr="0063462B">
              <w:t xml:space="preserve"> </w:t>
            </w:r>
            <w:r w:rsidR="006C28E9" w:rsidRPr="0063462B">
              <w:t xml:space="preserve">Coordinación eficaz de la labor de normalización en las Comisiones de Estudio del Sector de Normalización de </w:t>
            </w:r>
            <w:r w:rsidR="00006953" w:rsidRPr="0063462B">
              <w:br/>
            </w:r>
            <w:r w:rsidR="006C28E9" w:rsidRPr="0063462B">
              <w:t xml:space="preserve">las Telecomunicaciones de la UIT, y cometido del </w:t>
            </w:r>
            <w:r w:rsidR="00006953" w:rsidRPr="0063462B">
              <w:br/>
            </w:r>
            <w:r w:rsidR="006C28E9" w:rsidRPr="0063462B">
              <w:t xml:space="preserve">Grupo Asesor de Normalización de </w:t>
            </w:r>
            <w:r w:rsidR="00006953" w:rsidRPr="0063462B">
              <w:br/>
            </w:r>
            <w:r w:rsidR="006C28E9" w:rsidRPr="0063462B">
              <w:t>las Telecomunicaciones</w:t>
            </w:r>
          </w:p>
        </w:tc>
      </w:tr>
      <w:tr w:rsidR="00E83D45" w:rsidRPr="0063462B" w:rsidTr="004B520A">
        <w:trPr>
          <w:cantSplit/>
        </w:trPr>
        <w:tc>
          <w:tcPr>
            <w:tcW w:w="9811" w:type="dxa"/>
            <w:gridSpan w:val="4"/>
          </w:tcPr>
          <w:p w:rsidR="00E83D45" w:rsidRPr="0063462B" w:rsidRDefault="00E83D45" w:rsidP="004B520A">
            <w:pPr>
              <w:pStyle w:val="Title2"/>
            </w:pPr>
          </w:p>
        </w:tc>
      </w:tr>
    </w:tbl>
    <w:p w:rsidR="006B0F54" w:rsidRPr="0063462B" w:rsidRDefault="006B0F54" w:rsidP="006B0F54"/>
    <w:tbl>
      <w:tblPr>
        <w:tblW w:w="5089" w:type="pct"/>
        <w:tblLayout w:type="fixed"/>
        <w:tblLook w:val="0000" w:firstRow="0" w:lastRow="0" w:firstColumn="0" w:lastColumn="0" w:noHBand="0" w:noVBand="0"/>
      </w:tblPr>
      <w:tblGrid>
        <w:gridCol w:w="1560"/>
        <w:gridCol w:w="8251"/>
      </w:tblGrid>
      <w:tr w:rsidR="006B0F54" w:rsidRPr="0063462B" w:rsidTr="00193AD1">
        <w:trPr>
          <w:cantSplit/>
        </w:trPr>
        <w:tc>
          <w:tcPr>
            <w:tcW w:w="1560" w:type="dxa"/>
          </w:tcPr>
          <w:p w:rsidR="006B0F54" w:rsidRPr="0063462B" w:rsidRDefault="006B0F54" w:rsidP="00193AD1">
            <w:r w:rsidRPr="0063462B">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63462B" w:rsidRDefault="00E02C0F" w:rsidP="00CA1F40">
                <w:pPr>
                  <w:rPr>
                    <w:color w:val="000000" w:themeColor="text1"/>
                  </w:rPr>
                </w:pPr>
                <w:r w:rsidRPr="0063462B">
                  <w:rPr>
                    <w:color w:val="000000" w:themeColor="text1"/>
                  </w:rPr>
                  <w:t>En la presente contribución se considera la supresión de la Resolución 45 de la AMNT</w:t>
                </w:r>
                <w:r w:rsidRPr="0063462B">
                  <w:rPr>
                    <w:color w:val="000000" w:themeColor="text1"/>
                  </w:rPr>
                  <w:noBreakHyphen/>
                  <w:t>12 – Coordinación eficaz de la labor de normalización en las Comisiones de Estudio del Sector de Normalización de las Telecomunicaciones de la UIT, y cometido del Grupo Asesor de Normalización de las Telecomunicaciones.</w:t>
                </w:r>
              </w:p>
            </w:tc>
          </w:sdtContent>
        </w:sdt>
      </w:tr>
    </w:tbl>
    <w:p w:rsidR="00406140" w:rsidRPr="0063462B" w:rsidRDefault="00406140" w:rsidP="00406140">
      <w:pPr>
        <w:pStyle w:val="Headingb"/>
      </w:pPr>
      <w:r w:rsidRPr="0063462B">
        <w:rPr>
          <w:lang w:eastAsia="es-ES_tradnl"/>
        </w:rPr>
        <w:t>Análisis</w:t>
      </w:r>
    </w:p>
    <w:p w:rsidR="00406140" w:rsidRPr="0063462B" w:rsidRDefault="00406140" w:rsidP="00406140">
      <w:r w:rsidRPr="0063462B">
        <w:rPr>
          <w:lang w:eastAsia="es-ES_tradnl"/>
        </w:rPr>
        <w:t xml:space="preserve">El mantenimiento de la Resolución 45 no sirve ningún propósito aparente, dado las actuales funciones y responsabilidades del GANT, definidas en el </w:t>
      </w:r>
      <w:r w:rsidR="003043E6" w:rsidRPr="0063462B">
        <w:rPr>
          <w:lang w:eastAsia="es-ES_tradnl"/>
        </w:rPr>
        <w:t xml:space="preserve">Artículo </w:t>
      </w:r>
      <w:r w:rsidRPr="0063462B">
        <w:rPr>
          <w:lang w:eastAsia="es-ES_tradnl"/>
        </w:rPr>
        <w:t xml:space="preserve">14A del Convenio de la UIT y en las Resoluciones 1 y 22 del UIT-T, entre las cuales se incluye una función de coordinación. Considerando los </w:t>
      </w:r>
      <w:r w:rsidRPr="0063462B">
        <w:rPr>
          <w:i/>
          <w:iCs/>
          <w:lang w:eastAsia="es-ES_tradnl"/>
        </w:rPr>
        <w:t>resuelve</w:t>
      </w:r>
      <w:r w:rsidRPr="0063462B">
        <w:rPr>
          <w:lang w:eastAsia="es-ES_tradnl"/>
        </w:rPr>
        <w:t xml:space="preserve"> de la Resolución 45, se hace referencia a lo siguiente:</w:t>
      </w:r>
    </w:p>
    <w:p w:rsidR="00406140" w:rsidRPr="0063462B" w:rsidRDefault="00195ECE" w:rsidP="00195ECE">
      <w:pPr>
        <w:pStyle w:val="enumlev1"/>
      </w:pPr>
      <w:r w:rsidRPr="0063462B">
        <w:rPr>
          <w:lang w:eastAsia="es-ES_tradnl"/>
        </w:rPr>
        <w:t>i)</w:t>
      </w:r>
      <w:r w:rsidR="00406140" w:rsidRPr="0063462B">
        <w:rPr>
          <w:lang w:eastAsia="es-ES_tradnl"/>
        </w:rPr>
        <w:tab/>
      </w:r>
      <w:r w:rsidR="00406140" w:rsidRPr="0063462B">
        <w:rPr>
          <w:i/>
          <w:iCs/>
        </w:rPr>
        <w:t>la definición de objetivos y prioridades de alto nivel para los estudios del UIT-T aplicando una perspectiva mundial</w:t>
      </w:r>
      <w:r w:rsidR="00406140" w:rsidRPr="0063462B">
        <w:rPr>
          <w:i/>
          <w:iCs/>
          <w:lang w:eastAsia="es-ES_tradnl"/>
        </w:rPr>
        <w:t xml:space="preserve">. </w:t>
      </w:r>
      <w:r w:rsidR="00406140" w:rsidRPr="0063462B">
        <w:rPr>
          <w:lang w:eastAsia="es-ES_tradnl"/>
        </w:rPr>
        <w:t>Esto se puede lograr a través de la reciente creación del Grupo Relator del GANT sobr</w:t>
      </w:r>
      <w:r w:rsidR="008B4A66">
        <w:rPr>
          <w:lang w:eastAsia="es-ES_tradnl"/>
        </w:rPr>
        <w:t>e Estrategias de Normalización;</w:t>
      </w:r>
    </w:p>
    <w:p w:rsidR="00406140" w:rsidRPr="0063462B" w:rsidRDefault="00DA7240" w:rsidP="001471C5">
      <w:pPr>
        <w:pStyle w:val="enumlev1"/>
        <w:rPr>
          <w:szCs w:val="24"/>
        </w:rPr>
      </w:pPr>
      <w:r w:rsidRPr="0063462B">
        <w:rPr>
          <w:szCs w:val="24"/>
          <w:lang w:eastAsia="es-ES_tradnl"/>
        </w:rPr>
        <w:t>ii)</w:t>
      </w:r>
      <w:r w:rsidR="00406140" w:rsidRPr="0063462B">
        <w:rPr>
          <w:szCs w:val="24"/>
          <w:lang w:eastAsia="es-ES_tradnl"/>
        </w:rPr>
        <w:tab/>
      </w:r>
      <w:r w:rsidR="00406140" w:rsidRPr="0063462B">
        <w:rPr>
          <w:i/>
          <w:iCs/>
          <w:szCs w:val="24"/>
        </w:rPr>
        <w:t>la cooperación entre Comisiones de Estudio, incluyendo el evitar la duplicación de trabajos e identificando vínculos entre temas de trabajo relacionados</w:t>
      </w:r>
      <w:r w:rsidR="00406140" w:rsidRPr="0063462B">
        <w:rPr>
          <w:i/>
          <w:iCs/>
          <w:szCs w:val="24"/>
          <w:lang w:eastAsia="es-ES_tradnl"/>
        </w:rPr>
        <w:t xml:space="preserve">. </w:t>
      </w:r>
      <w:r w:rsidR="00406140" w:rsidRPr="0063462B">
        <w:rPr>
          <w:szCs w:val="24"/>
          <w:lang w:eastAsia="es-ES_tradnl"/>
        </w:rPr>
        <w:t xml:space="preserve">Las responsabilidades actuales del GANT incluyen esta función, la cual </w:t>
      </w:r>
      <w:r w:rsidR="00406140" w:rsidRPr="0063462B">
        <w:rPr>
          <w:i/>
          <w:iCs/>
        </w:rPr>
        <w:t>se</w:t>
      </w:r>
      <w:r w:rsidR="00406140" w:rsidRPr="0063462B">
        <w:rPr>
          <w:szCs w:val="24"/>
          <w:lang w:eastAsia="es-ES_tradnl"/>
        </w:rPr>
        <w:t xml:space="preserve"> apoya en las reuniones y teleconferencias periódicas del Equipo Directivo de la Comisión de Estudio</w:t>
      </w:r>
      <w:r w:rsidR="008B4A66">
        <w:rPr>
          <w:szCs w:val="24"/>
          <w:lang w:eastAsia="es-ES_tradnl"/>
        </w:rPr>
        <w:t>;</w:t>
      </w:r>
    </w:p>
    <w:p w:rsidR="00406140" w:rsidRPr="0063462B" w:rsidRDefault="009142E6" w:rsidP="00DA7240">
      <w:pPr>
        <w:pStyle w:val="enumlev1"/>
        <w:rPr>
          <w:szCs w:val="24"/>
        </w:rPr>
      </w:pPr>
      <w:r>
        <w:rPr>
          <w:szCs w:val="24"/>
          <w:lang w:eastAsia="es-ES_tradnl"/>
        </w:rPr>
        <w:lastRenderedPageBreak/>
        <w:t>iii)</w:t>
      </w:r>
      <w:r w:rsidR="00406140" w:rsidRPr="0063462B">
        <w:rPr>
          <w:szCs w:val="24"/>
          <w:lang w:eastAsia="es-ES_tradnl"/>
        </w:rPr>
        <w:tab/>
      </w:r>
      <w:r w:rsidR="00406140" w:rsidRPr="0063462B">
        <w:rPr>
          <w:i/>
          <w:iCs/>
          <w:szCs w:val="24"/>
        </w:rPr>
        <w:t>la coordinación planificada de los plazos, productos finales, objetivos e hitos para las actividades de normalización</w:t>
      </w:r>
      <w:r w:rsidR="00406140" w:rsidRPr="0063462B">
        <w:rPr>
          <w:i/>
          <w:iCs/>
          <w:szCs w:val="24"/>
          <w:lang w:eastAsia="es-ES_tradnl"/>
        </w:rPr>
        <w:t xml:space="preserve">. </w:t>
      </w:r>
      <w:r w:rsidR="00406140" w:rsidRPr="0063462B">
        <w:rPr>
          <w:szCs w:val="24"/>
          <w:lang w:eastAsia="es-ES_tradnl"/>
        </w:rPr>
        <w:t>El Plan Estratégico de la UIT, basado en un marco de gestión por resultados, junto con los planes operativos renovables, es revisado de forma continua por el Grupo Relator del GANT sobre la Planif</w:t>
      </w:r>
      <w:r w:rsidR="001B6CF8">
        <w:rPr>
          <w:szCs w:val="24"/>
          <w:lang w:eastAsia="es-ES_tradnl"/>
        </w:rPr>
        <w:t>icación Estratégica y Operativa;</w:t>
      </w:r>
    </w:p>
    <w:p w:rsidR="00406140" w:rsidRPr="0063462B" w:rsidRDefault="00BD0A87" w:rsidP="000A599A">
      <w:pPr>
        <w:pStyle w:val="enumlev1"/>
        <w:rPr>
          <w:szCs w:val="24"/>
        </w:rPr>
      </w:pPr>
      <w:r>
        <w:rPr>
          <w:szCs w:val="24"/>
          <w:lang w:eastAsia="es-ES_tradnl"/>
        </w:rPr>
        <w:t>iv)</w:t>
      </w:r>
      <w:r w:rsidR="00406140" w:rsidRPr="0063462B">
        <w:rPr>
          <w:szCs w:val="24"/>
          <w:lang w:eastAsia="es-ES_tradnl"/>
        </w:rPr>
        <w:tab/>
      </w:r>
      <w:r w:rsidR="00406140" w:rsidRPr="0063462B">
        <w:rPr>
          <w:i/>
          <w:iCs/>
          <w:szCs w:val="24"/>
        </w:rPr>
        <w:t>la toma en consideración de los intereses de los países en desarrollo y el fomento y facilitación de su participación en estas actividades</w:t>
      </w:r>
      <w:r w:rsidR="00406140" w:rsidRPr="0063462B">
        <w:rPr>
          <w:i/>
          <w:iCs/>
          <w:szCs w:val="24"/>
          <w:lang w:eastAsia="es-ES_tradnl"/>
        </w:rPr>
        <w:t>.</w:t>
      </w:r>
      <w:r w:rsidR="00406140" w:rsidRPr="0063462B">
        <w:rPr>
          <w:szCs w:val="24"/>
          <w:lang w:eastAsia="es-ES_tradnl"/>
        </w:rPr>
        <w:t xml:space="preserve"> Esta directiva es aplicada en todo el sector; y en el GANT, dos Vicepresidentes se encargan específicamente de las cuestiones relativas a la "reducc</w:t>
      </w:r>
      <w:r w:rsidR="006D5167">
        <w:rPr>
          <w:szCs w:val="24"/>
          <w:lang w:eastAsia="es-ES_tradnl"/>
        </w:rPr>
        <w:t>ión de la disparidad normativa";</w:t>
      </w:r>
    </w:p>
    <w:p w:rsidR="00406140" w:rsidRPr="0063462B" w:rsidRDefault="00BD0A87" w:rsidP="00BE1681">
      <w:pPr>
        <w:pStyle w:val="enumlev1"/>
        <w:rPr>
          <w:szCs w:val="24"/>
        </w:rPr>
      </w:pPr>
      <w:r>
        <w:rPr>
          <w:szCs w:val="24"/>
          <w:lang w:eastAsia="es-ES_tradnl"/>
        </w:rPr>
        <w:t>v)</w:t>
      </w:r>
      <w:r w:rsidR="00406140" w:rsidRPr="0063462B">
        <w:rPr>
          <w:szCs w:val="24"/>
          <w:lang w:eastAsia="es-ES_tradnl"/>
        </w:rPr>
        <w:tab/>
      </w:r>
      <w:r w:rsidR="00406140" w:rsidRPr="0063462B">
        <w:rPr>
          <w:i/>
          <w:iCs/>
          <w:szCs w:val="24"/>
        </w:rPr>
        <w:t>la cooperación y coordinación con los Sectores de Radiocomunicaciones y de Desarrollo de las Telecomunicaciones de la UIT y con otros órganos de normalización externos</w:t>
      </w:r>
      <w:r w:rsidR="00406140" w:rsidRPr="0063462B">
        <w:rPr>
          <w:i/>
          <w:iCs/>
          <w:szCs w:val="24"/>
          <w:lang w:eastAsia="es-ES_tradnl"/>
        </w:rPr>
        <w:t>.</w:t>
      </w:r>
      <w:r w:rsidR="00406140" w:rsidRPr="0063462B">
        <w:rPr>
          <w:szCs w:val="24"/>
          <w:lang w:eastAsia="es-ES_tradnl"/>
        </w:rPr>
        <w:t xml:space="preserve"> Las cuestiones relativas a la coordinación y colaboración intersectorial son tratadas por el sub-Grupo </w:t>
      </w:r>
      <w:r w:rsidR="00D934A8">
        <w:rPr>
          <w:szCs w:val="24"/>
          <w:lang w:eastAsia="es-ES_tradnl"/>
        </w:rPr>
        <w:t xml:space="preserve">de </w:t>
      </w:r>
      <w:r w:rsidR="00406140" w:rsidRPr="0063462B">
        <w:rPr>
          <w:szCs w:val="24"/>
          <w:lang w:eastAsia="es-ES_tradnl"/>
        </w:rPr>
        <w:t xml:space="preserve">Relator del GANT sobre la Colaboración y Coordinación dentro de la UIT. Se apoya a nivel de membresía por el nuevo Equipo de Coordinación Intersectorial y, a nivel de Secretaría, por el Grupo de Coordinación Intersectorial. En relación con la organización externa, el GANT ha creado un Grupo </w:t>
      </w:r>
      <w:r w:rsidR="002F5972">
        <w:rPr>
          <w:szCs w:val="24"/>
          <w:lang w:eastAsia="es-ES_tradnl"/>
        </w:rPr>
        <w:t xml:space="preserve">de </w:t>
      </w:r>
      <w:r w:rsidR="00406140" w:rsidRPr="0063462B">
        <w:rPr>
          <w:szCs w:val="24"/>
          <w:lang w:eastAsia="es-ES_tradnl"/>
        </w:rPr>
        <w:t>Relator sobre el Fortalecimiento de la Colaboración con entidades externas y organizaciones de normalización.</w:t>
      </w:r>
    </w:p>
    <w:p w:rsidR="00406140" w:rsidRPr="0063462B" w:rsidRDefault="00406140" w:rsidP="00F07307">
      <w:pPr>
        <w:pStyle w:val="Headingb"/>
        <w:rPr>
          <w:lang w:eastAsia="es-ES_tradnl"/>
        </w:rPr>
      </w:pPr>
      <w:r w:rsidRPr="0063462B">
        <w:rPr>
          <w:lang w:eastAsia="es-ES_tradnl"/>
        </w:rPr>
        <w:t>Propuesta</w:t>
      </w:r>
    </w:p>
    <w:p w:rsidR="00406140" w:rsidRPr="0063462B" w:rsidRDefault="00406140" w:rsidP="00F07307">
      <w:pPr>
        <w:rPr>
          <w:szCs w:val="24"/>
        </w:rPr>
      </w:pPr>
      <w:r w:rsidRPr="0063462B">
        <w:rPr>
          <w:lang w:eastAsia="es-ES_tradnl"/>
        </w:rPr>
        <w:t>Suprimir</w:t>
      </w:r>
      <w:r w:rsidRPr="0063462B">
        <w:rPr>
          <w:szCs w:val="24"/>
          <w:lang w:eastAsia="es-ES_tradnl"/>
        </w:rPr>
        <w:t xml:space="preserve"> la Resolución 45, ya que las acciones asociadas con la misma están siendo abordadas de manera continua.</w:t>
      </w:r>
    </w:p>
    <w:p w:rsidR="00B07178" w:rsidRPr="0063462B" w:rsidRDefault="00B07178">
      <w:pPr>
        <w:tabs>
          <w:tab w:val="clear" w:pos="1134"/>
          <w:tab w:val="clear" w:pos="1871"/>
          <w:tab w:val="clear" w:pos="2268"/>
        </w:tabs>
        <w:overflowPunct/>
        <w:autoSpaceDE/>
        <w:autoSpaceDN/>
        <w:adjustRightInd/>
        <w:spacing w:before="0"/>
        <w:textAlignment w:val="auto"/>
      </w:pPr>
      <w:r w:rsidRPr="0063462B">
        <w:br w:type="page"/>
      </w:r>
    </w:p>
    <w:p w:rsidR="001F6A16" w:rsidRPr="0063462B" w:rsidRDefault="00886261">
      <w:pPr>
        <w:pStyle w:val="Proposal"/>
      </w:pPr>
      <w:bookmarkStart w:id="0" w:name="_GoBack"/>
      <w:bookmarkEnd w:id="0"/>
      <w:r w:rsidRPr="0063462B">
        <w:lastRenderedPageBreak/>
        <w:t>SUP</w:t>
      </w:r>
      <w:r w:rsidRPr="0063462B">
        <w:tab/>
        <w:t>IAP/46A27/1</w:t>
      </w:r>
    </w:p>
    <w:p w:rsidR="00705B93" w:rsidRPr="0063462B" w:rsidRDefault="00886261" w:rsidP="00E9379B">
      <w:pPr>
        <w:pStyle w:val="ResNo"/>
      </w:pPr>
      <w:r w:rsidRPr="0063462B">
        <w:t xml:space="preserve">RESOLUCIÓN </w:t>
      </w:r>
      <w:r w:rsidRPr="0063462B">
        <w:rPr>
          <w:rStyle w:val="href"/>
          <w:rFonts w:eastAsia="MS Mincho"/>
        </w:rPr>
        <w:t>45</w:t>
      </w:r>
      <w:r w:rsidRPr="0063462B">
        <w:t xml:space="preserve"> (Rev. Dubái, 2012)</w:t>
      </w:r>
    </w:p>
    <w:p w:rsidR="00705B93" w:rsidRPr="0063462B" w:rsidRDefault="00886261" w:rsidP="00705B93">
      <w:pPr>
        <w:pStyle w:val="Restitle"/>
      </w:pPr>
      <w:r w:rsidRPr="0063462B">
        <w:t xml:space="preserve">Coordinación eficaz de la labor de normalización en las Comisiones de </w:t>
      </w:r>
      <w:r w:rsidRPr="0063462B">
        <w:t>Estudio del Sector de Normalización de las Telecomunicaciones de la UIT, y cometido del Grupo Asesor de Normalización de las Telecomunicaciones</w:t>
      </w:r>
    </w:p>
    <w:p w:rsidR="00705B93" w:rsidRPr="0063462B" w:rsidRDefault="00886261" w:rsidP="00705B93">
      <w:pPr>
        <w:pStyle w:val="Resref"/>
      </w:pPr>
      <w:r w:rsidRPr="0063462B">
        <w:t xml:space="preserve">(Florianópolis, 2004; Johannesburgo, 2008; </w:t>
      </w:r>
      <w:r w:rsidRPr="0063462B">
        <w:t>Dubái</w:t>
      </w:r>
      <w:r w:rsidRPr="0063462B">
        <w:t>, 2012)</w:t>
      </w:r>
    </w:p>
    <w:p w:rsidR="001F6A16" w:rsidRPr="0063462B" w:rsidRDefault="00886261">
      <w:pPr>
        <w:pStyle w:val="Reasons"/>
      </w:pPr>
      <w:r w:rsidRPr="0063462B">
        <w:rPr>
          <w:b/>
        </w:rPr>
        <w:t>Motivos:</w:t>
      </w:r>
      <w:r w:rsidRPr="0063462B">
        <w:tab/>
      </w:r>
      <w:r w:rsidR="00EF26D7" w:rsidRPr="0063462B">
        <w:t>Véase el análisis y la propuesta al Documento 46 (Add.27).</w:t>
      </w:r>
    </w:p>
    <w:p w:rsidR="00181C11" w:rsidRPr="0063462B" w:rsidRDefault="00181C11" w:rsidP="0032202E">
      <w:pPr>
        <w:pStyle w:val="Reasons"/>
      </w:pPr>
    </w:p>
    <w:p w:rsidR="00181C11" w:rsidRPr="0063462B" w:rsidRDefault="00181C11">
      <w:pPr>
        <w:jc w:val="center"/>
      </w:pPr>
      <w:r w:rsidRPr="0063462B">
        <w:t>______________</w:t>
      </w:r>
    </w:p>
    <w:p w:rsidR="00181C11" w:rsidRPr="0063462B" w:rsidRDefault="00181C11">
      <w:pPr>
        <w:pStyle w:val="Reasons"/>
      </w:pPr>
    </w:p>
    <w:sectPr w:rsidR="00181C11" w:rsidRPr="0063462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63462B">
      <w:rPr>
        <w:noProof/>
      </w:rPr>
      <w:t>26.09.16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80DB2" w:rsidRDefault="0077084A" w:rsidP="00FC3528">
    <w:pPr>
      <w:pStyle w:val="Footer"/>
      <w:ind w:right="360"/>
      <w:rPr>
        <w:lang w:val="fr-CH"/>
      </w:rPr>
    </w:pPr>
    <w:r>
      <w:fldChar w:fldCharType="begin"/>
    </w:r>
    <w:r w:rsidRPr="00180DB2">
      <w:rPr>
        <w:lang w:val="fr-CH"/>
      </w:rPr>
      <w:instrText xml:space="preserve"> FILENAME \p  \* MERGEFORMAT </w:instrText>
    </w:r>
    <w:r>
      <w:fldChar w:fldCharType="separate"/>
    </w:r>
    <w:r w:rsidR="00180DB2" w:rsidRPr="00180DB2">
      <w:rPr>
        <w:lang w:val="fr-CH"/>
      </w:rPr>
      <w:t>P:\ESP\ITU-T\CONF-T\WTSA16\000\046ADD27S.docx</w:t>
    </w:r>
    <w:r>
      <w:fldChar w:fldCharType="end"/>
    </w:r>
    <w:r w:rsidR="00180DB2" w:rsidRPr="00180DB2">
      <w:rPr>
        <w:lang w:val="fr-CH"/>
      </w:rPr>
      <w:t xml:space="preserve"> (405154)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180DB2" w:rsidTr="000D5CE5">
      <w:trPr>
        <w:cantSplit/>
        <w:trHeight w:val="204"/>
      </w:trPr>
      <w:tc>
        <w:tcPr>
          <w:tcW w:w="1617" w:type="dxa"/>
          <w:tcBorders>
            <w:top w:val="single" w:sz="12" w:space="0" w:color="auto"/>
          </w:tcBorders>
        </w:tcPr>
        <w:p w:rsidR="00180DB2" w:rsidRDefault="00180DB2" w:rsidP="00180DB2">
          <w:pPr>
            <w:rPr>
              <w:b/>
              <w:bCs/>
            </w:rPr>
          </w:pPr>
          <w:bookmarkStart w:id="1" w:name="dcontact"/>
          <w:r w:rsidRPr="003F39AA">
            <w:rPr>
              <w:b/>
              <w:sz w:val="22"/>
              <w:lang w:val="fr-CH"/>
            </w:rPr>
            <w:t>Contacto</w:t>
          </w:r>
          <w:r>
            <w:rPr>
              <w:sz w:val="22"/>
              <w:lang w:val="fr-CH"/>
            </w:rPr>
            <w:t>:</w:t>
          </w:r>
        </w:p>
      </w:tc>
      <w:tc>
        <w:tcPr>
          <w:tcW w:w="4394" w:type="dxa"/>
          <w:tcBorders>
            <w:top w:val="single" w:sz="12" w:space="0" w:color="auto"/>
          </w:tcBorders>
        </w:tcPr>
        <w:p w:rsidR="00180DB2" w:rsidRPr="004A0492" w:rsidRDefault="00180DB2" w:rsidP="00180DB2">
          <w:pPr>
            <w:rPr>
              <w:sz w:val="22"/>
              <w:szCs w:val="22"/>
            </w:rPr>
          </w:pPr>
          <w:r w:rsidRPr="003F39AA">
            <w:rPr>
              <w:sz w:val="22"/>
              <w:szCs w:val="22"/>
            </w:rPr>
            <w:t>Oscar León</w:t>
          </w:r>
          <w:r>
            <w:rPr>
              <w:sz w:val="22"/>
              <w:szCs w:val="22"/>
            </w:rPr>
            <w:br/>
          </w:r>
          <w:r>
            <w:t>CITEL</w:t>
          </w:r>
          <w:r>
            <w:br/>
            <w:t>Washington, DC, USA</w:t>
          </w:r>
        </w:p>
      </w:tc>
      <w:tc>
        <w:tcPr>
          <w:tcW w:w="3912" w:type="dxa"/>
          <w:tcBorders>
            <w:top w:val="single" w:sz="12" w:space="0" w:color="auto"/>
          </w:tcBorders>
        </w:tcPr>
        <w:p w:rsidR="00180DB2" w:rsidRDefault="00180DB2" w:rsidP="00180DB2">
          <w:pPr>
            <w:tabs>
              <w:tab w:val="left" w:pos="878"/>
            </w:tabs>
          </w:pPr>
          <w:r w:rsidRPr="00DA0FD0">
            <w:rPr>
              <w:sz w:val="22"/>
            </w:rPr>
            <w:t>Tel.:</w:t>
          </w:r>
          <w:r w:rsidRPr="00DA0FD0">
            <w:rPr>
              <w:sz w:val="22"/>
            </w:rPr>
            <w:tab/>
          </w:r>
          <w:r w:rsidRPr="003F39AA">
            <w:rPr>
              <w:sz w:val="22"/>
            </w:rPr>
            <w:t>+ 1 (202) 370-4713</w:t>
          </w:r>
          <w:r>
            <w:rPr>
              <w:sz w:val="22"/>
            </w:rPr>
            <w:br/>
            <w:t>Fax</w:t>
          </w:r>
          <w:r w:rsidRPr="00DA0FD0">
            <w:rPr>
              <w:sz w:val="22"/>
            </w:rPr>
            <w:t>.:</w:t>
          </w:r>
          <w:r w:rsidRPr="00DA0FD0">
            <w:rPr>
              <w:sz w:val="22"/>
            </w:rPr>
            <w:tab/>
          </w:r>
          <w:r w:rsidRPr="003F39AA">
            <w:rPr>
              <w:sz w:val="22"/>
            </w:rPr>
            <w:t>+ 1 (202) 458-6854</w:t>
          </w:r>
          <w:r>
            <w:rPr>
              <w:sz w:val="22"/>
            </w:rPr>
            <w:br/>
          </w:r>
          <w:r w:rsidRPr="00DA0FD0">
            <w:rPr>
              <w:sz w:val="22"/>
            </w:rPr>
            <w:t>Correo-e:</w:t>
          </w:r>
          <w:r>
            <w:rPr>
              <w:sz w:val="22"/>
            </w:rPr>
            <w:tab/>
          </w:r>
          <w:hyperlink r:id="rId1" w:history="1">
            <w:r w:rsidRPr="003F39AA">
              <w:rPr>
                <w:rStyle w:val="Hyperlink"/>
              </w:rPr>
              <w:t>citel@oas.org</w:t>
            </w:r>
          </w:hyperlink>
        </w:p>
      </w:tc>
    </w:tr>
    <w:bookmarkEnd w:id="1"/>
  </w:tbl>
  <w:p w:rsidR="00E83D45" w:rsidRPr="00180DB2" w:rsidRDefault="00E83D45" w:rsidP="00180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886261">
      <w:rPr>
        <w:noProof/>
      </w:rPr>
      <w:t>3</w:t>
    </w:r>
    <w:r>
      <w:fldChar w:fldCharType="end"/>
    </w:r>
  </w:p>
  <w:p w:rsidR="00E83D45" w:rsidRPr="00C72D5C" w:rsidRDefault="00566BEE" w:rsidP="00E83D45">
    <w:pPr>
      <w:pStyle w:val="Header"/>
    </w:pPr>
    <w:r>
      <w:t>AMNT</w:t>
    </w:r>
    <w:r w:rsidR="00E83D45">
      <w:t>16/46(Add.27)-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4AA8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A05E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FCEC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026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CE6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8231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CA9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A63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FCF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686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6953"/>
    <w:rsid w:val="000121A4"/>
    <w:rsid w:val="00023137"/>
    <w:rsid w:val="0002785D"/>
    <w:rsid w:val="00057296"/>
    <w:rsid w:val="00087AE8"/>
    <w:rsid w:val="000A599A"/>
    <w:rsid w:val="000A5B9A"/>
    <w:rsid w:val="000C7758"/>
    <w:rsid w:val="000E5BF9"/>
    <w:rsid w:val="000E5EE9"/>
    <w:rsid w:val="000F0E6D"/>
    <w:rsid w:val="00120191"/>
    <w:rsid w:val="00121170"/>
    <w:rsid w:val="00123CC5"/>
    <w:rsid w:val="00137FDF"/>
    <w:rsid w:val="001471C5"/>
    <w:rsid w:val="0015142D"/>
    <w:rsid w:val="001616DC"/>
    <w:rsid w:val="00163962"/>
    <w:rsid w:val="00180DB2"/>
    <w:rsid w:val="00181C11"/>
    <w:rsid w:val="00191A97"/>
    <w:rsid w:val="00195ECE"/>
    <w:rsid w:val="001A083F"/>
    <w:rsid w:val="001B6CF8"/>
    <w:rsid w:val="001C41FA"/>
    <w:rsid w:val="001D380F"/>
    <w:rsid w:val="001E2B52"/>
    <w:rsid w:val="001E3F27"/>
    <w:rsid w:val="001F20F0"/>
    <w:rsid w:val="001F6A16"/>
    <w:rsid w:val="00200249"/>
    <w:rsid w:val="0021371A"/>
    <w:rsid w:val="002337D9"/>
    <w:rsid w:val="00236D2A"/>
    <w:rsid w:val="00255F12"/>
    <w:rsid w:val="00262C09"/>
    <w:rsid w:val="00263815"/>
    <w:rsid w:val="0028017B"/>
    <w:rsid w:val="00286495"/>
    <w:rsid w:val="002A791F"/>
    <w:rsid w:val="002C1B26"/>
    <w:rsid w:val="002C79B8"/>
    <w:rsid w:val="002E701F"/>
    <w:rsid w:val="002F5972"/>
    <w:rsid w:val="003043E6"/>
    <w:rsid w:val="00322C6A"/>
    <w:rsid w:val="003237B0"/>
    <w:rsid w:val="003248A9"/>
    <w:rsid w:val="00324FFA"/>
    <w:rsid w:val="0032680B"/>
    <w:rsid w:val="00363A65"/>
    <w:rsid w:val="00377EC9"/>
    <w:rsid w:val="003A1358"/>
    <w:rsid w:val="003B1E8C"/>
    <w:rsid w:val="003C2508"/>
    <w:rsid w:val="003D0AA3"/>
    <w:rsid w:val="00406140"/>
    <w:rsid w:val="004104AC"/>
    <w:rsid w:val="00431A33"/>
    <w:rsid w:val="00454553"/>
    <w:rsid w:val="00476FB2"/>
    <w:rsid w:val="004B124A"/>
    <w:rsid w:val="004B520A"/>
    <w:rsid w:val="004C3636"/>
    <w:rsid w:val="004C3A5A"/>
    <w:rsid w:val="00500296"/>
    <w:rsid w:val="00523269"/>
    <w:rsid w:val="00532097"/>
    <w:rsid w:val="00566BEE"/>
    <w:rsid w:val="0058350F"/>
    <w:rsid w:val="005A374D"/>
    <w:rsid w:val="005D3130"/>
    <w:rsid w:val="005E782D"/>
    <w:rsid w:val="005F2605"/>
    <w:rsid w:val="00611C61"/>
    <w:rsid w:val="0063462B"/>
    <w:rsid w:val="00662039"/>
    <w:rsid w:val="00662BA0"/>
    <w:rsid w:val="00681766"/>
    <w:rsid w:val="00692AAE"/>
    <w:rsid w:val="006B0F54"/>
    <w:rsid w:val="006C28E9"/>
    <w:rsid w:val="006D5167"/>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86261"/>
    <w:rsid w:val="0089564D"/>
    <w:rsid w:val="008977D6"/>
    <w:rsid w:val="008B4A66"/>
    <w:rsid w:val="008E35DA"/>
    <w:rsid w:val="008E4453"/>
    <w:rsid w:val="0090121B"/>
    <w:rsid w:val="00906E29"/>
    <w:rsid w:val="009115F0"/>
    <w:rsid w:val="009142E6"/>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5313"/>
    <w:rsid w:val="00BD0A87"/>
    <w:rsid w:val="00BD5FE4"/>
    <w:rsid w:val="00BE1681"/>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934A8"/>
    <w:rsid w:val="00DA7240"/>
    <w:rsid w:val="00DC629B"/>
    <w:rsid w:val="00E02C0F"/>
    <w:rsid w:val="00E05BFF"/>
    <w:rsid w:val="00E21778"/>
    <w:rsid w:val="00E262F1"/>
    <w:rsid w:val="00E32BEE"/>
    <w:rsid w:val="00E355E0"/>
    <w:rsid w:val="00E47B44"/>
    <w:rsid w:val="00E71D14"/>
    <w:rsid w:val="00E8097C"/>
    <w:rsid w:val="00E83D45"/>
    <w:rsid w:val="00E933ED"/>
    <w:rsid w:val="00E94A4A"/>
    <w:rsid w:val="00ED2EDD"/>
    <w:rsid w:val="00EE1779"/>
    <w:rsid w:val="00EF0D6D"/>
    <w:rsid w:val="00EF26D7"/>
    <w:rsid w:val="00F0220A"/>
    <w:rsid w:val="00F02C63"/>
    <w:rsid w:val="00F07307"/>
    <w:rsid w:val="00F247BB"/>
    <w:rsid w:val="00F26F4E"/>
    <w:rsid w:val="00F33116"/>
    <w:rsid w:val="00F5046F"/>
    <w:rsid w:val="00F54E0E"/>
    <w:rsid w:val="00F606A0"/>
    <w:rsid w:val="00F62AB3"/>
    <w:rsid w:val="00F63177"/>
    <w:rsid w:val="00F66597"/>
    <w:rsid w:val="00F7212F"/>
    <w:rsid w:val="00F8150C"/>
    <w:rsid w:val="00FC3528"/>
    <w:rsid w:val="00FD5C8C"/>
    <w:rsid w:val="00FE161E"/>
    <w:rsid w:val="00FE4574"/>
    <w:rsid w:val="00FF0475"/>
    <w:rsid w:val="00FF32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aliases w:val="CEO_Hyperlink,超级链接"/>
    <w:basedOn w:val="DefaultParagraphFont"/>
    <w:uiPriority w:val="99"/>
    <w:unhideWhenUsed/>
    <w:rsid w:val="00180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668432-b02d-4d61-8768-78f5fd882afc" targetNamespace="http://schemas.microsoft.com/office/2006/metadata/properties" ma:root="true" ma:fieldsID="d41af5c836d734370eb92e7ee5f83852" ns2:_="" ns3:_="">
    <xsd:import namespace="996b2e75-67fd-4955-a3b0-5ab9934cb50b"/>
    <xsd:import namespace="f9668432-b02d-4d61-8768-78f5fd882a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668432-b02d-4d61-8768-78f5fd882a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9668432-b02d-4d61-8768-78f5fd882afc">Documents Proposals Manager (DPM)</DPM_x0020_Author>
    <DPM_x0020_File_x0020_name xmlns="f9668432-b02d-4d61-8768-78f5fd882afc">T13-WTSA.16-C-0046!A27!MSW-S</DPM_x0020_File_x0020_name>
    <DPM_x0020_Version xmlns="f9668432-b02d-4d61-8768-78f5fd882afc">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668432-b02d-4d61-8768-78f5fd882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f9668432-b02d-4d61-8768-78f5fd882afc"/>
    <ds:schemaRef ds:uri="http://purl.org/dc/dcmitype/"/>
    <ds:schemaRef ds:uri="996b2e75-67fd-4955-a3b0-5ab9934cb50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EF6F23-289F-4B44-B8C5-3E9B99C7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564</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T13-WTSA.16-C-0046!A27!MSW-S</vt:lpstr>
    </vt:vector>
  </TitlesOfParts>
  <Manager>Secretaría General - Pool</Manager>
  <Company>International Telecommunication Union (ITU)</Company>
  <LinksUpToDate>false</LinksUpToDate>
  <CharactersWithSpaces>3725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T13-WTSA.16-C-0046!A27!MSW-S</dc:title>
  <dc:subject>World Telecommunication Standardization Assembly</dc:subject>
  <dc:creator>Documents Proposals Manager (DPM)</dc:creator>
  <cp:keywords>DPM_v2016.9.23.1_prod</cp:keywords>
  <dc:description>Template used by DPM and CPI for the WTSA-16</dc:description>
  <cp:lastModifiedBy>Ricardo Sáez Grau</cp:lastModifiedBy>
  <cp:revision>43</cp:revision>
  <cp:lastPrinted>2016-03-08T15:23:00Z</cp:lastPrinted>
  <dcterms:created xsi:type="dcterms:W3CDTF">2016-09-26T08:15:00Z</dcterms:created>
  <dcterms:modified xsi:type="dcterms:W3CDTF">2016-09-26T08:49:00Z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