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851"/>
        <w:gridCol w:w="2126"/>
      </w:tblGrid>
      <w:tr w:rsidR="00261604" w:rsidRPr="00783DDB" w:rsidTr="00190D8B">
        <w:trPr>
          <w:cantSplit/>
        </w:trPr>
        <w:tc>
          <w:tcPr>
            <w:tcW w:w="1560" w:type="dxa"/>
          </w:tcPr>
          <w:p w:rsidR="00261604" w:rsidRPr="00783DD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83DDB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83DD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t>-16)</w:t>
            </w:r>
            <w:r w:rsidR="00A55434" w:rsidRPr="00783DDB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783DD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783DD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83DDB" w:rsidRDefault="00261604" w:rsidP="00190D8B">
            <w:pPr>
              <w:spacing w:line="240" w:lineRule="atLeast"/>
              <w:jc w:val="right"/>
            </w:pPr>
            <w:r w:rsidRPr="00783DDB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83DDB" w:rsidTr="00464999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15F4D" w:rsidRPr="00783DD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D15F4D" w:rsidRPr="00783DD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83DDB" w:rsidTr="00464999">
        <w:trPr>
          <w:cantSplit/>
        </w:trPr>
        <w:tc>
          <w:tcPr>
            <w:tcW w:w="6804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83D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977" w:type="dxa"/>
            <w:gridSpan w:val="2"/>
          </w:tcPr>
          <w:p w:rsidR="00E11080" w:rsidRPr="00783DDB" w:rsidRDefault="005C4F3F" w:rsidP="005C4F3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</w:t>
            </w:r>
            <w:r w:rsidR="00946C2E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1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46-R</w:t>
            </w:r>
          </w:p>
        </w:tc>
      </w:tr>
      <w:tr w:rsidR="00E11080" w:rsidRPr="00783DDB" w:rsidTr="00464999">
        <w:trPr>
          <w:cantSplit/>
        </w:trPr>
        <w:tc>
          <w:tcPr>
            <w:tcW w:w="6804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783DDB" w:rsidRDefault="005C4F3F" w:rsidP="00946C2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26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46C2E" w:rsidRPr="00783DDB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783DDB" w:rsidTr="00464999">
        <w:trPr>
          <w:cantSplit/>
        </w:trPr>
        <w:tc>
          <w:tcPr>
            <w:tcW w:w="6804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3D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211401" w:rsidP="00A55434">
            <w:pPr>
              <w:pStyle w:val="Source"/>
            </w:pPr>
            <w:r w:rsidRPr="00783DDB">
              <w:t>Государства – члены Межамериканской комиссии по электросвязи (</w:t>
            </w:r>
            <w:proofErr w:type="spellStart"/>
            <w:r w:rsidRPr="00783DDB">
              <w:t>СИТЕЛ</w:t>
            </w:r>
            <w:proofErr w:type="spellEnd"/>
            <w:r w:rsidRPr="00783DDB">
              <w:t>)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211401" w:rsidP="00A55434">
            <w:pPr>
              <w:pStyle w:val="Title1"/>
            </w:pPr>
            <w:r w:rsidRPr="00783DDB">
              <w:t xml:space="preserve">общие МЕЖАМЕРИКАНСКИЕ ПРЕДЛОЖЕНИЯ ДЛЯ РАБОТЫ </w:t>
            </w:r>
            <w:r w:rsidR="00A55434" w:rsidRPr="00783DDB">
              <w:br/>
              <w:t>АССАМБЛЕИ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pStyle w:val="Title2"/>
            </w:pP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83DD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83DDB" w:rsidTr="00484092">
        <w:trPr>
          <w:cantSplit/>
        </w:trPr>
        <w:tc>
          <w:tcPr>
            <w:tcW w:w="1560" w:type="dxa"/>
          </w:tcPr>
          <w:p w:rsidR="001434F1" w:rsidRPr="00783DDB" w:rsidRDefault="001434F1" w:rsidP="00A55434">
            <w:r w:rsidRPr="00783DDB">
              <w:rPr>
                <w:b/>
                <w:bCs/>
              </w:rPr>
              <w:t>Резюме</w:t>
            </w:r>
            <w:r w:rsidRPr="00783DD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83DDB" w:rsidRDefault="00211401" w:rsidP="00A55434">
                <w:r w:rsidRPr="00783DDB">
                  <w:t xml:space="preserve">Межамериканские предложения для работы </w:t>
                </w:r>
                <w:proofErr w:type="spellStart"/>
                <w:r w:rsidRPr="00783DDB">
                  <w:t>ВАСЭ</w:t>
                </w:r>
                <w:proofErr w:type="spellEnd"/>
                <w:r w:rsidRPr="00783DDB">
                  <w:t>-16 (</w:t>
                </w:r>
                <w:proofErr w:type="spellStart"/>
                <w:r w:rsidRPr="00783DDB">
                  <w:t>СИТЕЛ</w:t>
                </w:r>
                <w:proofErr w:type="spellEnd"/>
                <w:r w:rsidRPr="00783DDB">
                  <w:t>).</w:t>
                </w:r>
              </w:p>
            </w:tc>
          </w:sdtContent>
        </w:sdt>
      </w:tr>
    </w:tbl>
    <w:p w:rsidR="00946C2E" w:rsidRPr="00783DDB" w:rsidRDefault="00D37F0D" w:rsidP="005C4F3F">
      <w:pPr>
        <w:pStyle w:val="Normalaftertitle"/>
      </w:pPr>
      <w:r w:rsidRPr="00783DDB">
        <w:rPr>
          <w:color w:val="000000"/>
        </w:rPr>
        <w:t>К Документ</w:t>
      </w:r>
      <w:r w:rsidR="005C4F3F">
        <w:rPr>
          <w:color w:val="000000"/>
        </w:rPr>
        <w:t>у</w:t>
      </w:r>
      <w:r w:rsidRPr="00783DDB">
        <w:rPr>
          <w:color w:val="000000"/>
        </w:rPr>
        <w:t xml:space="preserve"> </w:t>
      </w:r>
      <w:r w:rsidR="00946C2E" w:rsidRPr="00783DDB">
        <w:t xml:space="preserve">46 </w:t>
      </w:r>
      <w:r w:rsidR="005C4F3F" w:rsidRPr="00783DDB">
        <w:rPr>
          <w:color w:val="000000"/>
        </w:rPr>
        <w:t>прилага</w:t>
      </w:r>
      <w:r w:rsidR="005C4F3F">
        <w:rPr>
          <w:color w:val="000000"/>
        </w:rPr>
        <w:t>ю</w:t>
      </w:r>
      <w:r w:rsidR="005C4F3F" w:rsidRPr="00783DDB">
        <w:rPr>
          <w:color w:val="000000"/>
        </w:rPr>
        <w:t>тся</w:t>
      </w:r>
      <w:r w:rsidR="00946C2E" w:rsidRPr="00783DDB">
        <w:t xml:space="preserve"> </w:t>
      </w:r>
      <w:r w:rsidR="00211401" w:rsidRPr="00783DDB">
        <w:rPr>
          <w:color w:val="000000"/>
        </w:rPr>
        <w:t xml:space="preserve">Межамериканские предложения </w:t>
      </w:r>
      <w:r w:rsidR="00946C2E" w:rsidRPr="00783DDB">
        <w:t>(</w:t>
      </w:r>
      <w:proofErr w:type="spellStart"/>
      <w:r w:rsidR="00946C2E" w:rsidRPr="00783DDB">
        <w:t>IAP</w:t>
      </w:r>
      <w:proofErr w:type="spellEnd"/>
      <w:r w:rsidR="00946C2E" w:rsidRPr="00783DDB">
        <w:t xml:space="preserve">) </w:t>
      </w:r>
      <w:r w:rsidR="00211401" w:rsidRPr="00783DDB">
        <w:t xml:space="preserve">для работы </w:t>
      </w:r>
      <w:proofErr w:type="spellStart"/>
      <w:r w:rsidR="00211401" w:rsidRPr="00783DDB">
        <w:t>ВАСЭ</w:t>
      </w:r>
      <w:proofErr w:type="spellEnd"/>
      <w:r w:rsidR="00783DDB" w:rsidRPr="00783DDB">
        <w:noBreakHyphen/>
      </w:r>
      <w:r w:rsidR="00946C2E" w:rsidRPr="00783DDB">
        <w:t>16.</w:t>
      </w:r>
    </w:p>
    <w:p w:rsidR="00946C2E" w:rsidRPr="00783DDB" w:rsidRDefault="00211401" w:rsidP="00A42E9F">
      <w:r w:rsidRPr="00783DDB">
        <w:t>В Приложении</w:t>
      </w:r>
      <w:r w:rsidR="00946C2E" w:rsidRPr="00783DDB">
        <w:t xml:space="preserve"> 1 </w:t>
      </w:r>
      <w:r w:rsidRPr="00783DDB">
        <w:t>содержится</w:t>
      </w:r>
      <w:r w:rsidR="00946C2E" w:rsidRPr="00783DDB">
        <w:t xml:space="preserve"> </w:t>
      </w:r>
      <w:r w:rsidR="00D37F0D" w:rsidRPr="00783DDB">
        <w:rPr>
          <w:color w:val="000000"/>
        </w:rPr>
        <w:t xml:space="preserve">таблица с информацией о поддержке </w:t>
      </w:r>
      <w:r w:rsidR="00A42E9F">
        <w:rPr>
          <w:color w:val="000000"/>
        </w:rPr>
        <w:t>г</w:t>
      </w:r>
      <w:r w:rsidR="00D37F0D" w:rsidRPr="00783DDB">
        <w:rPr>
          <w:color w:val="000000"/>
        </w:rPr>
        <w:t xml:space="preserve">осударствами − членами </w:t>
      </w:r>
      <w:proofErr w:type="spellStart"/>
      <w:r w:rsidR="00D37F0D" w:rsidRPr="00783DDB">
        <w:rPr>
          <w:color w:val="000000"/>
        </w:rPr>
        <w:t>СИТЕЛ</w:t>
      </w:r>
      <w:proofErr w:type="spellEnd"/>
      <w:r w:rsidR="00D37F0D" w:rsidRPr="00783DDB">
        <w:rPr>
          <w:color w:val="000000"/>
        </w:rPr>
        <w:t xml:space="preserve"> Межамериканских предложений</w:t>
      </w:r>
      <w:r w:rsidR="00D37F0D" w:rsidRPr="00783DDB">
        <w:t xml:space="preserve"> для работы </w:t>
      </w:r>
      <w:proofErr w:type="spellStart"/>
      <w:r w:rsidR="008A45D3" w:rsidRPr="00783DDB">
        <w:t>ВАСЭ</w:t>
      </w:r>
      <w:proofErr w:type="spellEnd"/>
      <w:r w:rsidR="00946C2E" w:rsidRPr="00783DDB">
        <w:t>-16.</w:t>
      </w:r>
    </w:p>
    <w:p w:rsidR="00783DDB" w:rsidRPr="00783DDB" w:rsidRDefault="00783DDB" w:rsidP="00783DDB">
      <w:pPr>
        <w:tabs>
          <w:tab w:val="clear" w:pos="1134"/>
          <w:tab w:val="clear" w:pos="1871"/>
          <w:tab w:val="clear" w:pos="2268"/>
          <w:tab w:val="left" w:pos="3421"/>
        </w:tabs>
      </w:pPr>
    </w:p>
    <w:p w:rsidR="00946C2E" w:rsidRPr="00783DDB" w:rsidRDefault="00946C2E" w:rsidP="00783DDB">
      <w:pPr>
        <w:tabs>
          <w:tab w:val="clear" w:pos="1134"/>
          <w:tab w:val="clear" w:pos="1871"/>
          <w:tab w:val="clear" w:pos="2268"/>
          <w:tab w:val="left" w:pos="3421"/>
        </w:tabs>
        <w:sectPr w:rsidR="00946C2E" w:rsidRPr="00783DD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3"/>
        <w:gridCol w:w="253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1134"/>
      </w:tblGrid>
      <w:tr w:rsidR="00713B89" w:rsidRPr="00DD687E" w:rsidTr="00DD687E">
        <w:trPr>
          <w:cantSplit/>
          <w:tblHeader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lastRenderedPageBreak/>
              <w:t>ВАСЭ</w:t>
            </w:r>
            <w:proofErr w:type="spellEnd"/>
            <w:r w:rsidR="00946C2E" w:rsidRPr="00DD687E">
              <w:rPr>
                <w:b/>
                <w:sz w:val="18"/>
                <w:szCs w:val="18"/>
              </w:rPr>
              <w:t>-16</w:t>
            </w:r>
          </w:p>
          <w:p w:rsidR="00946C2E" w:rsidRPr="00DD687E" w:rsidRDefault="0029116F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№</w:t>
            </w:r>
          </w:p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(</w:t>
            </w:r>
            <w:r w:rsidR="00713B89" w:rsidRPr="00DD687E">
              <w:rPr>
                <w:b/>
                <w:sz w:val="18"/>
                <w:szCs w:val="18"/>
              </w:rPr>
              <w:t>Док</w:t>
            </w:r>
            <w:r w:rsidRPr="00DD687E">
              <w:rPr>
                <w:b/>
                <w:sz w:val="18"/>
                <w:szCs w:val="18"/>
              </w:rPr>
              <w:t>. 46)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="0029116F" w:rsidRPr="00DD687E">
              <w:rPr>
                <w:b/>
                <w:sz w:val="18"/>
                <w:szCs w:val="18"/>
              </w:rPr>
              <w:t xml:space="preserve"> №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29116F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ATG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ARG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BAH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BRB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BLZ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BOL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BRA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CAN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CHL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COL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CTR</w:t>
            </w:r>
            <w:proofErr w:type="spellEnd"/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DOM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DMA</w:t>
            </w:r>
            <w:proofErr w:type="spellEnd"/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SLV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EQA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USA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GRD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GTM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GUY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HTI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HND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JMC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MEX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NCG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PNR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PRG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PRU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KNA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VCT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LCA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SUR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TRD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URG</w:t>
            </w:r>
            <w:proofErr w:type="spellEnd"/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29116F" w:rsidP="005C4F3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 w:line="200" w:lineRule="exact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 xml:space="preserve">Общее </w:t>
            </w:r>
            <w:r w:rsidR="005C4F3F" w:rsidRPr="00DD687E">
              <w:rPr>
                <w:b/>
                <w:sz w:val="18"/>
                <w:szCs w:val="18"/>
              </w:rPr>
              <w:t>число</w:t>
            </w:r>
            <w:r w:rsidRPr="00DD687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687E">
              <w:rPr>
                <w:b/>
                <w:sz w:val="18"/>
                <w:szCs w:val="18"/>
              </w:rPr>
              <w:t>поддер</w:t>
            </w:r>
            <w:proofErr w:type="spellEnd"/>
            <w:r w:rsidRPr="00DD687E">
              <w:rPr>
                <w:b/>
                <w:sz w:val="18"/>
                <w:szCs w:val="18"/>
              </w:rPr>
              <w:t>-жавших</w:t>
            </w:r>
            <w:proofErr w:type="gramEnd"/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sz w:val="18"/>
                <w:szCs w:val="18"/>
              </w:rPr>
              <w:t xml:space="preserve">Исключение Резолюции 82 </w:t>
            </w:r>
            <w:proofErr w:type="spellStart"/>
            <w:r w:rsidRPr="00DD687E">
              <w:rPr>
                <w:rFonts w:asciiTheme="majorBidi" w:hAnsiTheme="majorBidi" w:cstheme="majorBid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asciiTheme="majorBidi" w:hAnsiTheme="majorBidi" w:cstheme="majorBidi"/>
                <w:sz w:val="18"/>
                <w:szCs w:val="18"/>
              </w:rPr>
              <w:t>-12 – Стратегическое и структурное рассмотрение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5C4F3F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-1] – Инициативы МСЭ-Т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5C4F3F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10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32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55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Включение принципа равноправия полов в основные направления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-2] – Содействие гендерному равенству в деятельности МСЭ 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trHeight w:val="262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Изменения к Резолюции 71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Допуск академических организаций к участию в работе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-3] − Использование преимуществ интернета вещей в интересах глобального развития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-4] − Международный мобильный роуминг (</w:t>
            </w:r>
            <w:proofErr w:type="spellStart"/>
            <w:r w:rsidRPr="00DD687E">
              <w:rPr>
                <w:sz w:val="18"/>
                <w:szCs w:val="18"/>
              </w:rPr>
              <w:t>ММР</w:t>
            </w:r>
            <w:proofErr w:type="spellEnd"/>
            <w:r w:rsidRPr="00DD687E">
              <w:rPr>
                <w:sz w:val="18"/>
                <w:szCs w:val="18"/>
              </w:rPr>
              <w:t>)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-5] – Борьба с хищениями мобильных устройств электросвязи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11</w:t>
            </w:r>
          </w:p>
        </w:tc>
      </w:tr>
      <w:tr w:rsidR="00713B89" w:rsidRPr="00DD687E" w:rsidTr="00DD687E">
        <w:trPr>
          <w:cantSplit/>
          <w:trHeight w:val="718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Предлагаемые изменения к Резолюции 1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-12 − Внутренний регламент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7</w:t>
            </w:r>
          </w:p>
        </w:tc>
      </w:tr>
      <w:tr w:rsidR="00713B89" w:rsidRPr="00DD687E" w:rsidTr="00DD687E">
        <w:trPr>
          <w:cantSplit/>
          <w:trHeight w:val="481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-6] – Исследования, связанные с борьбой против контрафактных и поддельных устройств ИКТ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Предлагаемые изменения к Резолюции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Признание активного участия членов в получении результатов деятельности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trHeight w:val="1281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Предлагаемое исключение Резолюции 11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>-12 – 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Предлагаемые изменения к Резолюции 70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Доступность средств электросвязи/</w:t>
            </w:r>
            <w:r w:rsidRPr="00DD687E">
              <w:rPr>
                <w:spacing w:val="-4"/>
                <w:sz w:val="18"/>
                <w:szCs w:val="18"/>
              </w:rPr>
              <w:t>информационно</w:t>
            </w:r>
            <w:r w:rsidRPr="00DD687E">
              <w:rPr>
                <w:sz w:val="18"/>
                <w:szCs w:val="18"/>
              </w:rPr>
              <w:t>-коммуникационных технологий для лиц с ограниченными возможностями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trHeight w:val="973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изменение к Резолюции 72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Важность измерений, связанных с воздействием электромагнитных полей на человека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>Изменение Резолюции 44 – "Преодоление разрыва в стандартизации между развивающимися и развитыми странами"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изменение Резолюции 61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-12 − 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18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>Предлагаемая новая Резолюция [</w:t>
            </w:r>
            <w:proofErr w:type="spellStart"/>
            <w:r w:rsidRPr="00DD687E">
              <w:rPr>
                <w:sz w:val="18"/>
                <w:szCs w:val="18"/>
              </w:rPr>
              <w:t>IAP</w:t>
            </w:r>
            <w:proofErr w:type="spellEnd"/>
            <w:r w:rsidRPr="00DD687E">
              <w:rPr>
                <w:sz w:val="18"/>
                <w:szCs w:val="18"/>
              </w:rPr>
              <w:t>-7] – Допуск малых и средних предприятий к работе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7</w:t>
            </w:r>
          </w:p>
        </w:tc>
      </w:tr>
      <w:tr w:rsidR="00713B89" w:rsidRPr="00DD687E" w:rsidTr="00DD687E">
        <w:trPr>
          <w:cantSplit/>
          <w:trHeight w:val="483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19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Предлагаемые изменения к Резолюции 50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 xml:space="preserve">-12 –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Кибербезопасность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10</w:t>
            </w:r>
          </w:p>
        </w:tc>
      </w:tr>
      <w:tr w:rsidR="00713B89" w:rsidRPr="00DD687E" w:rsidTr="00DD687E">
        <w:trPr>
          <w:cantSplit/>
          <w:trHeight w:val="1050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</w:t>
            </w:r>
            <w:bookmarkStart w:id="0" w:name="_GoBack"/>
            <w:bookmarkEnd w:id="0"/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845A02">
              <w:rPr>
                <w:rFonts w:eastAsia="Calibri"/>
                <w:sz w:val="18"/>
                <w:szCs w:val="18"/>
              </w:rPr>
              <w:t>Предлагаемые</w:t>
            </w:r>
            <w:r w:rsidRPr="00DD687E">
              <w:rPr>
                <w:sz w:val="18"/>
                <w:szCs w:val="18"/>
              </w:rPr>
              <w:t xml:space="preserve"> изменения к Рекомендации МСЭ-Т </w:t>
            </w:r>
            <w:proofErr w:type="spellStart"/>
            <w:r w:rsidRPr="00DD687E">
              <w:rPr>
                <w:sz w:val="18"/>
                <w:szCs w:val="18"/>
              </w:rPr>
              <w:t>A.13</w:t>
            </w:r>
            <w:proofErr w:type="spellEnd"/>
            <w:r w:rsidRPr="00DD687E">
              <w:rPr>
                <w:sz w:val="18"/>
                <w:szCs w:val="18"/>
              </w:rPr>
              <w:t xml:space="preserve"> − Добавления к Рекомендациям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7</w:t>
            </w:r>
          </w:p>
        </w:tc>
      </w:tr>
      <w:tr w:rsidR="00713B89" w:rsidRPr="00DD687E" w:rsidTr="00DD687E">
        <w:trPr>
          <w:cantSplit/>
          <w:trHeight w:val="554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81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Укрепление сотрудничества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B8659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6</w:t>
            </w:r>
          </w:p>
        </w:tc>
      </w:tr>
      <w:tr w:rsidR="00713B89" w:rsidRPr="00DD687E" w:rsidTr="00DD687E">
        <w:trPr>
          <w:cantSplit/>
          <w:trHeight w:val="620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Обновление Резолюции 2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 xml:space="preserve"> – Структура и ведущие роли исследовательских комиссий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9</w:t>
            </w:r>
          </w:p>
        </w:tc>
      </w:tr>
      <w:tr w:rsidR="00713B89" w:rsidRPr="00DD687E" w:rsidTr="00DD687E">
        <w:trPr>
          <w:cantSplit/>
          <w:trHeight w:val="1355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Предлагаемое изменение Резолюции 75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>-12 – 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7</w:t>
            </w:r>
          </w:p>
        </w:tc>
      </w:tr>
      <w:tr w:rsidR="00713B89" w:rsidRPr="00DD687E" w:rsidTr="00DD687E">
        <w:trPr>
          <w:cantSplit/>
          <w:trHeight w:val="1871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Предлагаемые изменения Резолюции 35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>-12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10</w:t>
            </w:r>
          </w:p>
        </w:tc>
      </w:tr>
      <w:tr w:rsidR="00713B89" w:rsidRPr="00DD687E" w:rsidTr="00DD687E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>Принципы формирования структуры исследовательских комиссий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6</w:t>
            </w:r>
          </w:p>
        </w:tc>
      </w:tr>
      <w:tr w:rsidR="00713B89" w:rsidRPr="00DD687E" w:rsidTr="00DD687E">
        <w:trPr>
          <w:cantSplit/>
          <w:trHeight w:val="964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26</w:t>
            </w:r>
          </w:p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3845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33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Руководящие указания по стратегическим видам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trHeight w:val="64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45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6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28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исключение Резолюции 38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– "Координация деятельности трех Секторов МСЭ по вопросам, связанным с международной подвижной электросвязью"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6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29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Предлагаемое исключение Резолюции 59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>-12 − Расширение участия операторов электросвязи из развивающихся стран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30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Предлагаемые изменения к Рекомендации МСЭ-T </w:t>
            </w:r>
            <w:proofErr w:type="spellStart"/>
            <w:r w:rsidRPr="00DD687E">
              <w:rPr>
                <w:sz w:val="18"/>
                <w:szCs w:val="18"/>
              </w:rPr>
              <w:t>A.1</w:t>
            </w:r>
            <w:proofErr w:type="spellEnd"/>
            <w:r w:rsidRPr="00DD687E">
              <w:rPr>
                <w:sz w:val="18"/>
                <w:szCs w:val="18"/>
              </w:rPr>
              <w:t xml:space="preserve"> – Методы работы исследовательских комиссий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7</w:t>
            </w:r>
          </w:p>
        </w:tc>
      </w:tr>
      <w:tr w:rsidR="00713B89" w:rsidRPr="00DD687E" w:rsidTr="00DD687E">
        <w:trPr>
          <w:cantSplit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31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Предлагаемое изменение Резолюции 22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-12 −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  <w:tr w:rsidR="00713B89" w:rsidRPr="00DD687E" w:rsidTr="00DD687E">
        <w:trPr>
          <w:cantSplit/>
          <w:trHeight w:val="958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D0513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rFonts w:eastAsia="Calibri"/>
                <w:sz w:val="18"/>
                <w:szCs w:val="18"/>
              </w:rPr>
              <w:t xml:space="preserve">Предлагаемое изменение Резолюции 65 </w:t>
            </w:r>
            <w:proofErr w:type="spellStart"/>
            <w:r w:rsidRPr="00DD687E">
              <w:rPr>
                <w:rFonts w:eastAsia="Calibri"/>
                <w:sz w:val="18"/>
                <w:szCs w:val="18"/>
              </w:rPr>
              <w:t>ВАСЭ</w:t>
            </w:r>
            <w:proofErr w:type="spellEnd"/>
            <w:r w:rsidRPr="00DD687E">
              <w:rPr>
                <w:rFonts w:eastAsia="Calibri"/>
                <w:sz w:val="18"/>
                <w:szCs w:val="18"/>
              </w:rPr>
              <w:t>-12 − Доставка номера вызывающего абонента, идентификация линии вызывающего абонента и определение происхождения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6</w:t>
            </w:r>
          </w:p>
        </w:tc>
      </w:tr>
      <w:tr w:rsidR="00713B89" w:rsidRPr="00DD687E" w:rsidTr="00DD687E">
        <w:trPr>
          <w:cantSplit/>
          <w:trHeight w:val="896"/>
          <w:jc w:val="center"/>
        </w:trPr>
        <w:tc>
          <w:tcPr>
            <w:tcW w:w="1555" w:type="dxa"/>
            <w:vAlign w:val="center"/>
          </w:tcPr>
          <w:p w:rsidR="00946C2E" w:rsidRPr="00DD687E" w:rsidRDefault="00713B89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DD687E">
              <w:rPr>
                <w:b/>
                <w:sz w:val="18"/>
                <w:szCs w:val="18"/>
              </w:rPr>
              <w:t xml:space="preserve"> документ </w:t>
            </w:r>
            <w:r w:rsidR="00946C2E" w:rsidRPr="00DD687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46C2E" w:rsidRPr="00DD687E" w:rsidRDefault="00946C2E" w:rsidP="00DD687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DD687E">
              <w:rPr>
                <w:b/>
                <w:sz w:val="18"/>
                <w:szCs w:val="18"/>
              </w:rPr>
              <w:t>IAP</w:t>
            </w:r>
            <w:proofErr w:type="spellEnd"/>
            <w:r w:rsidRPr="00DD687E">
              <w:rPr>
                <w:b/>
                <w:sz w:val="18"/>
                <w:szCs w:val="18"/>
              </w:rPr>
              <w:t xml:space="preserve"> 33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DD687E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DD687E">
              <w:rPr>
                <w:sz w:val="18"/>
                <w:szCs w:val="18"/>
              </w:rPr>
              <w:t xml:space="preserve">Предлагаемые изменения к Резолюции 76 </w:t>
            </w:r>
            <w:proofErr w:type="spellStart"/>
            <w:r w:rsidRPr="00DD687E">
              <w:rPr>
                <w:sz w:val="18"/>
                <w:szCs w:val="18"/>
              </w:rPr>
              <w:t>ВАСЭ</w:t>
            </w:r>
            <w:proofErr w:type="spellEnd"/>
            <w:r w:rsidRPr="00DD687E">
              <w:rPr>
                <w:sz w:val="18"/>
                <w:szCs w:val="18"/>
              </w:rPr>
              <w:t>-12 − Исследования, касающиеся проверки на соответствие и функциональную совместимость и помощи развивающимся странам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89309B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DD687E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DD687E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DD687E" w:rsidRDefault="0046499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687E">
              <w:rPr>
                <w:b/>
                <w:sz w:val="18"/>
                <w:szCs w:val="18"/>
              </w:rPr>
              <w:t>8</w:t>
            </w:r>
          </w:p>
        </w:tc>
      </w:tr>
    </w:tbl>
    <w:p w:rsidR="00A962BB" w:rsidRPr="00783DDB" w:rsidRDefault="00A962BB" w:rsidP="00211401">
      <w:pPr>
        <w:pStyle w:val="Reasons"/>
      </w:pPr>
    </w:p>
    <w:p w:rsidR="00A962BB" w:rsidRPr="00783DDB" w:rsidRDefault="00A962BB">
      <w:pPr>
        <w:jc w:val="center"/>
      </w:pPr>
      <w:r w:rsidRPr="00783DDB">
        <w:t>______________</w:t>
      </w:r>
    </w:p>
    <w:sectPr w:rsidR="00A962BB" w:rsidRPr="00783DDB" w:rsidSect="009D3959">
      <w:footerReference w:type="first" r:id="rId16"/>
      <w:pgSz w:w="16840" w:h="11907" w:orient="landscape" w:code="9"/>
      <w:pgMar w:top="1134" w:right="1418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3F" w:rsidRDefault="005C4F3F">
      <w:r>
        <w:separator/>
      </w:r>
    </w:p>
  </w:endnote>
  <w:endnote w:type="continuationSeparator" w:id="0">
    <w:p w:rsidR="005C4F3F" w:rsidRDefault="005C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3F" w:rsidRDefault="005C4F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C4F3F" w:rsidRDefault="005C4F3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4018A">
      <w:rPr>
        <w:noProof/>
        <w:lang w:val="fr-FR"/>
      </w:rPr>
      <w:t>P:\RUS\ITU-T\CONF-T\WTSA16\000\046REV1R.docx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A02">
      <w:rPr>
        <w:noProof/>
      </w:rPr>
      <w:t>26.10.16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18A">
      <w:rPr>
        <w:noProof/>
      </w:rPr>
      <w:t>26.10.16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3F" w:rsidRPr="009D3959" w:rsidRDefault="005C4F3F" w:rsidP="005C4F3F">
    <w:pPr>
      <w:pStyle w:val="Footer"/>
      <w:rPr>
        <w:lang w:val="fr-CH"/>
      </w:rPr>
    </w:pPr>
    <w:r>
      <w:fldChar w:fldCharType="begin"/>
    </w:r>
    <w:r w:rsidRPr="009D3959">
      <w:rPr>
        <w:lang w:val="fr-CH"/>
      </w:rPr>
      <w:instrText xml:space="preserve"> FILENAME \p  \* MERGEFORMAT </w:instrText>
    </w:r>
    <w:r>
      <w:fldChar w:fldCharType="separate"/>
    </w:r>
    <w:r w:rsidR="0074018A">
      <w:rPr>
        <w:lang w:val="fr-CH"/>
      </w:rPr>
      <w:t>P:\RUS\ITU-T\CONF-T\WTSA16\000\046REV1R.docx</w:t>
    </w:r>
    <w:r>
      <w:fldChar w:fldCharType="end"/>
    </w:r>
    <w:r w:rsidRPr="009D3959">
      <w:rPr>
        <w:lang w:val="fr-CH"/>
      </w:rPr>
      <w:t xml:space="preserve"> (</w:t>
    </w:r>
    <w:r w:rsidRPr="005C4F3F">
      <w:rPr>
        <w:lang w:val="fr-CH"/>
      </w:rPr>
      <w:t>407697</w:t>
    </w:r>
    <w:r w:rsidRPr="009D395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5C4F3F" w:rsidRPr="00464999" w:rsidTr="00211401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5C4F3F" w:rsidRPr="00464999" w:rsidRDefault="005C4F3F" w:rsidP="0083351D">
          <w:pPr>
            <w:spacing w:before="60" w:after="60"/>
            <w:rPr>
              <w:b/>
              <w:bCs/>
              <w:sz w:val="20"/>
            </w:rPr>
          </w:pPr>
          <w:r w:rsidRPr="00464999">
            <w:rPr>
              <w:b/>
              <w:bCs/>
              <w:sz w:val="20"/>
            </w:rPr>
            <w:t>Для контактов</w:t>
          </w:r>
          <w:r w:rsidRPr="00464999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5C4F3F" w:rsidRPr="00464999" w:rsidRDefault="005C4F3F" w:rsidP="0083351D">
          <w:pPr>
            <w:spacing w:before="60" w:after="60"/>
            <w:rPr>
              <w:sz w:val="20"/>
            </w:rPr>
          </w:pPr>
          <w:r w:rsidRPr="00464999">
            <w:rPr>
              <w:color w:val="000000"/>
              <w:sz w:val="20"/>
            </w:rPr>
            <w:t>Оскар Леон (</w:t>
          </w:r>
          <w:r w:rsidRPr="00464999">
            <w:rPr>
              <w:color w:val="000000"/>
              <w:sz w:val="20"/>
              <w:lang w:val="es-ES"/>
            </w:rPr>
            <w:t>Oscar</w:t>
          </w:r>
          <w:r w:rsidRPr="00464999">
            <w:rPr>
              <w:color w:val="000000"/>
              <w:sz w:val="20"/>
            </w:rPr>
            <w:t xml:space="preserve"> </w:t>
          </w:r>
          <w:proofErr w:type="gramStart"/>
          <w:r w:rsidRPr="00464999">
            <w:rPr>
              <w:color w:val="000000"/>
              <w:sz w:val="20"/>
              <w:lang w:val="es-ES"/>
            </w:rPr>
            <w:t>Le</w:t>
          </w:r>
          <w:r w:rsidRPr="00464999">
            <w:rPr>
              <w:color w:val="000000"/>
              <w:sz w:val="20"/>
            </w:rPr>
            <w:t>ó</w:t>
          </w:r>
          <w:r w:rsidRPr="00464999">
            <w:rPr>
              <w:color w:val="000000"/>
              <w:sz w:val="20"/>
              <w:lang w:val="es-ES"/>
            </w:rPr>
            <w:t>n</w:t>
          </w:r>
          <w:r w:rsidRPr="00464999">
            <w:rPr>
              <w:color w:val="000000"/>
              <w:sz w:val="20"/>
            </w:rPr>
            <w:t>)</w:t>
          </w:r>
          <w:r w:rsidRPr="00464999">
            <w:rPr>
              <w:sz w:val="20"/>
            </w:rPr>
            <w:br/>
          </w:r>
          <w:proofErr w:type="spellStart"/>
          <w:r w:rsidRPr="00464999">
            <w:rPr>
              <w:color w:val="000000"/>
              <w:sz w:val="20"/>
            </w:rPr>
            <w:t>СИТЕЛ</w:t>
          </w:r>
          <w:proofErr w:type="spellEnd"/>
          <w:proofErr w:type="gramEnd"/>
          <w:r w:rsidRPr="00464999">
            <w:rPr>
              <w:sz w:val="20"/>
            </w:rPr>
            <w:br/>
          </w:r>
          <w:r w:rsidRPr="00464999">
            <w:rPr>
              <w:color w:val="000000"/>
              <w:sz w:val="20"/>
            </w:rPr>
            <w:t xml:space="preserve">Вашингтон, </w:t>
          </w:r>
          <w:proofErr w:type="spellStart"/>
          <w:r w:rsidRPr="00464999">
            <w:rPr>
              <w:color w:val="000000"/>
              <w:sz w:val="20"/>
            </w:rPr>
            <w:t>О.К</w:t>
          </w:r>
          <w:proofErr w:type="spellEnd"/>
          <w:r w:rsidRPr="00464999">
            <w:rPr>
              <w:color w:val="000000"/>
              <w:sz w:val="20"/>
            </w:rPr>
            <w:t>., 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5C4F3F" w:rsidRPr="00464999" w:rsidRDefault="005C4F3F" w:rsidP="00A55434">
          <w:pPr>
            <w:spacing w:before="60" w:after="60"/>
            <w:rPr>
              <w:sz w:val="20"/>
            </w:rPr>
          </w:pPr>
          <w:proofErr w:type="gramStart"/>
          <w:r w:rsidRPr="00464999">
            <w:rPr>
              <w:sz w:val="20"/>
            </w:rPr>
            <w:t>Тел.:</w:t>
          </w:r>
          <w:r w:rsidRPr="00464999">
            <w:rPr>
              <w:sz w:val="20"/>
            </w:rPr>
            <w:tab/>
          </w:r>
          <w:proofErr w:type="gramEnd"/>
          <w:r w:rsidRPr="00464999">
            <w:rPr>
              <w:sz w:val="20"/>
            </w:rPr>
            <w:t>+ 1 (202) 370 4713</w:t>
          </w:r>
          <w:r w:rsidRPr="00464999">
            <w:rPr>
              <w:sz w:val="20"/>
            </w:rPr>
            <w:br/>
            <w:t>Факс:</w:t>
          </w:r>
          <w:r w:rsidRPr="00464999">
            <w:rPr>
              <w:sz w:val="20"/>
            </w:rPr>
            <w:tab/>
            <w:t>+ 1 (202) 458 6854</w:t>
          </w:r>
          <w:r w:rsidRPr="00464999">
            <w:rPr>
              <w:sz w:val="20"/>
            </w:rPr>
            <w:br/>
            <w:t>Эл. почта:</w:t>
          </w:r>
          <w:r w:rsidRPr="00464999">
            <w:rPr>
              <w:sz w:val="20"/>
              <w:lang w:val="pt-BR"/>
            </w:rPr>
            <w:tab/>
          </w:r>
          <w:hyperlink r:id="rId1" w:history="1">
            <w:r w:rsidRPr="00464999">
              <w:rPr>
                <w:rStyle w:val="Hyperlink"/>
                <w:sz w:val="20"/>
                <w:lang w:val="en-GB"/>
              </w:rPr>
              <w:t>citel</w:t>
            </w:r>
            <w:r w:rsidRPr="00464999">
              <w:rPr>
                <w:rStyle w:val="Hyperlink"/>
                <w:sz w:val="20"/>
              </w:rPr>
              <w:t>@</w:t>
            </w:r>
            <w:r w:rsidRPr="00464999">
              <w:rPr>
                <w:rStyle w:val="Hyperlink"/>
                <w:sz w:val="20"/>
                <w:lang w:val="en-GB"/>
              </w:rPr>
              <w:t>oas</w:t>
            </w:r>
            <w:r w:rsidRPr="00464999">
              <w:rPr>
                <w:rStyle w:val="Hyperlink"/>
                <w:sz w:val="20"/>
              </w:rPr>
              <w:t>.</w:t>
            </w:r>
            <w:r w:rsidRPr="00464999">
              <w:rPr>
                <w:rStyle w:val="Hyperlink"/>
                <w:sz w:val="20"/>
                <w:lang w:val="en-GB"/>
              </w:rPr>
              <w:t>org</w:t>
            </w:r>
          </w:hyperlink>
        </w:p>
      </w:tc>
    </w:tr>
  </w:tbl>
  <w:p w:rsidR="005C4F3F" w:rsidRPr="00A55434" w:rsidRDefault="005C4F3F" w:rsidP="0083351D">
    <w:pPr>
      <w:pStyle w:val="Footer"/>
      <w:rPr>
        <w:sz w:val="4"/>
        <w:szCs w:val="4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3F" w:rsidRDefault="005C4F3F">
    <w:pPr>
      <w:pStyle w:val="Footer"/>
    </w:pPr>
    <w:r w:rsidRPr="00484092">
      <w:t>E:\DROPBOX\PROPOSALSHARING\WTSA-16\TEMPLATE\WTSA16R_V1.DOCX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3F" w:rsidRDefault="005C4F3F">
      <w:r>
        <w:rPr>
          <w:b/>
        </w:rPr>
        <w:t>_______________</w:t>
      </w:r>
    </w:p>
  </w:footnote>
  <w:footnote w:type="continuationSeparator" w:id="0">
    <w:p w:rsidR="005C4F3F" w:rsidRDefault="005C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3F" w:rsidRPr="00434A7C" w:rsidRDefault="005C4F3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5A02">
      <w:rPr>
        <w:noProof/>
      </w:rPr>
      <w:t>7</w:t>
    </w:r>
    <w:r>
      <w:fldChar w:fldCharType="end"/>
    </w:r>
  </w:p>
  <w:p w:rsidR="005C4F3F" w:rsidRPr="00946C2E" w:rsidRDefault="005C4F3F" w:rsidP="005C4F3F">
    <w:pPr>
      <w:pStyle w:val="Header"/>
      <w:rPr>
        <w:lang w:val="en-US"/>
      </w:rPr>
    </w:pPr>
    <w:proofErr w:type="spellStart"/>
    <w:r>
      <w:t>WTSA16</w:t>
    </w:r>
    <w:proofErr w:type="spellEnd"/>
    <w:r>
      <w:t>/46</w:t>
    </w:r>
    <w:r>
      <w:rPr>
        <w:lang w:val="ru-RU"/>
      </w:rPr>
      <w:t>(</w:t>
    </w:r>
    <w:proofErr w:type="spellStart"/>
    <w:r>
      <w:t>Rev.1</w:t>
    </w:r>
    <w:proofErr w:type="spellEnd"/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1401"/>
    <w:rsid w:val="00213317"/>
    <w:rsid w:val="00230582"/>
    <w:rsid w:val="00237D09"/>
    <w:rsid w:val="002449AA"/>
    <w:rsid w:val="00245A1F"/>
    <w:rsid w:val="00261604"/>
    <w:rsid w:val="00290C74"/>
    <w:rsid w:val="0029116F"/>
    <w:rsid w:val="002A2D3F"/>
    <w:rsid w:val="002E533D"/>
    <w:rsid w:val="00300F84"/>
    <w:rsid w:val="00306147"/>
    <w:rsid w:val="00344EB8"/>
    <w:rsid w:val="00346BEC"/>
    <w:rsid w:val="003915F9"/>
    <w:rsid w:val="003C583C"/>
    <w:rsid w:val="003F0078"/>
    <w:rsid w:val="0040677A"/>
    <w:rsid w:val="00412A42"/>
    <w:rsid w:val="00432FFB"/>
    <w:rsid w:val="00434A7C"/>
    <w:rsid w:val="0045143A"/>
    <w:rsid w:val="00454A9E"/>
    <w:rsid w:val="00464999"/>
    <w:rsid w:val="00484092"/>
    <w:rsid w:val="00496734"/>
    <w:rsid w:val="004A58F4"/>
    <w:rsid w:val="004B623C"/>
    <w:rsid w:val="004C47ED"/>
    <w:rsid w:val="004C557F"/>
    <w:rsid w:val="004D3C26"/>
    <w:rsid w:val="004E7FB3"/>
    <w:rsid w:val="005039CF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4F3F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4736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3B89"/>
    <w:rsid w:val="00730A90"/>
    <w:rsid w:val="0074018A"/>
    <w:rsid w:val="00763F4F"/>
    <w:rsid w:val="00775720"/>
    <w:rsid w:val="007772E3"/>
    <w:rsid w:val="00777F17"/>
    <w:rsid w:val="00783DDB"/>
    <w:rsid w:val="00794694"/>
    <w:rsid w:val="007A08B5"/>
    <w:rsid w:val="007A7F49"/>
    <w:rsid w:val="007F1E3A"/>
    <w:rsid w:val="008049E5"/>
    <w:rsid w:val="00811633"/>
    <w:rsid w:val="00812452"/>
    <w:rsid w:val="0083351D"/>
    <w:rsid w:val="00845A02"/>
    <w:rsid w:val="00872232"/>
    <w:rsid w:val="00872FC8"/>
    <w:rsid w:val="0089309B"/>
    <w:rsid w:val="008A16DC"/>
    <w:rsid w:val="008A45D3"/>
    <w:rsid w:val="008B07D5"/>
    <w:rsid w:val="008B43F2"/>
    <w:rsid w:val="008C3257"/>
    <w:rsid w:val="008D0513"/>
    <w:rsid w:val="009119CC"/>
    <w:rsid w:val="00917C0A"/>
    <w:rsid w:val="0092220F"/>
    <w:rsid w:val="00922CD0"/>
    <w:rsid w:val="00941A02"/>
    <w:rsid w:val="00946C2E"/>
    <w:rsid w:val="0097126C"/>
    <w:rsid w:val="009825E6"/>
    <w:rsid w:val="009860A5"/>
    <w:rsid w:val="00993F0B"/>
    <w:rsid w:val="009B5CC2"/>
    <w:rsid w:val="009D3959"/>
    <w:rsid w:val="009D5334"/>
    <w:rsid w:val="009E5FC8"/>
    <w:rsid w:val="00A138D0"/>
    <w:rsid w:val="00A141AF"/>
    <w:rsid w:val="00A2044F"/>
    <w:rsid w:val="00A42E9F"/>
    <w:rsid w:val="00A4600A"/>
    <w:rsid w:val="00A55434"/>
    <w:rsid w:val="00A57C04"/>
    <w:rsid w:val="00A61057"/>
    <w:rsid w:val="00A710E7"/>
    <w:rsid w:val="00A81026"/>
    <w:rsid w:val="00A85E0F"/>
    <w:rsid w:val="00A962BB"/>
    <w:rsid w:val="00A97EC0"/>
    <w:rsid w:val="00AC66E6"/>
    <w:rsid w:val="00B0332B"/>
    <w:rsid w:val="00B468A6"/>
    <w:rsid w:val="00B53202"/>
    <w:rsid w:val="00B74600"/>
    <w:rsid w:val="00B74D17"/>
    <w:rsid w:val="00B8659E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5CD5"/>
    <w:rsid w:val="00C72022"/>
    <w:rsid w:val="00CA0486"/>
    <w:rsid w:val="00CC47C6"/>
    <w:rsid w:val="00CC4DE6"/>
    <w:rsid w:val="00CE5E47"/>
    <w:rsid w:val="00CF020F"/>
    <w:rsid w:val="00D02058"/>
    <w:rsid w:val="00D02A97"/>
    <w:rsid w:val="00D05113"/>
    <w:rsid w:val="00D10152"/>
    <w:rsid w:val="00D15F4D"/>
    <w:rsid w:val="00D37F0D"/>
    <w:rsid w:val="00D5114E"/>
    <w:rsid w:val="00D53715"/>
    <w:rsid w:val="00DD687E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5735F"/>
    <w:rsid w:val="00F63A2A"/>
    <w:rsid w:val="00F65C19"/>
    <w:rsid w:val="00F67E28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946C2E"/>
  </w:style>
  <w:style w:type="paragraph" w:customStyle="1" w:styleId="Abstract">
    <w:name w:val="Abstract"/>
    <w:basedOn w:val="Normal"/>
    <w:rsid w:val="00946C2E"/>
    <w:rPr>
      <w:sz w:val="24"/>
      <w:lang w:val="en-US"/>
    </w:rPr>
  </w:style>
  <w:style w:type="paragraph" w:customStyle="1" w:styleId="Committee">
    <w:name w:val="Committee"/>
    <w:basedOn w:val="Normal"/>
    <w:qFormat/>
    <w:rsid w:val="00946C2E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styleId="CommentReference">
    <w:name w:val="annotation reference"/>
    <w:basedOn w:val="DefaultParagraphFont"/>
    <w:unhideWhenUsed/>
    <w:rsid w:val="00946C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6C2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46C2E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rsid w:val="00946C2E"/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46C2E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946C2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46C2E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946C2E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946C2E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46C2E"/>
    <w:pPr>
      <w:ind w:left="720"/>
      <w:contextualSpacing/>
    </w:pPr>
    <w:rPr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946C2E"/>
  </w:style>
  <w:style w:type="table" w:styleId="TableGrid">
    <w:name w:val="Table Grid"/>
    <w:basedOn w:val="TableNormal"/>
    <w:rsid w:val="00946C2E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946C2E"/>
    <w:rPr>
      <w:rFonts w:ascii="Times New Roman" w:hAnsi="Times New Roman"/>
      <w:b/>
      <w:bCs/>
      <w:lang w:val="es-AR" w:eastAsia="en-US"/>
    </w:rPr>
  </w:style>
  <w:style w:type="character" w:customStyle="1" w:styleId="href">
    <w:name w:val="href"/>
    <w:uiPriority w:val="99"/>
    <w:rsid w:val="00946C2E"/>
  </w:style>
  <w:style w:type="character" w:customStyle="1" w:styleId="2">
    <w:name w:val="Основной текст (2)"/>
    <w:rsid w:val="00946C2E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946C2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lang w:val="es-ES_tradnl"/>
    </w:rPr>
  </w:style>
  <w:style w:type="character" w:customStyle="1" w:styleId="FooterQPChar">
    <w:name w:val="Footer_QP Char"/>
    <w:link w:val="FooterQP"/>
    <w:uiPriority w:val="99"/>
    <w:locked/>
    <w:rsid w:val="00946C2E"/>
    <w:rPr>
      <w:rFonts w:ascii="CG Times" w:hAnsi="CG Times"/>
      <w:b/>
      <w:sz w:val="22"/>
      <w:lang w:val="es-ES_tradnl" w:eastAsia="en-US"/>
    </w:rPr>
  </w:style>
  <w:style w:type="paragraph" w:styleId="Revision">
    <w:name w:val="Revision"/>
    <w:hidden/>
    <w:uiPriority w:val="99"/>
    <w:semiHidden/>
    <w:rsid w:val="00946C2E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4"/>
      <w:szCs w:val="24"/>
      <w:lang w:val="en-US"/>
    </w:rPr>
  </w:style>
  <w:style w:type="paragraph" w:customStyle="1" w:styleId="Style6">
    <w:name w:val="Style 6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Cs w:val="22"/>
      <w:lang w:val="en-US"/>
    </w:rPr>
  </w:style>
  <w:style w:type="paragraph" w:customStyle="1" w:styleId="Style5">
    <w:name w:val="Style 5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Cs w:val="22"/>
      <w:lang w:val="en-US"/>
    </w:rPr>
  </w:style>
  <w:style w:type="paragraph" w:customStyle="1" w:styleId="Style3">
    <w:name w:val="Style 3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 w:val="24"/>
      <w:szCs w:val="24"/>
      <w:lang w:val="en-US"/>
    </w:rPr>
  </w:style>
  <w:style w:type="paragraph" w:customStyle="1" w:styleId="Style7">
    <w:name w:val="Style 7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946C2E"/>
    <w:rPr>
      <w:sz w:val="22"/>
      <w:szCs w:val="22"/>
    </w:rPr>
  </w:style>
  <w:style w:type="character" w:customStyle="1" w:styleId="CharacterStyle6">
    <w:name w:val="Character Style 6"/>
    <w:uiPriority w:val="99"/>
    <w:rsid w:val="00946C2E"/>
    <w:rPr>
      <w:sz w:val="20"/>
      <w:szCs w:val="20"/>
    </w:rPr>
  </w:style>
  <w:style w:type="paragraph" w:customStyle="1" w:styleId="Rec">
    <w:name w:val="Rec_#"/>
    <w:basedOn w:val="Normal"/>
    <w:next w:val="Normal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  <w:sz w:val="24"/>
      <w:lang w:val="en-GB"/>
    </w:rPr>
  </w:style>
  <w:style w:type="paragraph" w:customStyle="1" w:styleId="RecTitle0">
    <w:name w:val="Rec_Title"/>
    <w:basedOn w:val="Normal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4"/>
      <w:lang w:val="en-GB"/>
    </w:rPr>
  </w:style>
  <w:style w:type="paragraph" w:customStyle="1" w:styleId="RecRef0">
    <w:name w:val="Rec_Ref"/>
    <w:basedOn w:val="Normal"/>
    <w:next w:val="Heading1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  <w:sz w:val="24"/>
      <w:lang w:val="en-GB"/>
    </w:rPr>
  </w:style>
  <w:style w:type="paragraph" w:customStyle="1" w:styleId="Normalaftertitle0">
    <w:name w:val="Normal_after_title"/>
    <w:basedOn w:val="Normal"/>
    <w:next w:val="Normal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 w:val="24"/>
      <w:szCs w:val="24"/>
      <w:lang w:val="en-GB" w:eastAsia="ja-JP"/>
    </w:rPr>
  </w:style>
  <w:style w:type="paragraph" w:customStyle="1" w:styleId="AnnexNoTitle">
    <w:name w:val="Annex_NoTitle"/>
    <w:basedOn w:val="Normal"/>
    <w:next w:val="Normalaftertitle0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sz w:val="24"/>
      <w:lang w:val="fr-FR"/>
    </w:rPr>
  </w:style>
  <w:style w:type="paragraph" w:customStyle="1" w:styleId="AppendixNoTitle">
    <w:name w:val="Appendix_NoTitle"/>
    <w:basedOn w:val="AnnexNoTitle"/>
    <w:next w:val="Normalaftertitle0"/>
    <w:rsid w:val="00946C2E"/>
  </w:style>
  <w:style w:type="paragraph" w:customStyle="1" w:styleId="FigureNoTitle">
    <w:name w:val="Figure_NoTitle"/>
    <w:basedOn w:val="Normal"/>
    <w:next w:val="Normalaftertitle0"/>
    <w:rsid w:val="00946C2E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rsid w:val="00946C2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46C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95D"/>
    <w:rsid w:val="00377B1D"/>
    <w:rsid w:val="004A45EA"/>
    <w:rsid w:val="004C6FF5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24859"/>
    <w:rsid w:val="00C70DD9"/>
    <w:rsid w:val="00C844A5"/>
    <w:rsid w:val="00C87FE3"/>
    <w:rsid w:val="00CC7EAB"/>
    <w:rsid w:val="00D74E5F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77a94e-77d7-405b-8b21-3fb36245eadc" targetNamespace="http://schemas.microsoft.com/office/2006/metadata/properties" ma:root="true" ma:fieldsID="d41af5c836d734370eb92e7ee5f83852" ns2:_="" ns3:_="">
    <xsd:import namespace="996b2e75-67fd-4955-a3b0-5ab9934cb50b"/>
    <xsd:import namespace="ab77a94e-77d7-405b-8b21-3fb36245ea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94e-77d7-405b-8b21-3fb36245ea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77a94e-77d7-405b-8b21-3fb36245eadc">Documents Proposals Manager (DPM)</DPM_x0020_Author>
    <DPM_x0020_File_x0020_name xmlns="ab77a94e-77d7-405b-8b21-3fb36245eadc">T13-WTSA.16-C-0046!!MSW-R</DPM_x0020_File_x0020_name>
    <DPM_x0020_Version xmlns="ab77a94e-77d7-405b-8b21-3fb36245eadc">DPM_v2016.10.14.2_prod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77a94e-77d7-405b-8b21-3fb36245e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ab77a94e-77d7-405b-8b21-3fb36245e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D556D-5D7B-475B-AFCB-6B6B5179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1080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T13-WTSA.16-C-0046!!MSW-R</vt:lpstr>
    </vt:vector>
  </TitlesOfParts>
  <Manager>General Secretariat - Pool</Manager>
  <Company>International Telecommunication Union (ITU)</Company>
  <LinksUpToDate>false</LinksUpToDate>
  <CharactersWithSpaces>7900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T13-WTSA.16-C-0046!!MSW-R</dc:title>
  <dc:subject>World Telecommunication Standardization Assembly</dc:subject>
  <dc:creator>Documents Proposals Manager (DPM)</dc:creator>
  <cp:keywords>DPM_v2016.10.14.2_prod</cp:keywords>
  <dc:description>Template used by DPM and CPI for the WTSA-16</dc:description>
  <cp:lastModifiedBy>Antipina, Nadezda</cp:lastModifiedBy>
  <cp:revision>7</cp:revision>
  <cp:lastPrinted>2016-10-26T17:30:00Z</cp:lastPrinted>
  <dcterms:created xsi:type="dcterms:W3CDTF">2016-10-26T17:18:00Z</dcterms:created>
  <dcterms:modified xsi:type="dcterms:W3CDTF">2016-10-26T18:08:00Z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