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F538B9" w:rsidRPr="00F538B9" w:rsidTr="004B03A8">
        <w:trPr>
          <w:cantSplit/>
        </w:trPr>
        <w:tc>
          <w:tcPr>
            <w:tcW w:w="1357" w:type="dxa"/>
            <w:vAlign w:val="center"/>
          </w:tcPr>
          <w:p w:rsidR="00F538B9" w:rsidRPr="00F538B9" w:rsidRDefault="00F538B9" w:rsidP="00F538B9">
            <w:pPr>
              <w:tabs>
                <w:tab w:val="clear" w:pos="851"/>
                <w:tab w:val="left" w:pos="1134"/>
                <w:tab w:val="left" w:pos="1871"/>
                <w:tab w:val="left" w:pos="2268"/>
              </w:tabs>
              <w:overflowPunct w:val="0"/>
              <w:autoSpaceDE w:val="0"/>
              <w:autoSpaceDN w:val="0"/>
              <w:adjustRightInd w:val="0"/>
              <w:textAlignment w:val="baseline"/>
              <w:rPr>
                <w:rFonts w:ascii="Verdana" w:eastAsia="Times New Roman" w:hAnsi="Verdana" w:cs="Times New Roman Bold"/>
                <w:b/>
                <w:bCs/>
                <w:sz w:val="22"/>
                <w:szCs w:val="22"/>
                <w:lang w:eastAsia="en-US"/>
              </w:rPr>
            </w:pPr>
            <w:r w:rsidRPr="00F538B9">
              <w:rPr>
                <w:rFonts w:ascii="Verdana" w:eastAsia="Times New Roman" w:hAnsi="Verdana" w:cs="Times New Roman Bold"/>
                <w:b/>
                <w:bCs/>
                <w:noProof/>
                <w:lang w:val="en-US" w:eastAsia="zh-CN"/>
              </w:rPr>
              <w:drawing>
                <wp:inline distT="0" distB="0" distL="0" distR="0" wp14:anchorId="483903C0" wp14:editId="4E51B2D8">
                  <wp:extent cx="717701" cy="799465"/>
                  <wp:effectExtent l="0" t="0" r="6350" b="635"/>
                  <wp:docPr id="2" name="Picture 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F538B9" w:rsidRPr="00F538B9" w:rsidRDefault="00F538B9" w:rsidP="00F538B9">
            <w:pPr>
              <w:tabs>
                <w:tab w:val="clear" w:pos="851"/>
                <w:tab w:val="left" w:pos="1134"/>
                <w:tab w:val="left" w:pos="1871"/>
                <w:tab w:val="left" w:pos="2268"/>
              </w:tabs>
              <w:overflowPunct w:val="0"/>
              <w:autoSpaceDE w:val="0"/>
              <w:autoSpaceDN w:val="0"/>
              <w:adjustRightInd w:val="0"/>
              <w:textAlignment w:val="baseline"/>
              <w:rPr>
                <w:rFonts w:ascii="Verdana" w:eastAsia="Times New Roman" w:hAnsi="Verdana" w:cs="Times New Roman Bold"/>
                <w:b/>
                <w:bCs/>
                <w:sz w:val="22"/>
                <w:szCs w:val="22"/>
                <w:lang w:eastAsia="en-US"/>
              </w:rPr>
            </w:pPr>
            <w:r w:rsidRPr="00F538B9">
              <w:rPr>
                <w:rFonts w:ascii="Verdana" w:eastAsia="Times New Roman" w:hAnsi="Verdana" w:cs="Times New Roman Bold"/>
                <w:b/>
                <w:bCs/>
                <w:lang w:eastAsia="en-US"/>
              </w:rPr>
              <w:t>World Telecommunication Standardization Assembly (WTSA-16)</w:t>
            </w:r>
            <w:r w:rsidRPr="00F538B9">
              <w:rPr>
                <w:rFonts w:ascii="Verdana" w:eastAsia="Times New Roman" w:hAnsi="Verdana" w:cs="Times New Roman Bold"/>
                <w:b/>
                <w:bCs/>
                <w:lang w:eastAsia="en-US"/>
              </w:rPr>
              <w:br/>
            </w:r>
            <w:proofErr w:type="spellStart"/>
            <w:r w:rsidRPr="00F538B9">
              <w:rPr>
                <w:rFonts w:ascii="Verdana" w:eastAsia="Times New Roman" w:hAnsi="Verdana" w:cs="Times New Roman Bold"/>
                <w:b/>
                <w:bCs/>
                <w:sz w:val="20"/>
                <w:szCs w:val="20"/>
                <w:lang w:eastAsia="en-US"/>
              </w:rPr>
              <w:t>Hammamet</w:t>
            </w:r>
            <w:proofErr w:type="spellEnd"/>
            <w:r w:rsidRPr="00F538B9">
              <w:rPr>
                <w:rFonts w:ascii="Verdana" w:eastAsia="Times New Roman" w:hAnsi="Verdana" w:cs="Times New Roman Bold"/>
                <w:b/>
                <w:bCs/>
                <w:sz w:val="20"/>
                <w:szCs w:val="20"/>
                <w:lang w:eastAsia="en-US"/>
              </w:rPr>
              <w:t>, 25 October - 3 November 2016</w:t>
            </w:r>
          </w:p>
        </w:tc>
        <w:tc>
          <w:tcPr>
            <w:tcW w:w="1804" w:type="dxa"/>
            <w:vAlign w:val="center"/>
          </w:tcPr>
          <w:p w:rsidR="00F538B9" w:rsidRPr="00F538B9" w:rsidRDefault="00F538B9" w:rsidP="00F538B9">
            <w:pPr>
              <w:tabs>
                <w:tab w:val="clear" w:pos="851"/>
                <w:tab w:val="left" w:pos="1134"/>
                <w:tab w:val="left" w:pos="1871"/>
                <w:tab w:val="left" w:pos="2268"/>
              </w:tabs>
              <w:overflowPunct w:val="0"/>
              <w:autoSpaceDE w:val="0"/>
              <w:autoSpaceDN w:val="0"/>
              <w:adjustRightInd w:val="0"/>
              <w:jc w:val="right"/>
              <w:textAlignment w:val="baseline"/>
              <w:rPr>
                <w:rFonts w:eastAsia="Times New Roman"/>
                <w:szCs w:val="20"/>
                <w:lang w:eastAsia="en-US"/>
              </w:rPr>
            </w:pPr>
            <w:r w:rsidRPr="00F538B9">
              <w:rPr>
                <w:rFonts w:eastAsia="Times New Roman"/>
                <w:noProof/>
                <w:szCs w:val="20"/>
                <w:lang w:val="en-US" w:eastAsia="zh-CN"/>
              </w:rPr>
              <w:drawing>
                <wp:inline distT="0" distB="0" distL="0" distR="0" wp14:anchorId="2F46D6FF" wp14:editId="4BB2B5E6">
                  <wp:extent cx="882000" cy="792000"/>
                  <wp:effectExtent l="0" t="0" r="0" b="8255"/>
                  <wp:docPr id="4" name="Picture 4"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538B9" w:rsidRPr="00F538B9" w:rsidTr="004B03A8">
        <w:trPr>
          <w:cantSplit/>
        </w:trPr>
        <w:tc>
          <w:tcPr>
            <w:tcW w:w="6617" w:type="dxa"/>
            <w:gridSpan w:val="2"/>
            <w:tcBorders>
              <w:bottom w:val="single" w:sz="12" w:space="0" w:color="auto"/>
            </w:tcBorders>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60"/>
              <w:textAlignment w:val="baseline"/>
              <w:rPr>
                <w:rFonts w:ascii="Verdana" w:eastAsia="Times New Roman" w:hAnsi="Verdana" w:cs="Times New Roman Bold"/>
                <w:b/>
                <w:bCs/>
                <w:sz w:val="20"/>
                <w:szCs w:val="20"/>
                <w:lang w:eastAsia="en-US"/>
              </w:rPr>
            </w:pPr>
          </w:p>
        </w:tc>
        <w:tc>
          <w:tcPr>
            <w:tcW w:w="3194" w:type="dxa"/>
            <w:gridSpan w:val="2"/>
            <w:tcBorders>
              <w:bottom w:val="single" w:sz="12" w:space="0" w:color="auto"/>
            </w:tcBorders>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0"/>
              <w:textAlignment w:val="baseline"/>
              <w:rPr>
                <w:rFonts w:eastAsia="Times New Roman"/>
                <w:sz w:val="20"/>
                <w:szCs w:val="20"/>
                <w:lang w:eastAsia="en-US"/>
              </w:rPr>
            </w:pPr>
          </w:p>
        </w:tc>
      </w:tr>
      <w:tr w:rsidR="00F538B9" w:rsidRPr="00F538B9" w:rsidTr="004B03A8">
        <w:trPr>
          <w:cantSplit/>
        </w:trPr>
        <w:tc>
          <w:tcPr>
            <w:tcW w:w="6617" w:type="dxa"/>
            <w:gridSpan w:val="2"/>
            <w:tcBorders>
              <w:top w:val="single" w:sz="12" w:space="0" w:color="auto"/>
            </w:tcBorders>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0"/>
              <w:textAlignment w:val="baseline"/>
              <w:rPr>
                <w:rFonts w:eastAsia="Times New Roman"/>
                <w:sz w:val="20"/>
                <w:szCs w:val="20"/>
                <w:lang w:eastAsia="en-US"/>
              </w:rPr>
            </w:pPr>
          </w:p>
        </w:tc>
        <w:tc>
          <w:tcPr>
            <w:tcW w:w="3194" w:type="dxa"/>
            <w:gridSpan w:val="2"/>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0"/>
              <w:textAlignment w:val="baseline"/>
              <w:rPr>
                <w:rFonts w:ascii="Verdana" w:eastAsia="Times New Roman" w:hAnsi="Verdana"/>
                <w:b/>
                <w:bCs/>
                <w:sz w:val="20"/>
                <w:szCs w:val="20"/>
                <w:lang w:eastAsia="en-US"/>
              </w:rPr>
            </w:pPr>
          </w:p>
        </w:tc>
      </w:tr>
      <w:tr w:rsidR="00F538B9" w:rsidRPr="00F538B9" w:rsidTr="004B03A8">
        <w:trPr>
          <w:cantSplit/>
        </w:trPr>
        <w:tc>
          <w:tcPr>
            <w:tcW w:w="6617" w:type="dxa"/>
            <w:gridSpan w:val="2"/>
          </w:tcPr>
          <w:p w:rsidR="00F538B9" w:rsidRPr="00F538B9" w:rsidRDefault="00F538B9" w:rsidP="00F538B9">
            <w:pPr>
              <w:tabs>
                <w:tab w:val="left" w:pos="1134"/>
                <w:tab w:val="left" w:pos="1871"/>
                <w:tab w:val="left" w:pos="2268"/>
              </w:tabs>
              <w:overflowPunct w:val="0"/>
              <w:autoSpaceDE w:val="0"/>
              <w:autoSpaceDN w:val="0"/>
              <w:adjustRightInd w:val="0"/>
              <w:spacing w:before="0" w:line="240" w:lineRule="atLeast"/>
              <w:textAlignment w:val="baseline"/>
              <w:rPr>
                <w:rFonts w:ascii="Verdana" w:eastAsia="Times New Roman" w:hAnsi="Verdana" w:cstheme="minorHAnsi"/>
                <w:b/>
                <w:sz w:val="20"/>
                <w:lang w:eastAsia="en-US"/>
              </w:rPr>
            </w:pPr>
            <w:r w:rsidRPr="00F538B9">
              <w:rPr>
                <w:rFonts w:ascii="Verdana" w:eastAsia="Times New Roman" w:hAnsi="Verdana" w:cstheme="minorHAnsi"/>
                <w:b/>
                <w:sz w:val="20"/>
                <w:lang w:eastAsia="en-US"/>
              </w:rPr>
              <w:t>PLENARY MEETING</w:t>
            </w:r>
          </w:p>
        </w:tc>
        <w:tc>
          <w:tcPr>
            <w:tcW w:w="3194" w:type="dxa"/>
            <w:gridSpan w:val="2"/>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0"/>
              <w:ind w:left="-57"/>
              <w:textAlignment w:val="baseline"/>
              <w:rPr>
                <w:rFonts w:ascii="Verdana" w:eastAsia="Times New Roman" w:hAnsi="Verdana" w:cs="Times New Roman Bold"/>
                <w:b/>
                <w:bCs/>
                <w:sz w:val="20"/>
                <w:szCs w:val="20"/>
                <w:lang w:eastAsia="en-US"/>
              </w:rPr>
            </w:pPr>
            <w:r w:rsidRPr="00F538B9">
              <w:rPr>
                <w:rFonts w:ascii="Verdana" w:eastAsia="Times New Roman" w:hAnsi="Verdana" w:cs="Times New Roman Bold"/>
                <w:b/>
                <w:bCs/>
                <w:sz w:val="20"/>
                <w:szCs w:val="20"/>
                <w:lang w:eastAsia="en-US"/>
              </w:rPr>
              <w:t>Document 9</w:t>
            </w:r>
            <w:r>
              <w:rPr>
                <w:rFonts w:ascii="Verdana" w:eastAsia="Times New Roman" w:hAnsi="Verdana" w:cs="Times New Roman Bold"/>
                <w:b/>
                <w:bCs/>
                <w:sz w:val="20"/>
                <w:szCs w:val="20"/>
                <w:lang w:eastAsia="en-US"/>
              </w:rPr>
              <w:t>2</w:t>
            </w:r>
            <w:r w:rsidRPr="00F538B9">
              <w:rPr>
                <w:rFonts w:ascii="Verdana" w:eastAsia="Times New Roman" w:hAnsi="Verdana" w:cs="Times New Roman Bold"/>
                <w:b/>
                <w:bCs/>
                <w:sz w:val="20"/>
                <w:szCs w:val="20"/>
                <w:lang w:eastAsia="en-US"/>
              </w:rPr>
              <w:t>-E</w:t>
            </w:r>
          </w:p>
        </w:tc>
      </w:tr>
      <w:tr w:rsidR="00F538B9" w:rsidRPr="00F538B9" w:rsidTr="004B03A8">
        <w:trPr>
          <w:cantSplit/>
        </w:trPr>
        <w:tc>
          <w:tcPr>
            <w:tcW w:w="6617" w:type="dxa"/>
            <w:gridSpan w:val="2"/>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0"/>
              <w:textAlignment w:val="baseline"/>
              <w:rPr>
                <w:rFonts w:eastAsia="Times New Roman"/>
                <w:sz w:val="20"/>
                <w:szCs w:val="20"/>
                <w:lang w:eastAsia="en-US"/>
              </w:rPr>
            </w:pPr>
          </w:p>
        </w:tc>
        <w:tc>
          <w:tcPr>
            <w:tcW w:w="3194" w:type="dxa"/>
            <w:gridSpan w:val="2"/>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0"/>
              <w:ind w:left="-57"/>
              <w:textAlignment w:val="baseline"/>
              <w:rPr>
                <w:rFonts w:ascii="Verdana" w:eastAsia="Times New Roman" w:hAnsi="Verdana" w:cs="Times New Roman Bold"/>
                <w:b/>
                <w:bCs/>
                <w:sz w:val="20"/>
                <w:szCs w:val="20"/>
                <w:lang w:eastAsia="en-US"/>
              </w:rPr>
            </w:pPr>
            <w:r w:rsidRPr="00F538B9">
              <w:rPr>
                <w:rFonts w:ascii="Verdana" w:eastAsia="Times New Roman" w:hAnsi="Verdana" w:cs="Times New Roman Bold"/>
                <w:b/>
                <w:bCs/>
                <w:sz w:val="20"/>
                <w:szCs w:val="20"/>
                <w:lang w:eastAsia="en-US"/>
              </w:rPr>
              <w:t>2 November 2016</w:t>
            </w:r>
          </w:p>
        </w:tc>
      </w:tr>
      <w:tr w:rsidR="00F538B9" w:rsidRPr="00F538B9" w:rsidTr="004B03A8">
        <w:trPr>
          <w:cantSplit/>
        </w:trPr>
        <w:tc>
          <w:tcPr>
            <w:tcW w:w="6617" w:type="dxa"/>
            <w:gridSpan w:val="2"/>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0"/>
              <w:textAlignment w:val="baseline"/>
              <w:rPr>
                <w:rFonts w:eastAsia="Times New Roman"/>
                <w:sz w:val="20"/>
                <w:szCs w:val="20"/>
                <w:lang w:eastAsia="en-US"/>
              </w:rPr>
            </w:pPr>
          </w:p>
        </w:tc>
        <w:tc>
          <w:tcPr>
            <w:tcW w:w="3194" w:type="dxa"/>
            <w:gridSpan w:val="2"/>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0"/>
              <w:ind w:left="-57"/>
              <w:textAlignment w:val="baseline"/>
              <w:rPr>
                <w:rFonts w:ascii="Verdana" w:eastAsia="Times New Roman" w:hAnsi="Verdana" w:cs="Times New Roman Bold"/>
                <w:b/>
                <w:bCs/>
                <w:sz w:val="20"/>
                <w:szCs w:val="20"/>
                <w:lang w:eastAsia="en-US"/>
              </w:rPr>
            </w:pPr>
            <w:r w:rsidRPr="00F538B9">
              <w:rPr>
                <w:rFonts w:ascii="Verdana" w:eastAsia="Times New Roman" w:hAnsi="Verdana" w:cs="Times New Roman Bold"/>
                <w:b/>
                <w:bCs/>
                <w:sz w:val="20"/>
                <w:szCs w:val="20"/>
                <w:lang w:eastAsia="en-US"/>
              </w:rPr>
              <w:t>Original: English</w:t>
            </w:r>
          </w:p>
        </w:tc>
      </w:tr>
      <w:tr w:rsidR="00F538B9" w:rsidRPr="00F538B9" w:rsidTr="004B03A8">
        <w:trPr>
          <w:cantSplit/>
        </w:trPr>
        <w:tc>
          <w:tcPr>
            <w:tcW w:w="9811" w:type="dxa"/>
            <w:gridSpan w:val="4"/>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0"/>
              <w:textAlignment w:val="baseline"/>
              <w:rPr>
                <w:rFonts w:ascii="Verdana" w:eastAsia="Times New Roman" w:hAnsi="Verdana" w:cs="Times New Roman Bold"/>
                <w:b/>
                <w:bCs/>
                <w:sz w:val="20"/>
                <w:szCs w:val="20"/>
                <w:lang w:eastAsia="en-US"/>
              </w:rPr>
            </w:pPr>
          </w:p>
        </w:tc>
      </w:tr>
      <w:tr w:rsidR="00F538B9" w:rsidRPr="00F538B9" w:rsidTr="004B03A8">
        <w:trPr>
          <w:cantSplit/>
        </w:trPr>
        <w:tc>
          <w:tcPr>
            <w:tcW w:w="9811" w:type="dxa"/>
            <w:gridSpan w:val="4"/>
          </w:tcPr>
          <w:p w:rsidR="00F538B9" w:rsidRPr="00F538B9" w:rsidRDefault="00F538B9" w:rsidP="00F538B9">
            <w:pPr>
              <w:tabs>
                <w:tab w:val="clear" w:pos="851"/>
                <w:tab w:val="left" w:pos="1134"/>
                <w:tab w:val="left" w:pos="1871"/>
                <w:tab w:val="left" w:pos="2268"/>
              </w:tabs>
              <w:overflowPunct w:val="0"/>
              <w:autoSpaceDE w:val="0"/>
              <w:autoSpaceDN w:val="0"/>
              <w:adjustRightInd w:val="0"/>
              <w:spacing w:before="840"/>
              <w:jc w:val="center"/>
              <w:textAlignment w:val="baseline"/>
              <w:rPr>
                <w:rFonts w:eastAsia="Times New Roman"/>
                <w:b/>
                <w:sz w:val="28"/>
                <w:szCs w:val="20"/>
                <w:lang w:eastAsia="en-US"/>
              </w:rPr>
            </w:pPr>
            <w:r w:rsidRPr="00F538B9">
              <w:rPr>
                <w:rFonts w:eastAsia="Times New Roman"/>
                <w:b/>
                <w:sz w:val="28"/>
                <w:szCs w:val="20"/>
                <w:lang w:eastAsia="en-US"/>
              </w:rPr>
              <w:t>Chairman of COMMITTEE 4</w:t>
            </w:r>
          </w:p>
        </w:tc>
      </w:tr>
      <w:tr w:rsidR="00F538B9" w:rsidRPr="00F538B9" w:rsidTr="004B03A8">
        <w:trPr>
          <w:cantSplit/>
        </w:trPr>
        <w:tc>
          <w:tcPr>
            <w:tcW w:w="9811" w:type="dxa"/>
            <w:gridSpan w:val="4"/>
          </w:tcPr>
          <w:p w:rsidR="00F538B9" w:rsidRPr="00F538B9" w:rsidRDefault="00F538B9" w:rsidP="00F538B9">
            <w:pPr>
              <w:tabs>
                <w:tab w:val="clear" w:pos="851"/>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rFonts w:eastAsia="Times New Roman"/>
                <w:caps/>
                <w:sz w:val="28"/>
                <w:szCs w:val="20"/>
                <w:lang w:eastAsia="en-US"/>
              </w:rPr>
            </w:pPr>
            <w:r w:rsidRPr="00F538B9">
              <w:rPr>
                <w:rFonts w:eastAsia="Times New Roman"/>
                <w:caps/>
                <w:sz w:val="28"/>
                <w:szCs w:val="20"/>
                <w:lang w:eastAsia="en-US"/>
              </w:rPr>
              <w:t>FINAL REPORT OF COMMITTEE 4</w:t>
            </w:r>
          </w:p>
          <w:p w:rsidR="00F538B9" w:rsidRPr="00F538B9" w:rsidRDefault="00F538B9" w:rsidP="00F538B9">
            <w:pPr>
              <w:tabs>
                <w:tab w:val="clear" w:pos="851"/>
                <w:tab w:val="left" w:pos="567"/>
                <w:tab w:val="left" w:pos="1134"/>
                <w:tab w:val="left" w:pos="1701"/>
                <w:tab w:val="left" w:pos="1871"/>
                <w:tab w:val="left" w:pos="2268"/>
                <w:tab w:val="left" w:pos="2835"/>
              </w:tabs>
              <w:overflowPunct w:val="0"/>
              <w:autoSpaceDE w:val="0"/>
              <w:autoSpaceDN w:val="0"/>
              <w:adjustRightInd w:val="0"/>
              <w:spacing w:before="0"/>
              <w:jc w:val="center"/>
              <w:textAlignment w:val="baseline"/>
              <w:rPr>
                <w:rFonts w:eastAsia="Times New Roman"/>
                <w:caps/>
                <w:sz w:val="28"/>
                <w:szCs w:val="20"/>
                <w:lang w:eastAsia="en-US"/>
              </w:rPr>
            </w:pPr>
            <w:r w:rsidRPr="00F538B9">
              <w:rPr>
                <w:rFonts w:eastAsia="Times New Roman"/>
                <w:caps/>
                <w:sz w:val="28"/>
                <w:szCs w:val="20"/>
                <w:lang w:eastAsia="en-US"/>
              </w:rPr>
              <w:t>"WORK PROGRAMME AND ORGANIZATION OF ITU-T"</w:t>
            </w:r>
          </w:p>
        </w:tc>
      </w:tr>
      <w:tr w:rsidR="00F538B9" w:rsidRPr="00F538B9" w:rsidTr="004B03A8">
        <w:trPr>
          <w:cantSplit/>
        </w:trPr>
        <w:tc>
          <w:tcPr>
            <w:tcW w:w="9811" w:type="dxa"/>
            <w:gridSpan w:val="4"/>
          </w:tcPr>
          <w:p w:rsidR="00F538B9" w:rsidRPr="00F538B9" w:rsidRDefault="00F538B9" w:rsidP="00F538B9">
            <w:pPr>
              <w:tabs>
                <w:tab w:val="clear" w:pos="851"/>
                <w:tab w:val="left" w:pos="1134"/>
                <w:tab w:val="left" w:pos="1871"/>
                <w:tab w:val="left" w:pos="2268"/>
              </w:tabs>
              <w:spacing w:before="0"/>
              <w:jc w:val="center"/>
              <w:rPr>
                <w:rFonts w:eastAsia="Times New Roman"/>
                <w:caps/>
                <w:sz w:val="28"/>
                <w:szCs w:val="20"/>
                <w:lang w:eastAsia="en-US"/>
              </w:rPr>
            </w:pPr>
          </w:p>
        </w:tc>
      </w:tr>
      <w:tr w:rsidR="00F538B9" w:rsidRPr="00F538B9" w:rsidTr="004B03A8">
        <w:trPr>
          <w:cantSplit/>
        </w:trPr>
        <w:tc>
          <w:tcPr>
            <w:tcW w:w="9811" w:type="dxa"/>
            <w:gridSpan w:val="4"/>
          </w:tcPr>
          <w:p w:rsidR="00F538B9" w:rsidRPr="00F538B9" w:rsidRDefault="00F538B9" w:rsidP="00F538B9">
            <w:pPr>
              <w:tabs>
                <w:tab w:val="clear" w:pos="851"/>
                <w:tab w:val="left" w:pos="1134"/>
                <w:tab w:val="left" w:pos="1871"/>
                <w:tab w:val="left" w:pos="2268"/>
              </w:tabs>
              <w:spacing w:before="0"/>
              <w:jc w:val="center"/>
              <w:rPr>
                <w:rFonts w:eastAsia="Times New Roman"/>
                <w:sz w:val="28"/>
                <w:szCs w:val="20"/>
                <w:lang w:eastAsia="en-US"/>
              </w:rPr>
            </w:pPr>
            <w:r w:rsidRPr="003E0368">
              <w:rPr>
                <w:b/>
                <w:bCs/>
                <w:sz w:val="28"/>
                <w:szCs w:val="28"/>
              </w:rPr>
              <w:t>Chairman:</w:t>
            </w:r>
            <w:r w:rsidRPr="003E0368">
              <w:rPr>
                <w:sz w:val="28"/>
                <w:szCs w:val="28"/>
              </w:rPr>
              <w:t xml:space="preserve"> Mr Kwame BAAH-ACHEAMFUOR (Ghana)</w:t>
            </w:r>
          </w:p>
        </w:tc>
      </w:tr>
    </w:tbl>
    <w:p w:rsidR="00D50A80" w:rsidRPr="003E0368" w:rsidRDefault="00D50A80" w:rsidP="00D50A80">
      <w:pPr>
        <w:pStyle w:val="Heading1"/>
      </w:pPr>
      <w:bookmarkStart w:id="0" w:name="dstart"/>
      <w:bookmarkEnd w:id="0"/>
      <w:r w:rsidRPr="003E0368">
        <w:t>1</w:t>
      </w:r>
      <w:r w:rsidRPr="003E0368">
        <w:tab/>
        <w:t>Introduction</w:t>
      </w:r>
    </w:p>
    <w:p w:rsidR="00D50A80" w:rsidRPr="003E0368" w:rsidRDefault="00D50A80" w:rsidP="002D7D01">
      <w:r w:rsidRPr="003E0368">
        <w:t>1.1</w:t>
      </w:r>
      <w:r w:rsidRPr="003E0368">
        <w:tab/>
        <w:t xml:space="preserve">The terms of reference for Committee 4 </w:t>
      </w:r>
      <w:r w:rsidR="00696A81" w:rsidRPr="003E0368">
        <w:t xml:space="preserve">(Work programme and organization of ITU-T) </w:t>
      </w:r>
      <w:r w:rsidRPr="003E0368">
        <w:t xml:space="preserve">are contained in </w:t>
      </w:r>
      <w:r w:rsidR="002D7D01" w:rsidRPr="003E0368">
        <w:t>DT/4</w:t>
      </w:r>
      <w:r w:rsidRPr="003E0368">
        <w:t>.</w:t>
      </w:r>
    </w:p>
    <w:p w:rsidR="00523762" w:rsidRPr="003E0368" w:rsidRDefault="00D50A80" w:rsidP="00CC46B8">
      <w:r w:rsidRPr="003E0368">
        <w:t>1.2</w:t>
      </w:r>
      <w:r w:rsidRPr="003E0368">
        <w:tab/>
        <w:t xml:space="preserve">Committee 4 was chaired </w:t>
      </w:r>
      <w:r w:rsidR="00523762" w:rsidRPr="003E0368">
        <w:t xml:space="preserve">by Mr Kwame </w:t>
      </w:r>
      <w:proofErr w:type="spellStart"/>
      <w:r w:rsidR="00523762" w:rsidRPr="003E0368">
        <w:t>Baah-Acheamfuor</w:t>
      </w:r>
      <w:proofErr w:type="spellEnd"/>
      <w:r w:rsidR="00523762" w:rsidRPr="003E0368">
        <w:t xml:space="preserve"> (Ghana) with the support of the vice-chairmen of the Committee, Messrs Rodolfo De la Rosa </w:t>
      </w:r>
      <w:proofErr w:type="spellStart"/>
      <w:r w:rsidR="00523762" w:rsidRPr="003E0368">
        <w:t>Rábago</w:t>
      </w:r>
      <w:proofErr w:type="spellEnd"/>
      <w:r w:rsidR="00523762" w:rsidRPr="003E0368">
        <w:t xml:space="preserve"> (Mexico), José Cabrera (Spain), </w:t>
      </w:r>
      <w:proofErr w:type="spellStart"/>
      <w:r w:rsidR="00523762" w:rsidRPr="003E0368">
        <w:t>Hyoung</w:t>
      </w:r>
      <w:proofErr w:type="spellEnd"/>
      <w:r w:rsidR="00523762" w:rsidRPr="003E0368">
        <w:t xml:space="preserve"> Jun Kim (Korea, Rep. of) and Ms </w:t>
      </w:r>
      <w:proofErr w:type="spellStart"/>
      <w:r w:rsidR="00523762" w:rsidRPr="003E0368">
        <w:t>Umida</w:t>
      </w:r>
      <w:proofErr w:type="spellEnd"/>
      <w:r w:rsidR="00523762" w:rsidRPr="003E0368">
        <w:t xml:space="preserve"> R. </w:t>
      </w:r>
      <w:proofErr w:type="spellStart"/>
      <w:r w:rsidR="00523762" w:rsidRPr="003E0368">
        <w:t>Musaye</w:t>
      </w:r>
      <w:r w:rsidR="00772CDD" w:rsidRPr="003E0368">
        <w:t>va</w:t>
      </w:r>
      <w:proofErr w:type="spellEnd"/>
      <w:r w:rsidR="00772CDD" w:rsidRPr="003E0368">
        <w:t xml:space="preserve"> (Uzbekistan). Committee 4 had</w:t>
      </w:r>
      <w:r w:rsidR="00523762" w:rsidRPr="003E0368">
        <w:t xml:space="preserve"> two working groups</w:t>
      </w:r>
      <w:r w:rsidR="00772CDD" w:rsidRPr="003E0368">
        <w:t xml:space="preserve">: </w:t>
      </w:r>
      <w:r w:rsidR="00CC46B8">
        <w:t>Working Group 4A</w:t>
      </w:r>
      <w:r w:rsidR="00772CDD" w:rsidRPr="003E0368">
        <w:t xml:space="preserve"> chaired by Mr Fabio Bigi (Italy) </w:t>
      </w:r>
      <w:r w:rsidR="00523762" w:rsidRPr="003E0368">
        <w:t xml:space="preserve">with the support of the vice-chairman of WG4A </w:t>
      </w:r>
      <w:r w:rsidR="00523762" w:rsidRPr="003E0368">
        <w:rPr>
          <w:color w:val="000000"/>
          <w:lang w:eastAsia="zh-CN"/>
        </w:rPr>
        <w:t>Mr Kaoru </w:t>
      </w:r>
      <w:proofErr w:type="spellStart"/>
      <w:r w:rsidR="00523762" w:rsidRPr="003E0368">
        <w:rPr>
          <w:color w:val="000000"/>
          <w:lang w:eastAsia="zh-CN"/>
        </w:rPr>
        <w:t>Kenyoshi</w:t>
      </w:r>
      <w:proofErr w:type="spellEnd"/>
      <w:r w:rsidR="00523762" w:rsidRPr="003E0368">
        <w:rPr>
          <w:color w:val="000000"/>
          <w:lang w:eastAsia="zh-CN"/>
        </w:rPr>
        <w:t xml:space="preserve"> (Japan)</w:t>
      </w:r>
      <w:r w:rsidR="00523762" w:rsidRPr="003E0368">
        <w:t xml:space="preserve">, and Working Group 4B </w:t>
      </w:r>
      <w:r w:rsidR="00772CDD" w:rsidRPr="003E0368">
        <w:t>chaired by Mr Jeferson Nacif (Brazil)</w:t>
      </w:r>
      <w:r w:rsidR="00523762" w:rsidRPr="003E0368">
        <w:t xml:space="preserve">. The Chairman was </w:t>
      </w:r>
      <w:r w:rsidR="00772CDD" w:rsidRPr="003E0368">
        <w:t>directly assisted by Mr</w:t>
      </w:r>
      <w:r w:rsidR="00523762" w:rsidRPr="003E0368">
        <w:t xml:space="preserve"> </w:t>
      </w:r>
      <w:proofErr w:type="spellStart"/>
      <w:r w:rsidR="00523762" w:rsidRPr="003E0368">
        <w:t>Simão</w:t>
      </w:r>
      <w:proofErr w:type="spellEnd"/>
      <w:r w:rsidR="00523762" w:rsidRPr="003E0368">
        <w:t xml:space="preserve"> Campos-</w:t>
      </w:r>
      <w:proofErr w:type="spellStart"/>
      <w:r w:rsidR="00523762" w:rsidRPr="003E0368">
        <w:t>Neto</w:t>
      </w:r>
      <w:proofErr w:type="spellEnd"/>
      <w:r w:rsidR="00523762" w:rsidRPr="003E0368">
        <w:t xml:space="preserve">, </w:t>
      </w:r>
      <w:r w:rsidR="00772CDD" w:rsidRPr="003E0368">
        <w:t xml:space="preserve">Ms </w:t>
      </w:r>
      <w:r w:rsidR="00523762" w:rsidRPr="003E0368">
        <w:t xml:space="preserve">Cristina Bueti and </w:t>
      </w:r>
      <w:r w:rsidR="00772CDD" w:rsidRPr="003E0368">
        <w:t xml:space="preserve">Mr </w:t>
      </w:r>
      <w:r w:rsidR="00523762" w:rsidRPr="003E0368">
        <w:t xml:space="preserve">Stefano </w:t>
      </w:r>
      <w:proofErr w:type="spellStart"/>
      <w:r w:rsidR="00523762" w:rsidRPr="003E0368">
        <w:t>Polidori</w:t>
      </w:r>
      <w:proofErr w:type="spellEnd"/>
      <w:r w:rsidR="00523762" w:rsidRPr="003E0368">
        <w:t xml:space="preserve"> from the TSB.</w:t>
      </w:r>
    </w:p>
    <w:p w:rsidR="00843595" w:rsidRPr="003E0368" w:rsidRDefault="00D50A80" w:rsidP="00B113F7">
      <w:pPr>
        <w:rPr>
          <w:b/>
          <w:bCs/>
          <w:i/>
          <w:iCs/>
        </w:rPr>
      </w:pPr>
      <w:r w:rsidRPr="003E0368">
        <w:t>1.3</w:t>
      </w:r>
      <w:r w:rsidRPr="003E0368">
        <w:tab/>
        <w:t xml:space="preserve">The committee held </w:t>
      </w:r>
      <w:r w:rsidR="00523762" w:rsidRPr="003E0368">
        <w:t>seven</w:t>
      </w:r>
      <w:r w:rsidRPr="003E0368">
        <w:t xml:space="preserve"> sessions, and the respective reports can be found in Documents </w:t>
      </w:r>
      <w:hyperlink r:id="rId10" w:history="1">
        <w:r w:rsidR="00B113F7" w:rsidRPr="003E0368">
          <w:rPr>
            <w:rStyle w:val="Hyperlink"/>
          </w:rPr>
          <w:t>65</w:t>
        </w:r>
      </w:hyperlink>
      <w:r w:rsidR="00B113F7" w:rsidRPr="003E0368">
        <w:t xml:space="preserve">, </w:t>
      </w:r>
      <w:hyperlink r:id="rId11" w:history="1">
        <w:r w:rsidR="00B113F7" w:rsidRPr="003E0368">
          <w:rPr>
            <w:rStyle w:val="Hyperlink"/>
          </w:rPr>
          <w:t>70</w:t>
        </w:r>
      </w:hyperlink>
      <w:r w:rsidR="00B113F7" w:rsidRPr="003E0368">
        <w:t xml:space="preserve">, </w:t>
      </w:r>
      <w:hyperlink r:id="rId12" w:history="1">
        <w:r w:rsidR="00B113F7" w:rsidRPr="003E0368">
          <w:rPr>
            <w:rStyle w:val="Hyperlink"/>
          </w:rPr>
          <w:t>73</w:t>
        </w:r>
      </w:hyperlink>
      <w:r w:rsidR="00B113F7" w:rsidRPr="003E0368">
        <w:t xml:space="preserve">, </w:t>
      </w:r>
      <w:hyperlink r:id="rId13" w:history="1">
        <w:r w:rsidR="00B113F7" w:rsidRPr="003E0368">
          <w:rPr>
            <w:rStyle w:val="Hyperlink"/>
          </w:rPr>
          <w:t>83</w:t>
        </w:r>
      </w:hyperlink>
      <w:r w:rsidR="00B113F7" w:rsidRPr="003E0368">
        <w:t xml:space="preserve">, </w:t>
      </w:r>
      <w:hyperlink r:id="rId14" w:history="1">
        <w:r w:rsidR="00B113F7" w:rsidRPr="003E0368">
          <w:rPr>
            <w:rStyle w:val="Hyperlink"/>
          </w:rPr>
          <w:t>90</w:t>
        </w:r>
      </w:hyperlink>
      <w:r w:rsidR="00B113F7" w:rsidRPr="003E0368">
        <w:t xml:space="preserve"> and </w:t>
      </w:r>
      <w:hyperlink r:id="rId15" w:history="1">
        <w:r w:rsidR="00B113F7" w:rsidRPr="003E0368">
          <w:rPr>
            <w:rStyle w:val="Hyperlink"/>
          </w:rPr>
          <w:t>91</w:t>
        </w:r>
      </w:hyperlink>
      <w:r w:rsidR="00E301FD" w:rsidRPr="003E0368">
        <w:t xml:space="preserve">. The reports of </w:t>
      </w:r>
      <w:r w:rsidR="00B113F7" w:rsidRPr="003E0368">
        <w:t>meetings</w:t>
      </w:r>
      <w:r w:rsidR="00E301FD" w:rsidRPr="003E0368">
        <w:t xml:space="preserve"> 1 and 2 </w:t>
      </w:r>
      <w:r w:rsidR="00243154" w:rsidRPr="003E0368">
        <w:t>(</w:t>
      </w:r>
      <w:r w:rsidR="00B113F7" w:rsidRPr="003E0368">
        <w:t>6</w:t>
      </w:r>
      <w:r w:rsidR="003F51BA">
        <w:t>5</w:t>
      </w:r>
      <w:r w:rsidR="00B113F7" w:rsidRPr="003E0368">
        <w:t>, 70</w:t>
      </w:r>
      <w:r w:rsidR="00243154" w:rsidRPr="003E0368">
        <w:t xml:space="preserve">) </w:t>
      </w:r>
      <w:r w:rsidR="00E301FD" w:rsidRPr="003E0368">
        <w:t xml:space="preserve">were agreed by WTSA Plenary, and the report of </w:t>
      </w:r>
      <w:r w:rsidR="00B113F7" w:rsidRPr="003E0368">
        <w:t>meetings</w:t>
      </w:r>
      <w:r w:rsidR="00E301FD" w:rsidRPr="003E0368">
        <w:t xml:space="preserve"> 3 </w:t>
      </w:r>
      <w:r w:rsidR="00B113F7" w:rsidRPr="003E0368">
        <w:t>to 5</w:t>
      </w:r>
      <w:r w:rsidR="00843595" w:rsidRPr="003E0368">
        <w:t xml:space="preserve"> </w:t>
      </w:r>
      <w:r w:rsidR="00243154" w:rsidRPr="003E0368">
        <w:t>(</w:t>
      </w:r>
      <w:r w:rsidR="00B113F7" w:rsidRPr="003E0368">
        <w:t>73, 83</w:t>
      </w:r>
      <w:r w:rsidR="00243154" w:rsidRPr="003E0368">
        <w:t xml:space="preserve">) </w:t>
      </w:r>
      <w:r w:rsidR="00646EF5" w:rsidRPr="003E0368">
        <w:t>were agreed by Committee 4</w:t>
      </w:r>
      <w:r w:rsidR="00243154" w:rsidRPr="003E0368">
        <w:t xml:space="preserve"> but not yet reviewed by the plenary</w:t>
      </w:r>
      <w:r w:rsidR="00646EF5" w:rsidRPr="003E0368">
        <w:t>.</w:t>
      </w:r>
      <w:r w:rsidR="00243154" w:rsidRPr="003E0368">
        <w:t xml:space="preserve"> The </w:t>
      </w:r>
      <w:r w:rsidR="00B113F7" w:rsidRPr="003E0368">
        <w:t xml:space="preserve">combined </w:t>
      </w:r>
      <w:r w:rsidR="00243154" w:rsidRPr="003E0368">
        <w:t xml:space="preserve">report of </w:t>
      </w:r>
      <w:r w:rsidR="00B113F7" w:rsidRPr="003E0368">
        <w:t>meeting</w:t>
      </w:r>
      <w:r w:rsidR="00243154" w:rsidRPr="003E0368">
        <w:t xml:space="preserve"> </w:t>
      </w:r>
      <w:r w:rsidR="00B113F7" w:rsidRPr="003E0368">
        <w:t>6 and 7</w:t>
      </w:r>
      <w:r w:rsidR="00243154" w:rsidRPr="003E0368">
        <w:t xml:space="preserve"> in doc </w:t>
      </w:r>
      <w:r w:rsidR="00B113F7" w:rsidRPr="003E0368">
        <w:t>91</w:t>
      </w:r>
      <w:r w:rsidR="00243154" w:rsidRPr="003E0368">
        <w:t xml:space="preserve"> is submitted directly to the plenary, for its approval.</w:t>
      </w:r>
    </w:p>
    <w:p w:rsidR="00B77BAD" w:rsidRPr="003E0368" w:rsidRDefault="00D50A80" w:rsidP="00B113F7">
      <w:r w:rsidRPr="003E0368">
        <w:t>1.4</w:t>
      </w:r>
      <w:r w:rsidRPr="003E0368">
        <w:tab/>
        <w:t>The meetings took into acco</w:t>
      </w:r>
      <w:r w:rsidR="00243154" w:rsidRPr="003E0368">
        <w:t>unt the document</w:t>
      </w:r>
      <w:r w:rsidRPr="003E0368">
        <w:t xml:space="preserve"> al</w:t>
      </w:r>
      <w:r w:rsidR="00D16A3A" w:rsidRPr="003E0368">
        <w:t xml:space="preserve">location to Committee 4 given </w:t>
      </w:r>
      <w:r w:rsidRPr="003E0368">
        <w:t xml:space="preserve">in </w:t>
      </w:r>
      <w:r w:rsidR="00D3680D" w:rsidRPr="003E0368">
        <w:t xml:space="preserve">in </w:t>
      </w:r>
      <w:hyperlink r:id="rId16" w:history="1">
        <w:r w:rsidR="00D3680D" w:rsidRPr="00F538B9">
          <w:rPr>
            <w:rStyle w:val="Hyperlink"/>
          </w:rPr>
          <w:t>DT/1</w:t>
        </w:r>
      </w:hyperlink>
      <w:r w:rsidR="00D3680D" w:rsidRPr="003E0368">
        <w:t xml:space="preserve"> and the topics listed in </w:t>
      </w:r>
      <w:hyperlink r:id="rId17" w:history="1">
        <w:r w:rsidRPr="00F538B9">
          <w:rPr>
            <w:rStyle w:val="Hyperlink"/>
          </w:rPr>
          <w:t>DT/</w:t>
        </w:r>
        <w:r w:rsidR="00B113F7" w:rsidRPr="00F538B9">
          <w:rPr>
            <w:rStyle w:val="Hyperlink"/>
          </w:rPr>
          <w:t>8</w:t>
        </w:r>
      </w:hyperlink>
      <w:r w:rsidRPr="003E0368">
        <w:t xml:space="preserve"> and its Revision 1</w:t>
      </w:r>
      <w:r w:rsidR="00B113F7" w:rsidRPr="003E0368">
        <w:t>, plus daily updates listed in the agendas in the ADM series</w:t>
      </w:r>
      <w:r w:rsidRPr="003E0368">
        <w:t>.</w:t>
      </w:r>
    </w:p>
    <w:p w:rsidR="00020117" w:rsidRPr="003E0368" w:rsidRDefault="00020117" w:rsidP="00CC46B8">
      <w:pPr>
        <w:pStyle w:val="Heading1"/>
      </w:pPr>
      <w:r w:rsidRPr="003E0368">
        <w:t>2</w:t>
      </w:r>
      <w:r w:rsidRPr="003E0368">
        <w:tab/>
        <w:t>Study group structure</w:t>
      </w:r>
    </w:p>
    <w:p w:rsidR="00020117" w:rsidRPr="003E0368" w:rsidRDefault="00020117" w:rsidP="00CC46B8">
      <w:pPr>
        <w:pStyle w:val="Heading2"/>
      </w:pPr>
      <w:r w:rsidRPr="003E0368">
        <w:t>2.1</w:t>
      </w:r>
      <w:r w:rsidRPr="003E0368">
        <w:tab/>
        <w:t>General</w:t>
      </w:r>
    </w:p>
    <w:p w:rsidR="00020117" w:rsidRPr="003E0368" w:rsidRDefault="00020117" w:rsidP="002C6789">
      <w:pPr>
        <w:rPr>
          <w:bCs/>
        </w:rPr>
      </w:pPr>
      <w:r w:rsidRPr="003E0368">
        <w:rPr>
          <w:b/>
          <w:bCs/>
        </w:rPr>
        <w:t>2.1.1</w:t>
      </w:r>
      <w:r w:rsidRPr="003E0368">
        <w:tab/>
        <w:t>The discussions on the study group structure and mandates and allocation of Questions were based on the numerous member proposals received and allocated</w:t>
      </w:r>
      <w:r w:rsidR="002C6789" w:rsidRPr="003E0368">
        <w:t xml:space="preserve"> to Committee 4.</w:t>
      </w:r>
    </w:p>
    <w:p w:rsidR="00020117" w:rsidRPr="003E0368" w:rsidRDefault="00020117" w:rsidP="00B113F7">
      <w:r w:rsidRPr="003E0368">
        <w:rPr>
          <w:b/>
          <w:bCs/>
        </w:rPr>
        <w:t>2.1.2</w:t>
      </w:r>
      <w:r w:rsidRPr="003E0368">
        <w:tab/>
        <w:t xml:space="preserve">The agreements regarding the study group structure, titles, numbering, mandate and allocation of Questions are listed in 2.3 below. </w:t>
      </w:r>
      <w:r w:rsidR="002C6789" w:rsidRPr="003E0368">
        <w:t xml:space="preserve">The number of </w:t>
      </w:r>
      <w:r w:rsidR="00B113F7" w:rsidRPr="003E0368">
        <w:t>11</w:t>
      </w:r>
      <w:r w:rsidR="002C6789" w:rsidRPr="003E0368">
        <w:t xml:space="preserve"> study </w:t>
      </w:r>
      <w:proofErr w:type="gramStart"/>
      <w:r w:rsidR="002C6789" w:rsidRPr="003E0368">
        <w:t>groups</w:t>
      </w:r>
      <w:proofErr w:type="gramEnd"/>
      <w:r w:rsidR="002C6789" w:rsidRPr="003E0368">
        <w:t xml:space="preserve"> remains</w:t>
      </w:r>
      <w:r w:rsidRPr="003E0368">
        <w:t>.</w:t>
      </w:r>
    </w:p>
    <w:p w:rsidR="003E0368" w:rsidRPr="003E0368" w:rsidRDefault="003E0368" w:rsidP="003E0368">
      <w:r w:rsidRPr="003E0368">
        <w:rPr>
          <w:b/>
          <w:bCs/>
        </w:rPr>
        <w:lastRenderedPageBreak/>
        <w:t>2.1.3</w:t>
      </w:r>
      <w:r w:rsidRPr="003E0368">
        <w:tab/>
        <w:t xml:space="preserve">The title, mandate, lead study group roles and points of guidance for Resolution 2 were agreed by COM4 as found in </w:t>
      </w:r>
      <w:hyperlink r:id="rId18" w:history="1">
        <w:r w:rsidRPr="003E0368">
          <w:rPr>
            <w:rStyle w:val="Hyperlink"/>
          </w:rPr>
          <w:t>118</w:t>
        </w:r>
      </w:hyperlink>
      <w:r w:rsidRPr="003E0368">
        <w:t xml:space="preserve"> (white series from COM5). </w:t>
      </w:r>
    </w:p>
    <w:p w:rsidR="003E0368" w:rsidRPr="003E0368" w:rsidRDefault="003E0368" w:rsidP="003E0368">
      <w:r w:rsidRPr="003E0368">
        <w:rPr>
          <w:b/>
          <w:bCs/>
        </w:rPr>
        <w:t>2.1.4</w:t>
      </w:r>
      <w:r w:rsidRPr="003E0368">
        <w:tab/>
        <w:t xml:space="preserve">Concerning Annex C of Resolution 2, it was also agreed to </w:t>
      </w:r>
      <w:r w:rsidRPr="003E0368">
        <w:rPr>
          <w:b/>
          <w:bCs/>
        </w:rPr>
        <w:t>task TSB</w:t>
      </w:r>
      <w:r w:rsidRPr="003E0368">
        <w:t xml:space="preserve"> with </w:t>
      </w:r>
      <w:r w:rsidRPr="003E0368">
        <w:rPr>
          <w:b/>
          <w:bCs/>
        </w:rPr>
        <w:t>updating Annex C</w:t>
      </w:r>
      <w:r w:rsidRPr="003E0368">
        <w:t xml:space="preserve"> of Resolution 2, as done in previously assemblies.</w:t>
      </w:r>
    </w:p>
    <w:p w:rsidR="00020117" w:rsidRPr="003E0368" w:rsidRDefault="00020117" w:rsidP="00D92C3F">
      <w:pPr>
        <w:pStyle w:val="Heading2"/>
      </w:pPr>
      <w:r w:rsidRPr="003E0368">
        <w:t>2.</w:t>
      </w:r>
      <w:r w:rsidR="00D92C3F">
        <w:t>2</w:t>
      </w:r>
      <w:r w:rsidRPr="003E0368">
        <w:tab/>
        <w:t>Individual study group's titles, mandates, Questions, etc.</w:t>
      </w:r>
    </w:p>
    <w:p w:rsidR="00B113F7" w:rsidRPr="003E0368" w:rsidRDefault="00020117">
      <w:r w:rsidRPr="003E0368">
        <w:rPr>
          <w:b/>
          <w:bCs/>
        </w:rPr>
        <w:t>2.</w:t>
      </w:r>
      <w:r w:rsidR="00D92C3F">
        <w:rPr>
          <w:b/>
          <w:bCs/>
        </w:rPr>
        <w:t>2</w:t>
      </w:r>
      <w:r w:rsidRPr="003E0368">
        <w:rPr>
          <w:b/>
          <w:bCs/>
        </w:rPr>
        <w:t>.1</w:t>
      </w:r>
      <w:r w:rsidRPr="003E0368">
        <w:tab/>
      </w:r>
      <w:r w:rsidR="00B113F7" w:rsidRPr="003E0368">
        <w:t xml:space="preserve">The text of the Questions and their allocation found in Docs </w:t>
      </w:r>
      <w:hyperlink r:id="rId19" w:tgtFrame="_parent" w:history="1">
        <w:r w:rsidR="00B113F7" w:rsidRPr="003E0368">
          <w:rPr>
            <w:rStyle w:val="Hyperlink"/>
          </w:rPr>
          <w:t>2</w:t>
        </w:r>
      </w:hyperlink>
      <w:r w:rsidR="00B113F7" w:rsidRPr="003E0368">
        <w:t xml:space="preserve">, </w:t>
      </w:r>
      <w:hyperlink r:id="rId20" w:tgtFrame="_parent" w:history="1">
        <w:r w:rsidR="00B113F7" w:rsidRPr="003E0368">
          <w:rPr>
            <w:rStyle w:val="Hyperlink"/>
          </w:rPr>
          <w:t>4</w:t>
        </w:r>
      </w:hyperlink>
      <w:r w:rsidR="00B113F7" w:rsidRPr="003E0368">
        <w:t xml:space="preserve">, </w:t>
      </w:r>
      <w:hyperlink r:id="rId21" w:tgtFrame="_parent" w:history="1">
        <w:r w:rsidR="00B113F7" w:rsidRPr="003E0368">
          <w:rPr>
            <w:rStyle w:val="Hyperlink"/>
          </w:rPr>
          <w:t>6</w:t>
        </w:r>
      </w:hyperlink>
      <w:r w:rsidR="00B113F7" w:rsidRPr="003E0368">
        <w:t xml:space="preserve">, </w:t>
      </w:r>
      <w:hyperlink r:id="rId22" w:tgtFrame="_parent" w:history="1">
        <w:r w:rsidR="00B113F7" w:rsidRPr="003E0368">
          <w:rPr>
            <w:rStyle w:val="Hyperlink"/>
          </w:rPr>
          <w:t>8</w:t>
        </w:r>
      </w:hyperlink>
      <w:r w:rsidR="00B113F7" w:rsidRPr="003E0368">
        <w:t xml:space="preserve">, </w:t>
      </w:r>
      <w:hyperlink r:id="rId23" w:tgtFrame="_parent" w:history="1">
        <w:r w:rsidR="00B113F7" w:rsidRPr="003E0368">
          <w:rPr>
            <w:rStyle w:val="Hyperlink"/>
          </w:rPr>
          <w:t>10</w:t>
        </w:r>
      </w:hyperlink>
      <w:r w:rsidR="00B113F7" w:rsidRPr="003E0368">
        <w:t xml:space="preserve">, </w:t>
      </w:r>
      <w:hyperlink r:id="rId24" w:tgtFrame="_parent" w:history="1">
        <w:r w:rsidR="00B113F7" w:rsidRPr="003E0368">
          <w:rPr>
            <w:rStyle w:val="Hyperlink"/>
          </w:rPr>
          <w:t>12</w:t>
        </w:r>
      </w:hyperlink>
      <w:r w:rsidR="00B113F7" w:rsidRPr="003E0368">
        <w:t xml:space="preserve">, </w:t>
      </w:r>
      <w:hyperlink r:id="rId25" w:tgtFrame="_parent" w:history="1">
        <w:r w:rsidR="00B113F7" w:rsidRPr="003E0368">
          <w:rPr>
            <w:rStyle w:val="Hyperlink"/>
          </w:rPr>
          <w:t>14</w:t>
        </w:r>
      </w:hyperlink>
      <w:r w:rsidR="00B113F7" w:rsidRPr="003E0368">
        <w:t xml:space="preserve">, </w:t>
      </w:r>
      <w:hyperlink r:id="rId26" w:tgtFrame="_parent" w:history="1">
        <w:r w:rsidR="00B113F7" w:rsidRPr="003E0368">
          <w:rPr>
            <w:rStyle w:val="Hyperlink"/>
          </w:rPr>
          <w:t>16</w:t>
        </w:r>
      </w:hyperlink>
      <w:r w:rsidR="00B113F7" w:rsidRPr="003E0368">
        <w:t xml:space="preserve">, </w:t>
      </w:r>
      <w:hyperlink r:id="rId27" w:tgtFrame="_parent" w:history="1">
        <w:r w:rsidR="00B113F7" w:rsidRPr="003E0368">
          <w:rPr>
            <w:rStyle w:val="Hyperlink"/>
          </w:rPr>
          <w:t>18</w:t>
        </w:r>
      </w:hyperlink>
      <w:r w:rsidR="00B113F7" w:rsidRPr="003E0368">
        <w:t xml:space="preserve">, </w:t>
      </w:r>
      <w:hyperlink r:id="rId28" w:tgtFrame="_parent" w:history="1">
        <w:r w:rsidR="00B113F7" w:rsidRPr="003E0368">
          <w:rPr>
            <w:rStyle w:val="Hyperlink"/>
          </w:rPr>
          <w:t>20</w:t>
        </w:r>
      </w:hyperlink>
      <w:r w:rsidR="00B113F7" w:rsidRPr="003E0368">
        <w:t xml:space="preserve">, </w:t>
      </w:r>
      <w:hyperlink r:id="rId29" w:tgtFrame="_parent" w:history="1">
        <w:r w:rsidR="00B113F7" w:rsidRPr="003E0368">
          <w:rPr>
            <w:rStyle w:val="Hyperlink"/>
          </w:rPr>
          <w:t>22</w:t>
        </w:r>
      </w:hyperlink>
      <w:r w:rsidR="00B113F7" w:rsidRPr="003E0368">
        <w:t xml:space="preserve"> were agreed by COM4 as submitted by the various Study Groups, with the following adjustments.</w:t>
      </w:r>
    </w:p>
    <w:p w:rsidR="00B113F7" w:rsidRPr="003E0368" w:rsidRDefault="00B113F7">
      <w:r w:rsidRPr="003E0368">
        <w:rPr>
          <w:b/>
          <w:bCs/>
        </w:rPr>
        <w:t>2.</w:t>
      </w:r>
      <w:r w:rsidR="00D92C3F">
        <w:rPr>
          <w:b/>
          <w:bCs/>
        </w:rPr>
        <w:t>2</w:t>
      </w:r>
      <w:r w:rsidRPr="003E0368">
        <w:rPr>
          <w:b/>
          <w:bCs/>
        </w:rPr>
        <w:t>.2</w:t>
      </w:r>
      <w:r w:rsidRPr="003E0368">
        <w:tab/>
        <w:t xml:space="preserve">The text of Question I/11 is </w:t>
      </w:r>
      <w:r w:rsidRPr="003E0368">
        <w:rPr>
          <w:b/>
          <w:bCs/>
        </w:rPr>
        <w:t>amended</w:t>
      </w:r>
      <w:r w:rsidRPr="003E0368">
        <w:t xml:space="preserve"> as found in Doc. </w:t>
      </w:r>
      <w:hyperlink r:id="rId30" w:history="1">
        <w:r w:rsidRPr="003E0368">
          <w:rPr>
            <w:rStyle w:val="Hyperlink"/>
          </w:rPr>
          <w:t>88</w:t>
        </w:r>
      </w:hyperlink>
    </w:p>
    <w:p w:rsidR="00B113F7" w:rsidRPr="003E0368" w:rsidRDefault="00B113F7">
      <w:r w:rsidRPr="003E0368">
        <w:rPr>
          <w:b/>
          <w:bCs/>
        </w:rPr>
        <w:t>2.</w:t>
      </w:r>
      <w:r w:rsidR="00D92C3F">
        <w:rPr>
          <w:b/>
          <w:bCs/>
        </w:rPr>
        <w:t>2</w:t>
      </w:r>
      <w:r w:rsidRPr="003E0368">
        <w:rPr>
          <w:b/>
          <w:bCs/>
        </w:rPr>
        <w:t>.3</w:t>
      </w:r>
      <w:r w:rsidRPr="003E0368">
        <w:tab/>
        <w:t xml:space="preserve">Question D/2 (ex Q4/2) is </w:t>
      </w:r>
      <w:r w:rsidRPr="003E0368">
        <w:rPr>
          <w:b/>
          <w:bCs/>
        </w:rPr>
        <w:t>transferred</w:t>
      </w:r>
      <w:r w:rsidRPr="003E0368">
        <w:t xml:space="preserve"> to SG16 as a separate Question.</w:t>
      </w:r>
    </w:p>
    <w:p w:rsidR="00B113F7" w:rsidRPr="003E0368" w:rsidRDefault="00B113F7">
      <w:r w:rsidRPr="003E0368">
        <w:rPr>
          <w:b/>
          <w:bCs/>
        </w:rPr>
        <w:t>2.</w:t>
      </w:r>
      <w:r w:rsidR="00D92C3F">
        <w:rPr>
          <w:b/>
          <w:bCs/>
        </w:rPr>
        <w:t>2</w:t>
      </w:r>
      <w:r w:rsidRPr="003E0368">
        <w:rPr>
          <w:b/>
          <w:bCs/>
        </w:rPr>
        <w:t>.4</w:t>
      </w:r>
      <w:r w:rsidRPr="003E0368">
        <w:tab/>
        <w:t xml:space="preserve">Question I/9 (ex Q9/9) is </w:t>
      </w:r>
      <w:r w:rsidRPr="003E0368">
        <w:rPr>
          <w:b/>
          <w:bCs/>
        </w:rPr>
        <w:t>transferred</w:t>
      </w:r>
      <w:r w:rsidRPr="003E0368">
        <w:t xml:space="preserve"> to SG15.</w:t>
      </w:r>
    </w:p>
    <w:p w:rsidR="00B113F7" w:rsidRPr="003E0368" w:rsidRDefault="00B113F7">
      <w:r w:rsidRPr="003E0368">
        <w:rPr>
          <w:b/>
          <w:bCs/>
        </w:rPr>
        <w:t>2.</w:t>
      </w:r>
      <w:r w:rsidR="00D92C3F">
        <w:rPr>
          <w:b/>
          <w:bCs/>
        </w:rPr>
        <w:t>2</w:t>
      </w:r>
      <w:r w:rsidRPr="003E0368">
        <w:rPr>
          <w:b/>
          <w:bCs/>
        </w:rPr>
        <w:t>.5</w:t>
      </w:r>
      <w:r w:rsidRPr="003E0368">
        <w:tab/>
        <w:t xml:space="preserve">Questions </w:t>
      </w:r>
      <w:r w:rsidRPr="003E0368">
        <w:rPr>
          <w:bCs/>
          <w:szCs w:val="22"/>
        </w:rPr>
        <w:t>B/</w:t>
      </w:r>
      <w:r w:rsidRPr="003E0368">
        <w:t xml:space="preserve">9 (ex Q2/9) and L/9 (ex Q12/9) are </w:t>
      </w:r>
      <w:r w:rsidRPr="003E0368">
        <w:rPr>
          <w:b/>
          <w:bCs/>
        </w:rPr>
        <w:t>transferred</w:t>
      </w:r>
      <w:r w:rsidRPr="003E0368">
        <w:t xml:space="preserve"> to SG12.</w:t>
      </w:r>
    </w:p>
    <w:p w:rsidR="00B113F7" w:rsidRPr="003E0368" w:rsidRDefault="00B113F7">
      <w:r w:rsidRPr="003E0368">
        <w:rPr>
          <w:b/>
          <w:bCs/>
        </w:rPr>
        <w:t>2.</w:t>
      </w:r>
      <w:r w:rsidR="00D92C3F">
        <w:rPr>
          <w:b/>
          <w:bCs/>
        </w:rPr>
        <w:t>2</w:t>
      </w:r>
      <w:r w:rsidRPr="003E0368">
        <w:rPr>
          <w:b/>
          <w:bCs/>
        </w:rPr>
        <w:t>.6</w:t>
      </w:r>
      <w:r w:rsidRPr="003E0368">
        <w:rPr>
          <w:b/>
          <w:bCs/>
        </w:rPr>
        <w:tab/>
      </w:r>
      <w:r w:rsidRPr="003E0368">
        <w:t xml:space="preserve">After the discussions of the ad hoc group on SG20 matters, </w:t>
      </w:r>
      <w:r w:rsidRPr="003E0368">
        <w:rPr>
          <w:b/>
          <w:bCs/>
        </w:rPr>
        <w:t>no further changes</w:t>
      </w:r>
      <w:r w:rsidRPr="003E0368">
        <w:t xml:space="preserve"> were identified to the text of SG20 Questions in Doc </w:t>
      </w:r>
      <w:hyperlink r:id="rId31" w:tgtFrame="_parent" w:history="1">
        <w:r w:rsidRPr="003E0368">
          <w:rPr>
            <w:rStyle w:val="Hyperlink"/>
          </w:rPr>
          <w:t>22</w:t>
        </w:r>
      </w:hyperlink>
      <w:r w:rsidRPr="003E0368">
        <w:t>, thanks to the agreements reached for changes in the SG20 mandate in Resolution 2 itself.</w:t>
      </w:r>
    </w:p>
    <w:p w:rsidR="000D11DE" w:rsidRPr="003E0368" w:rsidRDefault="00B113F7">
      <w:pPr>
        <w:pStyle w:val="Heading3"/>
      </w:pPr>
      <w:r w:rsidRPr="003E0368">
        <w:t>2.</w:t>
      </w:r>
      <w:r w:rsidR="00D92C3F">
        <w:t>2</w:t>
      </w:r>
      <w:r w:rsidRPr="003E0368">
        <w:t>.</w:t>
      </w:r>
      <w:r w:rsidR="00BB1593">
        <w:t>7</w:t>
      </w:r>
      <w:r w:rsidR="000D11DE" w:rsidRPr="003E0368">
        <w:tab/>
      </w:r>
      <w:r w:rsidRPr="003E0368">
        <w:t>Proposed new Questions</w:t>
      </w:r>
    </w:p>
    <w:p w:rsidR="00B113F7" w:rsidRPr="003E0368" w:rsidRDefault="003E0368" w:rsidP="00B113F7">
      <w:r w:rsidRPr="003E0368">
        <w:rPr>
          <w:i/>
          <w:iCs/>
        </w:rPr>
        <w:t>a)</w:t>
      </w:r>
      <w:r w:rsidRPr="003E0368">
        <w:tab/>
      </w:r>
      <w:r w:rsidR="00B113F7" w:rsidRPr="003E0368">
        <w:t xml:space="preserve">Bangladesh is </w:t>
      </w:r>
      <w:r w:rsidR="00B113F7" w:rsidRPr="003E0368">
        <w:rPr>
          <w:b/>
          <w:bCs/>
        </w:rPr>
        <w:t>invited to submit</w:t>
      </w:r>
      <w:r w:rsidR="00B113F7" w:rsidRPr="003E0368">
        <w:t xml:space="preserve"> </w:t>
      </w:r>
      <w:r w:rsidR="00B113F7" w:rsidRPr="003E0368">
        <w:rPr>
          <w:b/>
          <w:bCs/>
        </w:rPr>
        <w:t xml:space="preserve">to SG3 </w:t>
      </w:r>
      <w:r w:rsidR="00B113F7" w:rsidRPr="003E0368">
        <w:t>its proposed new Question "</w:t>
      </w:r>
      <w:r w:rsidR="00B113F7" w:rsidRPr="003E0368">
        <w:rPr>
          <w:i/>
          <w:iCs/>
        </w:rPr>
        <w:t>Policy and regulatory aspects of Quality of Service (</w:t>
      </w:r>
      <w:proofErr w:type="spellStart"/>
      <w:r w:rsidR="00B113F7" w:rsidRPr="003E0368">
        <w:rPr>
          <w:i/>
          <w:iCs/>
        </w:rPr>
        <w:t>QoS</w:t>
      </w:r>
      <w:proofErr w:type="spellEnd"/>
      <w:r w:rsidR="00B113F7" w:rsidRPr="003E0368">
        <w:rPr>
          <w:i/>
          <w:iCs/>
        </w:rPr>
        <w:t xml:space="preserve">) and Quality </w:t>
      </w:r>
      <w:proofErr w:type="gramStart"/>
      <w:r w:rsidR="00B113F7" w:rsidRPr="003E0368">
        <w:rPr>
          <w:i/>
          <w:iCs/>
        </w:rPr>
        <w:t>Of</w:t>
      </w:r>
      <w:proofErr w:type="gramEnd"/>
      <w:r w:rsidR="00B113F7" w:rsidRPr="003E0368">
        <w:rPr>
          <w:i/>
          <w:iCs/>
        </w:rPr>
        <w:t xml:space="preserve"> Experience (</w:t>
      </w:r>
      <w:proofErr w:type="spellStart"/>
      <w:r w:rsidR="00B113F7" w:rsidRPr="003E0368">
        <w:rPr>
          <w:i/>
          <w:iCs/>
        </w:rPr>
        <w:t>QoE</w:t>
      </w:r>
      <w:proofErr w:type="spellEnd"/>
      <w:r w:rsidR="00B113F7" w:rsidRPr="003E0368">
        <w:rPr>
          <w:i/>
          <w:iCs/>
        </w:rPr>
        <w:t>)</w:t>
      </w:r>
      <w:r w:rsidR="00B113F7" w:rsidRPr="003E0368">
        <w:t>" found in BGD/</w:t>
      </w:r>
      <w:hyperlink r:id="rId32" w:history="1">
        <w:r w:rsidR="00B113F7" w:rsidRPr="003E0368">
          <w:rPr>
            <w:rStyle w:val="Hyperlink"/>
          </w:rPr>
          <w:t>52</w:t>
        </w:r>
      </w:hyperlink>
      <w:r w:rsidR="00B113F7" w:rsidRPr="003E0368">
        <w:t xml:space="preserve"> at its first meeting in the new study period.</w:t>
      </w:r>
    </w:p>
    <w:p w:rsidR="00B113F7" w:rsidRPr="003E0368" w:rsidRDefault="003E0368" w:rsidP="00F538B9">
      <w:r w:rsidRPr="003E0368">
        <w:rPr>
          <w:i/>
          <w:iCs/>
        </w:rPr>
        <w:t>b)</w:t>
      </w:r>
      <w:r w:rsidRPr="003E0368">
        <w:tab/>
      </w:r>
      <w:r w:rsidR="00B113F7" w:rsidRPr="003E0368">
        <w:t xml:space="preserve">The matter of the proposed two new Questions proposed in </w:t>
      </w:r>
      <w:r w:rsidR="00B113F7" w:rsidRPr="003E0368">
        <w:rPr>
          <w:rFonts w:eastAsia="SimSun"/>
        </w:rPr>
        <w:t xml:space="preserve">Doc </w:t>
      </w:r>
      <w:hyperlink r:id="rId33" w:tgtFrame="_parent" w:history="1">
        <w:r w:rsidR="00B113F7" w:rsidRPr="003E0368">
          <w:rPr>
            <w:rStyle w:val="Hyperlink"/>
            <w:rFonts w:eastAsia="SimSun"/>
          </w:rPr>
          <w:t>43 Add. 32</w:t>
        </w:r>
      </w:hyperlink>
      <w:r w:rsidR="00B113F7" w:rsidRPr="003E0368">
        <w:t xml:space="preserve"> (Q2/20 and Q3/20) could not be dealt with in COM4 and is deferred to the Plenary. The chairman proposal here is, applying customary practice in previous WTSAs, to defer the matter to the concerned study group (and consistent with the handling of the proposal in Doc</w:t>
      </w:r>
      <w:r w:rsidR="00F538B9">
        <w:t xml:space="preserve"> </w:t>
      </w:r>
      <w:hyperlink r:id="rId34" w:history="1">
        <w:r w:rsidR="00B113F7" w:rsidRPr="00F538B9">
          <w:rPr>
            <w:rStyle w:val="Hyperlink"/>
          </w:rPr>
          <w:t>52</w:t>
        </w:r>
      </w:hyperlink>
      <w:r w:rsidR="00B113F7" w:rsidRPr="003E0368">
        <w:t xml:space="preserve"> (Bangladesh), s</w:t>
      </w:r>
      <w:r w:rsidRPr="003E0368">
        <w:t>e</w:t>
      </w:r>
      <w:r w:rsidR="00B113F7" w:rsidRPr="003E0368">
        <w:t>e previous paragraph.</w:t>
      </w:r>
    </w:p>
    <w:p w:rsidR="00135291" w:rsidRPr="003E0368" w:rsidRDefault="00135291" w:rsidP="00135291">
      <w:pPr>
        <w:pStyle w:val="Heading1"/>
      </w:pPr>
      <w:r w:rsidRPr="003E0368">
        <w:t>3</w:t>
      </w:r>
      <w:r w:rsidRPr="003E0368">
        <w:tab/>
        <w:t>Resolutions</w:t>
      </w:r>
      <w:r w:rsidR="001102A2" w:rsidRPr="003E0368">
        <w:t xml:space="preserve"> actions agreed at COM4 level</w:t>
      </w:r>
    </w:p>
    <w:p w:rsidR="00781BD1" w:rsidRPr="003E0368" w:rsidRDefault="00BB1593" w:rsidP="00E4497B">
      <w:pPr>
        <w:pStyle w:val="Headingb"/>
      </w:pPr>
      <w:r>
        <w:t>3.1</w:t>
      </w:r>
      <w:r w:rsidR="009814F8" w:rsidRPr="003E0368">
        <w:tab/>
      </w:r>
      <w:r w:rsidR="00E4497B" w:rsidRPr="003E0368">
        <w:t xml:space="preserve">Agreed Revised </w:t>
      </w:r>
      <w:r w:rsidR="009814F8" w:rsidRPr="003E0368">
        <w:t>Resolutions</w:t>
      </w:r>
    </w:p>
    <w:p w:rsidR="00E56553" w:rsidRPr="003E0368" w:rsidRDefault="00E56553" w:rsidP="00E56553">
      <w:pPr>
        <w:pStyle w:val="enumlev1"/>
        <w:rPr>
          <w:b/>
          <w:bCs/>
          <w:i/>
          <w:iCs/>
          <w:highlight w:val="yellow"/>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1"/>
        <w:gridCol w:w="6195"/>
        <w:gridCol w:w="1913"/>
      </w:tblGrid>
      <w:tr w:rsidR="0003235A" w:rsidRPr="003E0368" w:rsidTr="00D419FB">
        <w:trPr>
          <w:tblHeader/>
          <w:jc w:val="center"/>
        </w:trPr>
        <w:tc>
          <w:tcPr>
            <w:tcW w:w="1501" w:type="dxa"/>
            <w:tcBorders>
              <w:top w:val="single" w:sz="12" w:space="0" w:color="auto"/>
              <w:bottom w:val="single" w:sz="12" w:space="0" w:color="auto"/>
            </w:tcBorders>
            <w:shd w:val="clear" w:color="auto" w:fill="auto"/>
          </w:tcPr>
          <w:p w:rsidR="0003235A" w:rsidRPr="003E0368" w:rsidRDefault="0003235A" w:rsidP="0003235A">
            <w:pPr>
              <w:pStyle w:val="Tablehead"/>
            </w:pPr>
            <w:r w:rsidRPr="003E0368">
              <w:t>Number</w:t>
            </w:r>
          </w:p>
        </w:tc>
        <w:tc>
          <w:tcPr>
            <w:tcW w:w="6195" w:type="dxa"/>
            <w:tcBorders>
              <w:top w:val="single" w:sz="12" w:space="0" w:color="auto"/>
              <w:bottom w:val="single" w:sz="12" w:space="0" w:color="auto"/>
            </w:tcBorders>
            <w:shd w:val="clear" w:color="auto" w:fill="auto"/>
          </w:tcPr>
          <w:p w:rsidR="0003235A" w:rsidRPr="003E0368" w:rsidRDefault="0003235A" w:rsidP="0003235A">
            <w:pPr>
              <w:pStyle w:val="Tablehead"/>
            </w:pPr>
            <w:r w:rsidRPr="003E0368">
              <w:t>Title</w:t>
            </w:r>
          </w:p>
        </w:tc>
        <w:tc>
          <w:tcPr>
            <w:tcW w:w="1913" w:type="dxa"/>
            <w:tcBorders>
              <w:top w:val="single" w:sz="12" w:space="0" w:color="auto"/>
              <w:bottom w:val="single" w:sz="12" w:space="0" w:color="auto"/>
            </w:tcBorders>
            <w:shd w:val="clear" w:color="auto" w:fill="auto"/>
          </w:tcPr>
          <w:p w:rsidR="0003235A" w:rsidRPr="003E0368" w:rsidRDefault="0003235A" w:rsidP="0003235A">
            <w:pPr>
              <w:pStyle w:val="Tablehead"/>
            </w:pPr>
            <w:r w:rsidRPr="003E0368">
              <w:t>Reference</w:t>
            </w:r>
          </w:p>
        </w:tc>
      </w:tr>
      <w:tr w:rsidR="0003235A" w:rsidRPr="003E0368" w:rsidTr="00D419FB">
        <w:trPr>
          <w:jc w:val="center"/>
        </w:trPr>
        <w:tc>
          <w:tcPr>
            <w:tcW w:w="1501" w:type="dxa"/>
            <w:tcBorders>
              <w:top w:val="single" w:sz="12" w:space="0" w:color="auto"/>
            </w:tcBorders>
            <w:shd w:val="clear" w:color="auto" w:fill="auto"/>
          </w:tcPr>
          <w:p w:rsidR="0003235A" w:rsidRPr="003E0368" w:rsidRDefault="0003235A" w:rsidP="00D419FB">
            <w:pPr>
              <w:pStyle w:val="Tabletext"/>
              <w:jc w:val="center"/>
            </w:pPr>
            <w:r w:rsidRPr="003E0368">
              <w:t>2</w:t>
            </w:r>
          </w:p>
        </w:tc>
        <w:tc>
          <w:tcPr>
            <w:tcW w:w="6195" w:type="dxa"/>
            <w:tcBorders>
              <w:top w:val="single" w:sz="12" w:space="0" w:color="auto"/>
            </w:tcBorders>
            <w:shd w:val="clear" w:color="auto" w:fill="auto"/>
          </w:tcPr>
          <w:p w:rsidR="0003235A" w:rsidRPr="003E0368" w:rsidRDefault="0003235A" w:rsidP="0003235A">
            <w:pPr>
              <w:pStyle w:val="Tabletext"/>
            </w:pPr>
            <w:r w:rsidRPr="003E0368">
              <w:t>ITU-T study group responsibilities and mandates</w:t>
            </w:r>
          </w:p>
        </w:tc>
        <w:tc>
          <w:tcPr>
            <w:tcW w:w="1913" w:type="dxa"/>
            <w:tcBorders>
              <w:top w:val="single" w:sz="12" w:space="0" w:color="auto"/>
            </w:tcBorders>
            <w:shd w:val="clear" w:color="auto" w:fill="auto"/>
          </w:tcPr>
          <w:p w:rsidR="0003235A" w:rsidRPr="003E0368" w:rsidRDefault="006C0334" w:rsidP="00FC4B13">
            <w:pPr>
              <w:pStyle w:val="Tabletext"/>
              <w:jc w:val="center"/>
            </w:pPr>
            <w:hyperlink r:id="rId35" w:history="1">
              <w:r w:rsidR="0003235A" w:rsidRPr="00C8302F">
                <w:rPr>
                  <w:rStyle w:val="Hyperlink"/>
                </w:rPr>
                <w:t>118</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t>20</w:t>
            </w:r>
          </w:p>
        </w:tc>
        <w:tc>
          <w:tcPr>
            <w:tcW w:w="6195" w:type="dxa"/>
            <w:shd w:val="clear" w:color="auto" w:fill="auto"/>
          </w:tcPr>
          <w:p w:rsidR="0003235A" w:rsidRPr="003E0368" w:rsidRDefault="0003235A" w:rsidP="0003235A">
            <w:pPr>
              <w:pStyle w:val="Tabletext"/>
            </w:pPr>
            <w:r w:rsidRPr="003E0368">
              <w:t>Procedures for allocation and management of international telecommunication numbering, naming, addressing and identification resources</w:t>
            </w:r>
          </w:p>
        </w:tc>
        <w:tc>
          <w:tcPr>
            <w:tcW w:w="1913" w:type="dxa"/>
            <w:shd w:val="clear" w:color="auto" w:fill="auto"/>
          </w:tcPr>
          <w:p w:rsidR="0003235A" w:rsidRPr="003E0368" w:rsidRDefault="006C0334" w:rsidP="00FC4B13">
            <w:pPr>
              <w:pStyle w:val="Tabletext"/>
              <w:jc w:val="center"/>
            </w:pPr>
            <w:hyperlink r:id="rId36" w:history="1">
              <w:r w:rsidR="00C8302F" w:rsidRPr="00C8302F">
                <w:rPr>
                  <w:rStyle w:val="Hyperlink"/>
                </w:rPr>
                <w:t>101</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t>40</w:t>
            </w:r>
          </w:p>
        </w:tc>
        <w:tc>
          <w:tcPr>
            <w:tcW w:w="6195" w:type="dxa"/>
            <w:shd w:val="clear" w:color="auto" w:fill="auto"/>
          </w:tcPr>
          <w:p w:rsidR="0003235A" w:rsidRPr="003E0368" w:rsidRDefault="0003235A" w:rsidP="0003235A">
            <w:pPr>
              <w:pStyle w:val="Tabletext"/>
            </w:pPr>
            <w:r w:rsidRPr="003E0368">
              <w:t>Regulatory aspects of the work of the ITU Telecommunication Standardization Sector</w:t>
            </w:r>
          </w:p>
        </w:tc>
        <w:tc>
          <w:tcPr>
            <w:tcW w:w="1913" w:type="dxa"/>
            <w:shd w:val="clear" w:color="auto" w:fill="auto"/>
          </w:tcPr>
          <w:p w:rsidR="0003235A" w:rsidRPr="003E0368" w:rsidRDefault="006C0334" w:rsidP="00FC4B13">
            <w:pPr>
              <w:pStyle w:val="Tabletext"/>
              <w:jc w:val="center"/>
            </w:pPr>
            <w:hyperlink r:id="rId37" w:history="1">
              <w:r w:rsidR="00C8302F" w:rsidRPr="003F5334">
                <w:rPr>
                  <w:rStyle w:val="Hyperlink"/>
                </w:rPr>
                <w:t>75</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t>44</w:t>
            </w:r>
          </w:p>
        </w:tc>
        <w:tc>
          <w:tcPr>
            <w:tcW w:w="6195" w:type="dxa"/>
            <w:shd w:val="clear" w:color="auto" w:fill="auto"/>
          </w:tcPr>
          <w:p w:rsidR="0003235A" w:rsidRPr="003E0368" w:rsidRDefault="0003235A" w:rsidP="0003235A">
            <w:pPr>
              <w:pStyle w:val="Tabletext"/>
            </w:pPr>
            <w:r w:rsidRPr="003E0368">
              <w:t>Bridging the standardization gap between developing and developed countries</w:t>
            </w:r>
          </w:p>
        </w:tc>
        <w:tc>
          <w:tcPr>
            <w:tcW w:w="1913" w:type="dxa"/>
            <w:shd w:val="clear" w:color="auto" w:fill="auto"/>
          </w:tcPr>
          <w:p w:rsidR="0003235A" w:rsidRPr="003E0368" w:rsidRDefault="006C0334" w:rsidP="00FC4B13">
            <w:pPr>
              <w:pStyle w:val="Tabletext"/>
              <w:jc w:val="center"/>
            </w:pPr>
            <w:hyperlink r:id="rId38" w:history="1">
              <w:r w:rsidR="003F5334" w:rsidRPr="003F5334">
                <w:rPr>
                  <w:rStyle w:val="Hyperlink"/>
                </w:rPr>
                <w:t>75</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t>49</w:t>
            </w:r>
          </w:p>
        </w:tc>
        <w:tc>
          <w:tcPr>
            <w:tcW w:w="6195" w:type="dxa"/>
            <w:shd w:val="clear" w:color="auto" w:fill="auto"/>
          </w:tcPr>
          <w:p w:rsidR="0003235A" w:rsidRPr="003E0368" w:rsidRDefault="0003235A" w:rsidP="0003235A">
            <w:pPr>
              <w:pStyle w:val="Tabletext"/>
            </w:pPr>
            <w:r w:rsidRPr="003E0368">
              <w:t>ENUM</w:t>
            </w:r>
          </w:p>
        </w:tc>
        <w:tc>
          <w:tcPr>
            <w:tcW w:w="1913" w:type="dxa"/>
            <w:shd w:val="clear" w:color="auto" w:fill="auto"/>
          </w:tcPr>
          <w:p w:rsidR="0003235A" w:rsidRPr="003E0368" w:rsidRDefault="006C0334" w:rsidP="00FC4B13">
            <w:pPr>
              <w:pStyle w:val="Tabletext"/>
              <w:jc w:val="center"/>
            </w:pPr>
            <w:hyperlink r:id="rId39" w:history="1">
              <w:r w:rsidR="003F5334" w:rsidRPr="00C8302F">
                <w:rPr>
                  <w:rStyle w:val="Hyperlink"/>
                </w:rPr>
                <w:t>101</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t>54</w:t>
            </w:r>
          </w:p>
        </w:tc>
        <w:tc>
          <w:tcPr>
            <w:tcW w:w="6195" w:type="dxa"/>
            <w:shd w:val="clear" w:color="auto" w:fill="auto"/>
          </w:tcPr>
          <w:p w:rsidR="0003235A" w:rsidRPr="003E0368" w:rsidRDefault="0003235A" w:rsidP="0003235A">
            <w:pPr>
              <w:pStyle w:val="Tabletext"/>
            </w:pPr>
            <w:r w:rsidRPr="00BC43D8">
              <w:t>Creation of, and assistance to, regional groups</w:t>
            </w:r>
          </w:p>
        </w:tc>
        <w:tc>
          <w:tcPr>
            <w:tcW w:w="1913" w:type="dxa"/>
            <w:shd w:val="clear" w:color="auto" w:fill="auto"/>
          </w:tcPr>
          <w:p w:rsidR="0003235A" w:rsidRPr="003E0368" w:rsidRDefault="006C0334" w:rsidP="00D67300">
            <w:pPr>
              <w:pStyle w:val="Tabletext"/>
              <w:jc w:val="center"/>
            </w:pPr>
            <w:hyperlink r:id="rId40" w:history="1">
              <w:r w:rsidR="00FC4B13" w:rsidRPr="00423EB4">
                <w:rPr>
                  <w:rStyle w:val="Hyperlink"/>
                </w:rPr>
                <w:t>117</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t>64</w:t>
            </w:r>
          </w:p>
        </w:tc>
        <w:tc>
          <w:tcPr>
            <w:tcW w:w="6195" w:type="dxa"/>
            <w:shd w:val="clear" w:color="auto" w:fill="auto"/>
          </w:tcPr>
          <w:p w:rsidR="0003235A" w:rsidRPr="003E0368" w:rsidRDefault="0003235A" w:rsidP="0003235A">
            <w:pPr>
              <w:pStyle w:val="Tabletext"/>
            </w:pPr>
            <w:r w:rsidRPr="003E0368">
              <w:t>IP address allocation and facilitating the transition to and deployment of IPv6</w:t>
            </w:r>
          </w:p>
        </w:tc>
        <w:tc>
          <w:tcPr>
            <w:tcW w:w="1913" w:type="dxa"/>
            <w:shd w:val="clear" w:color="auto" w:fill="auto"/>
          </w:tcPr>
          <w:p w:rsidR="0003235A" w:rsidRPr="003E0368" w:rsidRDefault="006C0334" w:rsidP="00FC4B13">
            <w:pPr>
              <w:pStyle w:val="Tabletext"/>
              <w:jc w:val="center"/>
            </w:pPr>
            <w:hyperlink r:id="rId41" w:history="1">
              <w:r w:rsidR="003F5334" w:rsidRPr="00C8302F">
                <w:rPr>
                  <w:rStyle w:val="Hyperlink"/>
                </w:rPr>
                <w:t>101</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lastRenderedPageBreak/>
              <w:t>65</w:t>
            </w:r>
          </w:p>
        </w:tc>
        <w:tc>
          <w:tcPr>
            <w:tcW w:w="6195" w:type="dxa"/>
            <w:shd w:val="clear" w:color="auto" w:fill="auto"/>
          </w:tcPr>
          <w:p w:rsidR="0003235A" w:rsidRPr="003E0368" w:rsidRDefault="0003235A" w:rsidP="003F5334">
            <w:pPr>
              <w:pStyle w:val="Tabletext"/>
            </w:pPr>
            <w:r w:rsidRPr="003E0368">
              <w:t xml:space="preserve">Calling party number delivery, calling line identification and </w:t>
            </w:r>
            <w:r w:rsidR="003F5334">
              <w:t>origin</w:t>
            </w:r>
            <w:r w:rsidRPr="003E0368">
              <w:t xml:space="preserve"> identification information</w:t>
            </w:r>
          </w:p>
        </w:tc>
        <w:tc>
          <w:tcPr>
            <w:tcW w:w="1913" w:type="dxa"/>
            <w:shd w:val="clear" w:color="auto" w:fill="auto"/>
          </w:tcPr>
          <w:p w:rsidR="0003235A" w:rsidRPr="003E0368" w:rsidRDefault="006C0334" w:rsidP="00FC4B13">
            <w:pPr>
              <w:pStyle w:val="Tabletext"/>
              <w:jc w:val="center"/>
            </w:pPr>
            <w:hyperlink r:id="rId42" w:history="1">
              <w:r w:rsidR="003F5334" w:rsidRPr="00C8302F">
                <w:rPr>
                  <w:rStyle w:val="Hyperlink"/>
                </w:rPr>
                <w:t>101</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t>69</w:t>
            </w:r>
          </w:p>
        </w:tc>
        <w:tc>
          <w:tcPr>
            <w:tcW w:w="6195" w:type="dxa"/>
            <w:shd w:val="clear" w:color="auto" w:fill="auto"/>
          </w:tcPr>
          <w:p w:rsidR="0003235A" w:rsidRPr="003E0368" w:rsidRDefault="0003235A" w:rsidP="0003235A">
            <w:pPr>
              <w:pStyle w:val="Tabletext"/>
            </w:pPr>
            <w:r w:rsidRPr="003E0368">
              <w:t>Non</w:t>
            </w:r>
            <w:r w:rsidRPr="003E0368">
              <w:noBreakHyphen/>
              <w:t>discriminatory access and use of Internet resources and telecommunications/ICTs</w:t>
            </w:r>
          </w:p>
        </w:tc>
        <w:tc>
          <w:tcPr>
            <w:tcW w:w="1913" w:type="dxa"/>
            <w:shd w:val="clear" w:color="auto" w:fill="auto"/>
          </w:tcPr>
          <w:p w:rsidR="0003235A" w:rsidRPr="003E0368" w:rsidRDefault="006C0334" w:rsidP="00FC4B13">
            <w:pPr>
              <w:pStyle w:val="Tabletext"/>
              <w:jc w:val="center"/>
            </w:pPr>
            <w:hyperlink r:id="rId43" w:history="1">
              <w:r w:rsidR="003F5334" w:rsidRPr="00C8302F">
                <w:rPr>
                  <w:rStyle w:val="Hyperlink"/>
                </w:rPr>
                <w:t>101</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t>72</w:t>
            </w:r>
          </w:p>
        </w:tc>
        <w:tc>
          <w:tcPr>
            <w:tcW w:w="6195" w:type="dxa"/>
            <w:shd w:val="clear" w:color="auto" w:fill="auto"/>
          </w:tcPr>
          <w:p w:rsidR="0003235A" w:rsidRPr="003E0368" w:rsidRDefault="0003235A" w:rsidP="0003235A">
            <w:pPr>
              <w:pStyle w:val="Tabletext"/>
            </w:pPr>
            <w:r w:rsidRPr="003E0368">
              <w:t xml:space="preserve">Measurement </w:t>
            </w:r>
            <w:r w:rsidR="00243D3E">
              <w:t xml:space="preserve">and assessment </w:t>
            </w:r>
            <w:r w:rsidRPr="003E0368">
              <w:t>concerns related to human exposure to electromagnetic fields</w:t>
            </w:r>
          </w:p>
        </w:tc>
        <w:tc>
          <w:tcPr>
            <w:tcW w:w="1913" w:type="dxa"/>
            <w:shd w:val="clear" w:color="auto" w:fill="auto"/>
          </w:tcPr>
          <w:p w:rsidR="0003235A" w:rsidRPr="003E0368" w:rsidRDefault="006C0334" w:rsidP="00FC4B13">
            <w:pPr>
              <w:pStyle w:val="Tabletext"/>
              <w:jc w:val="center"/>
            </w:pPr>
            <w:hyperlink r:id="rId44" w:history="1">
              <w:r w:rsidR="00243D3E" w:rsidRPr="00243D3E">
                <w:rPr>
                  <w:rStyle w:val="Hyperlink"/>
                </w:rPr>
                <w:t>74</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t>73</w:t>
            </w:r>
          </w:p>
        </w:tc>
        <w:tc>
          <w:tcPr>
            <w:tcW w:w="6195" w:type="dxa"/>
            <w:shd w:val="clear" w:color="auto" w:fill="auto"/>
          </w:tcPr>
          <w:p w:rsidR="0003235A" w:rsidRPr="003E0368" w:rsidRDefault="0003235A" w:rsidP="0003235A">
            <w:pPr>
              <w:pStyle w:val="Tabletext"/>
            </w:pPr>
            <w:r w:rsidRPr="003E0368">
              <w:t>Information and communication technologies, environment and climate change</w:t>
            </w:r>
          </w:p>
        </w:tc>
        <w:tc>
          <w:tcPr>
            <w:tcW w:w="1913" w:type="dxa"/>
            <w:shd w:val="clear" w:color="auto" w:fill="auto"/>
          </w:tcPr>
          <w:p w:rsidR="0003235A" w:rsidRPr="003E0368" w:rsidRDefault="006C0334" w:rsidP="00FC4B13">
            <w:pPr>
              <w:pStyle w:val="Tabletext"/>
              <w:jc w:val="center"/>
            </w:pPr>
            <w:hyperlink r:id="rId45" w:history="1">
              <w:r w:rsidR="00243D3E" w:rsidRPr="00243D3E">
                <w:rPr>
                  <w:rStyle w:val="Hyperlink"/>
                </w:rPr>
                <w:t>74</w:t>
              </w:r>
            </w:hyperlink>
          </w:p>
        </w:tc>
      </w:tr>
      <w:tr w:rsidR="0003235A" w:rsidRPr="003E0368" w:rsidTr="00D419FB">
        <w:trPr>
          <w:jc w:val="center"/>
        </w:trPr>
        <w:tc>
          <w:tcPr>
            <w:tcW w:w="1501" w:type="dxa"/>
            <w:shd w:val="clear" w:color="auto" w:fill="auto"/>
          </w:tcPr>
          <w:p w:rsidR="0003235A" w:rsidRDefault="0003235A" w:rsidP="00D419FB">
            <w:pPr>
              <w:pStyle w:val="Tabletext"/>
              <w:jc w:val="center"/>
            </w:pPr>
            <w:r>
              <w:t>75</w:t>
            </w:r>
          </w:p>
        </w:tc>
        <w:tc>
          <w:tcPr>
            <w:tcW w:w="6195" w:type="dxa"/>
            <w:shd w:val="clear" w:color="auto" w:fill="auto"/>
          </w:tcPr>
          <w:p w:rsidR="0003235A" w:rsidRPr="003E0368" w:rsidRDefault="0003235A" w:rsidP="0003235A">
            <w:pPr>
              <w:pStyle w:val="Tabletext"/>
            </w:pPr>
            <w:r w:rsidRPr="000E67F6">
              <w:t>The ITU Telecommunication Standardization Sector's contribution in implementing the outcomes of the World Summit on the Information Society, taking into account the 2030 Agenda for Sustainable Development</w:t>
            </w:r>
          </w:p>
        </w:tc>
        <w:tc>
          <w:tcPr>
            <w:tcW w:w="1913" w:type="dxa"/>
            <w:shd w:val="clear" w:color="auto" w:fill="auto"/>
          </w:tcPr>
          <w:p w:rsidR="0003235A" w:rsidRPr="003E0368" w:rsidRDefault="006C0334" w:rsidP="00D67300">
            <w:pPr>
              <w:pStyle w:val="Tabletext"/>
              <w:jc w:val="center"/>
            </w:pPr>
            <w:hyperlink r:id="rId46" w:history="1">
              <w:r w:rsidR="00FC4B13" w:rsidRPr="00423EB4">
                <w:rPr>
                  <w:rStyle w:val="Hyperlink"/>
                </w:rPr>
                <w:t>117</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rsidRPr="003E0368">
              <w:t>76</w:t>
            </w:r>
          </w:p>
        </w:tc>
        <w:tc>
          <w:tcPr>
            <w:tcW w:w="6195" w:type="dxa"/>
            <w:shd w:val="clear" w:color="auto" w:fill="auto"/>
          </w:tcPr>
          <w:p w:rsidR="0003235A" w:rsidRPr="003E0368" w:rsidRDefault="0003235A" w:rsidP="0003235A">
            <w:pPr>
              <w:pStyle w:val="Tabletext"/>
            </w:pPr>
            <w:r w:rsidRPr="003E0368">
              <w:t>Studies related to conformance and interoperability testing, assistance to developing countries, and a possible future ITU Mark programme</w:t>
            </w:r>
          </w:p>
        </w:tc>
        <w:tc>
          <w:tcPr>
            <w:tcW w:w="1913" w:type="dxa"/>
            <w:shd w:val="clear" w:color="auto" w:fill="auto"/>
          </w:tcPr>
          <w:p w:rsidR="0003235A" w:rsidRPr="003E0368" w:rsidRDefault="006C0334" w:rsidP="00FC4B13">
            <w:pPr>
              <w:pStyle w:val="Tabletext"/>
              <w:jc w:val="center"/>
            </w:pPr>
            <w:hyperlink r:id="rId47" w:history="1">
              <w:r w:rsidR="00243D3E" w:rsidRPr="00243D3E">
                <w:rPr>
                  <w:rStyle w:val="Hyperlink"/>
                </w:rPr>
                <w:t>75</w:t>
              </w:r>
            </w:hyperlink>
          </w:p>
        </w:tc>
      </w:tr>
      <w:tr w:rsidR="0003235A" w:rsidRPr="003E0368" w:rsidTr="00D419FB">
        <w:trPr>
          <w:jc w:val="center"/>
        </w:trPr>
        <w:tc>
          <w:tcPr>
            <w:tcW w:w="1501" w:type="dxa"/>
            <w:shd w:val="clear" w:color="auto" w:fill="auto"/>
          </w:tcPr>
          <w:p w:rsidR="0003235A" w:rsidRPr="003E0368" w:rsidRDefault="0003235A" w:rsidP="00D419FB">
            <w:pPr>
              <w:pStyle w:val="Tabletext"/>
              <w:jc w:val="center"/>
            </w:pPr>
            <w:r>
              <w:t>77</w:t>
            </w:r>
          </w:p>
        </w:tc>
        <w:tc>
          <w:tcPr>
            <w:tcW w:w="6195" w:type="dxa"/>
            <w:shd w:val="clear" w:color="auto" w:fill="auto"/>
          </w:tcPr>
          <w:p w:rsidR="0003235A" w:rsidRPr="003E0368" w:rsidRDefault="0003235A" w:rsidP="0003235A">
            <w:pPr>
              <w:pStyle w:val="Tabletext"/>
            </w:pPr>
            <w:r w:rsidRPr="000E67F6">
              <w:t>Enhancing the standardization work in the ITU Telecommunication Standardization Sector for software-defined networking</w:t>
            </w:r>
          </w:p>
        </w:tc>
        <w:tc>
          <w:tcPr>
            <w:tcW w:w="1913" w:type="dxa"/>
            <w:shd w:val="clear" w:color="auto" w:fill="auto"/>
          </w:tcPr>
          <w:p w:rsidR="0003235A" w:rsidRPr="003E0368" w:rsidRDefault="006C0334" w:rsidP="00FC4B13">
            <w:pPr>
              <w:pStyle w:val="Tabletext"/>
              <w:jc w:val="center"/>
            </w:pPr>
            <w:hyperlink r:id="rId48" w:history="1">
              <w:r w:rsidR="0003235A" w:rsidRPr="00243D3E">
                <w:rPr>
                  <w:rStyle w:val="Hyperlink"/>
                </w:rPr>
                <w:t>98</w:t>
              </w:r>
            </w:hyperlink>
          </w:p>
        </w:tc>
      </w:tr>
    </w:tbl>
    <w:p w:rsidR="00D419FB" w:rsidRDefault="00D419FB" w:rsidP="00D419FB">
      <w:r>
        <w:t>* Available soon.</w:t>
      </w:r>
    </w:p>
    <w:p w:rsidR="00E56553" w:rsidRDefault="00E56553" w:rsidP="00E56553"/>
    <w:p w:rsidR="00BB1593" w:rsidRPr="003E0368" w:rsidRDefault="00BB1593" w:rsidP="00BB1593">
      <w:pPr>
        <w:pStyle w:val="Heading2"/>
        <w:tabs>
          <w:tab w:val="left" w:pos="2160"/>
          <w:tab w:val="left" w:pos="8016"/>
        </w:tabs>
      </w:pPr>
      <w:r>
        <w:t>3.2</w:t>
      </w:r>
      <w:r w:rsidRPr="003E0368">
        <w:tab/>
        <w:t>New Resolutions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641"/>
        <w:gridCol w:w="4804"/>
        <w:gridCol w:w="1903"/>
      </w:tblGrid>
      <w:tr w:rsidR="00BB1593" w:rsidRPr="003E0368" w:rsidTr="00013C9F">
        <w:trPr>
          <w:tblHeader/>
          <w:jc w:val="center"/>
        </w:trPr>
        <w:tc>
          <w:tcPr>
            <w:tcW w:w="1261" w:type="dxa"/>
            <w:tcBorders>
              <w:top w:val="single" w:sz="12" w:space="0" w:color="auto"/>
              <w:bottom w:val="single" w:sz="12" w:space="0" w:color="auto"/>
            </w:tcBorders>
            <w:shd w:val="clear" w:color="auto" w:fill="auto"/>
          </w:tcPr>
          <w:p w:rsidR="00BB1593" w:rsidRPr="003E0368" w:rsidRDefault="00BB1593" w:rsidP="002D3FF2">
            <w:pPr>
              <w:pStyle w:val="Tablehead"/>
            </w:pPr>
            <w:r w:rsidRPr="003E0368">
              <w:t>COM4 Number</w:t>
            </w:r>
          </w:p>
        </w:tc>
        <w:tc>
          <w:tcPr>
            <w:tcW w:w="1641" w:type="dxa"/>
            <w:tcBorders>
              <w:top w:val="single" w:sz="12" w:space="0" w:color="auto"/>
              <w:bottom w:val="single" w:sz="12" w:space="0" w:color="auto"/>
            </w:tcBorders>
            <w:shd w:val="clear" w:color="auto" w:fill="auto"/>
          </w:tcPr>
          <w:p w:rsidR="00BB1593" w:rsidRPr="003E0368" w:rsidRDefault="00BB1593" w:rsidP="002D3FF2">
            <w:pPr>
              <w:pStyle w:val="Tablehead"/>
            </w:pPr>
            <w:r w:rsidRPr="003E0368">
              <w:t>EDCOM Number</w:t>
            </w:r>
          </w:p>
        </w:tc>
        <w:tc>
          <w:tcPr>
            <w:tcW w:w="4804" w:type="dxa"/>
            <w:tcBorders>
              <w:top w:val="single" w:sz="12" w:space="0" w:color="auto"/>
              <w:bottom w:val="single" w:sz="12" w:space="0" w:color="auto"/>
            </w:tcBorders>
            <w:shd w:val="clear" w:color="auto" w:fill="auto"/>
          </w:tcPr>
          <w:p w:rsidR="00BB1593" w:rsidRPr="003E0368" w:rsidRDefault="00BB1593" w:rsidP="002D3FF2">
            <w:pPr>
              <w:pStyle w:val="Tablehead"/>
            </w:pPr>
            <w:r w:rsidRPr="003E0368">
              <w:t>Title</w:t>
            </w:r>
          </w:p>
        </w:tc>
        <w:tc>
          <w:tcPr>
            <w:tcW w:w="1903" w:type="dxa"/>
            <w:tcBorders>
              <w:top w:val="single" w:sz="12" w:space="0" w:color="auto"/>
              <w:bottom w:val="single" w:sz="12" w:space="0" w:color="auto"/>
            </w:tcBorders>
            <w:shd w:val="clear" w:color="auto" w:fill="auto"/>
          </w:tcPr>
          <w:p w:rsidR="00BB1593" w:rsidRPr="003E0368" w:rsidRDefault="00BB1593" w:rsidP="002D3FF2">
            <w:pPr>
              <w:pStyle w:val="Tablehead"/>
            </w:pPr>
            <w:r w:rsidRPr="003E0368">
              <w:t>Reference</w:t>
            </w:r>
          </w:p>
        </w:tc>
      </w:tr>
      <w:tr w:rsidR="00BB1593" w:rsidRPr="003E0368" w:rsidTr="00013C9F">
        <w:trPr>
          <w:jc w:val="center"/>
        </w:trPr>
        <w:tc>
          <w:tcPr>
            <w:tcW w:w="1261" w:type="dxa"/>
            <w:tcBorders>
              <w:top w:val="single" w:sz="12" w:space="0" w:color="auto"/>
            </w:tcBorders>
            <w:shd w:val="clear" w:color="auto" w:fill="auto"/>
          </w:tcPr>
          <w:p w:rsidR="00BB1593" w:rsidRPr="003E0368" w:rsidRDefault="00BB1593" w:rsidP="00D419FB">
            <w:pPr>
              <w:pStyle w:val="Tabletext"/>
              <w:jc w:val="center"/>
            </w:pPr>
            <w:r w:rsidRPr="003E0368">
              <w:t>[AFCP-2]</w:t>
            </w:r>
          </w:p>
        </w:tc>
        <w:tc>
          <w:tcPr>
            <w:tcW w:w="1641" w:type="dxa"/>
            <w:tcBorders>
              <w:top w:val="single" w:sz="12" w:space="0" w:color="auto"/>
            </w:tcBorders>
            <w:shd w:val="clear" w:color="auto" w:fill="auto"/>
          </w:tcPr>
          <w:p w:rsidR="00BB1593" w:rsidRPr="003E0368" w:rsidRDefault="00BB1593" w:rsidP="002D3FF2">
            <w:pPr>
              <w:pStyle w:val="Tabletext"/>
            </w:pPr>
            <w:r w:rsidRPr="003E0368">
              <w:t>[COM4/7]</w:t>
            </w:r>
          </w:p>
        </w:tc>
        <w:tc>
          <w:tcPr>
            <w:tcW w:w="4804" w:type="dxa"/>
            <w:tcBorders>
              <w:top w:val="single" w:sz="12" w:space="0" w:color="auto"/>
            </w:tcBorders>
            <w:shd w:val="clear" w:color="auto" w:fill="auto"/>
          </w:tcPr>
          <w:p w:rsidR="00BB1593" w:rsidRPr="003E0368" w:rsidRDefault="00BB1593" w:rsidP="002D3FF2">
            <w:pPr>
              <w:pStyle w:val="Tabletext"/>
            </w:pPr>
            <w:r w:rsidRPr="003E0368">
              <w:t>Promoting the use of ICTs to bridge the financial inclusion gap</w:t>
            </w:r>
          </w:p>
        </w:tc>
        <w:tc>
          <w:tcPr>
            <w:tcW w:w="1903" w:type="dxa"/>
            <w:tcBorders>
              <w:top w:val="single" w:sz="12" w:space="0" w:color="auto"/>
            </w:tcBorders>
            <w:shd w:val="clear" w:color="auto" w:fill="auto"/>
          </w:tcPr>
          <w:p w:rsidR="00BB1593" w:rsidRPr="003E0368" w:rsidRDefault="00A51F78">
            <w:pPr>
              <w:pStyle w:val="Tabletext"/>
              <w:jc w:val="center"/>
            </w:pPr>
            <w:hyperlink r:id="rId49" w:history="1">
              <w:r w:rsidR="00243D3E" w:rsidRPr="00FC4B13">
                <w:rPr>
                  <w:rStyle w:val="Hyperlink"/>
                </w:rPr>
                <w:t>11</w:t>
              </w:r>
              <w:r w:rsidR="00D92C3F">
                <w:rPr>
                  <w:rStyle w:val="Hyperlink"/>
                </w:rPr>
                <w:t>9</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[AFCP-8]</w:t>
            </w:r>
          </w:p>
        </w:tc>
        <w:tc>
          <w:tcPr>
            <w:tcW w:w="1641" w:type="dxa"/>
            <w:shd w:val="clear" w:color="auto" w:fill="auto"/>
          </w:tcPr>
          <w:p w:rsidR="00BB1593" w:rsidRPr="003E0368" w:rsidRDefault="00BB1593" w:rsidP="002D3FF2">
            <w:pPr>
              <w:pStyle w:val="Tabletext"/>
            </w:pPr>
            <w:r w:rsidRPr="003E0368">
              <w:t>[COM4/9]</w:t>
            </w:r>
          </w:p>
        </w:tc>
        <w:tc>
          <w:tcPr>
            <w:tcW w:w="4804" w:type="dxa"/>
            <w:shd w:val="clear" w:color="auto" w:fill="auto"/>
          </w:tcPr>
          <w:p w:rsidR="00BB1593" w:rsidRPr="003E0368" w:rsidRDefault="00BB1593" w:rsidP="002D3FF2">
            <w:pPr>
              <w:pStyle w:val="Tabletext"/>
            </w:pPr>
            <w:r w:rsidRPr="003E0368">
              <w:t>Facilitating the implementation of the Smart Africa Manifesto</w:t>
            </w:r>
          </w:p>
        </w:tc>
        <w:tc>
          <w:tcPr>
            <w:tcW w:w="1903" w:type="dxa"/>
            <w:shd w:val="clear" w:color="auto" w:fill="auto"/>
          </w:tcPr>
          <w:p w:rsidR="00BB1593" w:rsidRPr="003E0368" w:rsidRDefault="00DC6950" w:rsidP="00D67300">
            <w:pPr>
              <w:pStyle w:val="Tabletext"/>
              <w:jc w:val="center"/>
            </w:pPr>
            <w:hyperlink r:id="rId50" w:history="1">
              <w:r w:rsidRPr="00FC4B13">
                <w:rPr>
                  <w:rStyle w:val="Hyperlink"/>
                </w:rPr>
                <w:t>11</w:t>
              </w:r>
              <w:r>
                <w:rPr>
                  <w:rStyle w:val="Hyperlink"/>
                </w:rPr>
                <w:t>9</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[APT-1]</w:t>
            </w:r>
          </w:p>
        </w:tc>
        <w:tc>
          <w:tcPr>
            <w:tcW w:w="1641" w:type="dxa"/>
            <w:shd w:val="clear" w:color="auto" w:fill="auto"/>
          </w:tcPr>
          <w:p w:rsidR="00BB1593" w:rsidRPr="003E0368" w:rsidRDefault="00BB1593" w:rsidP="002D3FF2">
            <w:pPr>
              <w:pStyle w:val="Tabletext"/>
            </w:pPr>
            <w:r w:rsidRPr="003E0368">
              <w:t>[COM4/3]</w:t>
            </w:r>
          </w:p>
        </w:tc>
        <w:tc>
          <w:tcPr>
            <w:tcW w:w="4804" w:type="dxa"/>
            <w:shd w:val="clear" w:color="auto" w:fill="auto"/>
          </w:tcPr>
          <w:p w:rsidR="00243D3E" w:rsidRDefault="00243D3E" w:rsidP="00243D3E">
            <w:pPr>
              <w:pStyle w:val="Tabletext"/>
            </w:pPr>
            <w:r>
              <w:t xml:space="preserve">Enhancing the standardization activities in the ITU Telecommunication Standardization Sector related to non-radio aspects of international </w:t>
            </w:r>
          </w:p>
          <w:p w:rsidR="00BB1593" w:rsidRPr="003E0368" w:rsidRDefault="00243D3E" w:rsidP="00243D3E">
            <w:pPr>
              <w:pStyle w:val="Tabletext"/>
            </w:pPr>
            <w:r>
              <w:t>mobile telecommunications</w:t>
            </w:r>
          </w:p>
        </w:tc>
        <w:tc>
          <w:tcPr>
            <w:tcW w:w="1903" w:type="dxa"/>
            <w:shd w:val="clear" w:color="auto" w:fill="auto"/>
          </w:tcPr>
          <w:p w:rsidR="00BB1593" w:rsidRPr="003E0368" w:rsidRDefault="006C0334" w:rsidP="00FC4B13">
            <w:pPr>
              <w:pStyle w:val="Tabletext"/>
              <w:jc w:val="center"/>
            </w:pPr>
            <w:hyperlink r:id="rId51" w:history="1">
              <w:r w:rsidR="00243D3E" w:rsidRPr="0014690B">
                <w:rPr>
                  <w:rStyle w:val="Hyperlink"/>
                </w:rPr>
                <w:t>101</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[APT-2/IAP3]</w:t>
            </w:r>
          </w:p>
        </w:tc>
        <w:tc>
          <w:tcPr>
            <w:tcW w:w="1641" w:type="dxa"/>
            <w:shd w:val="clear" w:color="auto" w:fill="auto"/>
          </w:tcPr>
          <w:p w:rsidR="00BB1593" w:rsidRPr="003E0368" w:rsidRDefault="00BB1593" w:rsidP="002D3FF2">
            <w:pPr>
              <w:pStyle w:val="Tabletext"/>
            </w:pPr>
            <w:r w:rsidRPr="003E0368">
              <w:t>[COM4/10]</w:t>
            </w:r>
          </w:p>
        </w:tc>
        <w:tc>
          <w:tcPr>
            <w:tcW w:w="4804" w:type="dxa"/>
            <w:shd w:val="clear" w:color="auto" w:fill="auto"/>
          </w:tcPr>
          <w:p w:rsidR="00BB1593" w:rsidRPr="003E0368" w:rsidRDefault="00BB1593" w:rsidP="002D3FF2">
            <w:pPr>
              <w:pStyle w:val="Tabletext"/>
            </w:pPr>
            <w:r w:rsidRPr="003E0368">
              <w:t>Enhancing the standardization of Internet of Things and Smart Cities &amp; Communities for global development</w:t>
            </w:r>
          </w:p>
        </w:tc>
        <w:tc>
          <w:tcPr>
            <w:tcW w:w="1903" w:type="dxa"/>
            <w:shd w:val="clear" w:color="auto" w:fill="auto"/>
          </w:tcPr>
          <w:p w:rsidR="00BB1593" w:rsidRPr="003E0368" w:rsidRDefault="00DC6950" w:rsidP="00D67300">
            <w:pPr>
              <w:pStyle w:val="Tabletext"/>
              <w:jc w:val="center"/>
            </w:pPr>
            <w:hyperlink r:id="rId52" w:history="1">
              <w:r w:rsidRPr="00FC4B13">
                <w:rPr>
                  <w:rStyle w:val="Hyperlink"/>
                </w:rPr>
                <w:t>11</w:t>
              </w:r>
              <w:r>
                <w:rPr>
                  <w:rStyle w:val="Hyperlink"/>
                </w:rPr>
                <w:t>9</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[APT-3]</w:t>
            </w:r>
          </w:p>
        </w:tc>
        <w:tc>
          <w:tcPr>
            <w:tcW w:w="1641" w:type="dxa"/>
            <w:shd w:val="clear" w:color="auto" w:fill="auto"/>
          </w:tcPr>
          <w:p w:rsidR="00BB1593" w:rsidRPr="003E0368" w:rsidRDefault="00BB1593" w:rsidP="002D3FF2">
            <w:pPr>
              <w:pStyle w:val="Tabletext"/>
            </w:pPr>
            <w:r w:rsidRPr="003E0368">
              <w:t>[COM4/1]</w:t>
            </w:r>
          </w:p>
        </w:tc>
        <w:tc>
          <w:tcPr>
            <w:tcW w:w="4804" w:type="dxa"/>
            <w:shd w:val="clear" w:color="auto" w:fill="auto"/>
          </w:tcPr>
          <w:p w:rsidR="00BB1593" w:rsidRPr="003E0368" w:rsidRDefault="00BB1593" w:rsidP="002D3FF2">
            <w:pPr>
              <w:pStyle w:val="Tabletext"/>
            </w:pPr>
            <w:r w:rsidRPr="003E0368">
              <w:t>Standardization work in the ITU Telecommunication Standardization Sector for cloud-based event data technology</w:t>
            </w:r>
          </w:p>
        </w:tc>
        <w:tc>
          <w:tcPr>
            <w:tcW w:w="1903" w:type="dxa"/>
            <w:shd w:val="clear" w:color="auto" w:fill="auto"/>
          </w:tcPr>
          <w:p w:rsidR="00BB1593" w:rsidRPr="003E0368" w:rsidRDefault="006C0334" w:rsidP="00FC4B13">
            <w:pPr>
              <w:pStyle w:val="Tabletext"/>
              <w:jc w:val="center"/>
            </w:pPr>
            <w:hyperlink r:id="rId53" w:history="1">
              <w:r w:rsidR="00243D3E" w:rsidRPr="00FC4B13">
                <w:rPr>
                  <w:rStyle w:val="Hyperlink"/>
                </w:rPr>
                <w:t>98</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[ARB-4]</w:t>
            </w:r>
          </w:p>
        </w:tc>
        <w:tc>
          <w:tcPr>
            <w:tcW w:w="1641" w:type="dxa"/>
            <w:shd w:val="clear" w:color="auto" w:fill="auto"/>
          </w:tcPr>
          <w:p w:rsidR="00BB1593" w:rsidRPr="003E0368" w:rsidRDefault="00BB1593" w:rsidP="002D3FF2">
            <w:pPr>
              <w:pStyle w:val="Tabletext"/>
            </w:pPr>
            <w:r w:rsidRPr="003E0368">
              <w:t>[COM4/8]</w:t>
            </w:r>
          </w:p>
        </w:tc>
        <w:tc>
          <w:tcPr>
            <w:tcW w:w="4804" w:type="dxa"/>
            <w:shd w:val="clear" w:color="auto" w:fill="auto"/>
          </w:tcPr>
          <w:p w:rsidR="00BB1593" w:rsidRPr="003E0368" w:rsidRDefault="00BB1593" w:rsidP="002D3FF2">
            <w:pPr>
              <w:pStyle w:val="Tabletext"/>
            </w:pPr>
            <w:r w:rsidRPr="003E0368">
              <w:t>Strengthening and diversifying the resources of the Telecommunication Standardization Sector of the International Telecommunication Union</w:t>
            </w:r>
          </w:p>
        </w:tc>
        <w:tc>
          <w:tcPr>
            <w:tcW w:w="1903" w:type="dxa"/>
            <w:shd w:val="clear" w:color="auto" w:fill="auto"/>
          </w:tcPr>
          <w:p w:rsidR="00BB1593" w:rsidRPr="003E0368" w:rsidRDefault="00DC6950" w:rsidP="00D67300">
            <w:pPr>
              <w:pStyle w:val="Tabletext"/>
              <w:jc w:val="center"/>
            </w:pPr>
            <w:hyperlink r:id="rId54" w:history="1">
              <w:r w:rsidRPr="00FC4B13">
                <w:rPr>
                  <w:rStyle w:val="Hyperlink"/>
                </w:rPr>
                <w:t>11</w:t>
              </w:r>
              <w:r>
                <w:rPr>
                  <w:rStyle w:val="Hyperlink"/>
                </w:rPr>
                <w:t>9</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[IAP-1/AFCP-6]</w:t>
            </w:r>
          </w:p>
        </w:tc>
        <w:tc>
          <w:tcPr>
            <w:tcW w:w="1641" w:type="dxa"/>
            <w:shd w:val="clear" w:color="auto" w:fill="auto"/>
          </w:tcPr>
          <w:p w:rsidR="00BB1593" w:rsidRPr="003E0368" w:rsidRDefault="00BB1593" w:rsidP="002D3FF2">
            <w:pPr>
              <w:pStyle w:val="Tabletext"/>
            </w:pPr>
            <w:r w:rsidRPr="003E0368">
              <w:t>[COM4/11]</w:t>
            </w:r>
          </w:p>
        </w:tc>
        <w:tc>
          <w:tcPr>
            <w:tcW w:w="4804" w:type="dxa"/>
            <w:shd w:val="clear" w:color="auto" w:fill="auto"/>
          </w:tcPr>
          <w:p w:rsidR="00BB1593" w:rsidRPr="003E0368" w:rsidRDefault="00BB1593" w:rsidP="002D3FF2">
            <w:pPr>
              <w:pStyle w:val="Tabletext"/>
            </w:pPr>
            <w:r w:rsidRPr="003E0368">
              <w:t>ITU-T initiatives to raise awareness on best practices and policies related to service quality</w:t>
            </w:r>
          </w:p>
        </w:tc>
        <w:tc>
          <w:tcPr>
            <w:tcW w:w="1903" w:type="dxa"/>
            <w:shd w:val="clear" w:color="auto" w:fill="auto"/>
          </w:tcPr>
          <w:p w:rsidR="00BB1593" w:rsidRPr="003E0368" w:rsidRDefault="00DC6950" w:rsidP="00D67300">
            <w:pPr>
              <w:pStyle w:val="Tabletext"/>
              <w:jc w:val="center"/>
            </w:pPr>
            <w:hyperlink r:id="rId55" w:history="1">
              <w:r w:rsidRPr="00FC4B13">
                <w:rPr>
                  <w:rStyle w:val="Hyperlink"/>
                </w:rPr>
                <w:t>11</w:t>
              </w:r>
              <w:r>
                <w:rPr>
                  <w:rStyle w:val="Hyperlink"/>
                </w:rPr>
                <w:t>9</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[IAP-4]</w:t>
            </w:r>
          </w:p>
        </w:tc>
        <w:tc>
          <w:tcPr>
            <w:tcW w:w="1641" w:type="dxa"/>
            <w:shd w:val="clear" w:color="auto" w:fill="auto"/>
          </w:tcPr>
          <w:p w:rsidR="00BB1593" w:rsidRPr="003E0368" w:rsidRDefault="00BB1593" w:rsidP="002D3FF2">
            <w:pPr>
              <w:pStyle w:val="Tabletext"/>
            </w:pPr>
            <w:r w:rsidRPr="003E0368">
              <w:t>[COM4/4]</w:t>
            </w:r>
          </w:p>
        </w:tc>
        <w:tc>
          <w:tcPr>
            <w:tcW w:w="4804" w:type="dxa"/>
            <w:shd w:val="clear" w:color="auto" w:fill="auto"/>
          </w:tcPr>
          <w:p w:rsidR="00BB1593" w:rsidRPr="003E0368" w:rsidRDefault="00BB1593" w:rsidP="002D3FF2">
            <w:pPr>
              <w:pStyle w:val="Tabletext"/>
            </w:pPr>
            <w:r w:rsidRPr="003E0368">
              <w:t>International mobile roaming (IMR)</w:t>
            </w:r>
          </w:p>
        </w:tc>
        <w:tc>
          <w:tcPr>
            <w:tcW w:w="1903" w:type="dxa"/>
            <w:shd w:val="clear" w:color="auto" w:fill="auto"/>
          </w:tcPr>
          <w:p w:rsidR="00BB1593" w:rsidRPr="003E0368" w:rsidRDefault="006C0334" w:rsidP="00FC4B13">
            <w:pPr>
              <w:pStyle w:val="Tabletext"/>
              <w:jc w:val="center"/>
            </w:pPr>
            <w:hyperlink r:id="rId56" w:history="1">
              <w:r w:rsidR="00243D3E" w:rsidRPr="0014690B">
                <w:rPr>
                  <w:rStyle w:val="Hyperlink"/>
                </w:rPr>
                <w:t>101</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[ITR]</w:t>
            </w:r>
          </w:p>
        </w:tc>
        <w:tc>
          <w:tcPr>
            <w:tcW w:w="1641" w:type="dxa"/>
            <w:shd w:val="clear" w:color="auto" w:fill="auto"/>
          </w:tcPr>
          <w:p w:rsidR="00BB1593" w:rsidRPr="003E0368" w:rsidRDefault="00BB1593" w:rsidP="002D3FF2">
            <w:pPr>
              <w:pStyle w:val="Tabletext"/>
            </w:pPr>
            <w:r w:rsidRPr="003E0368">
              <w:t>[COM4/12]</w:t>
            </w:r>
          </w:p>
        </w:tc>
        <w:tc>
          <w:tcPr>
            <w:tcW w:w="4804" w:type="dxa"/>
            <w:shd w:val="clear" w:color="auto" w:fill="auto"/>
          </w:tcPr>
          <w:p w:rsidR="00BB1593" w:rsidRPr="003E0368" w:rsidRDefault="00BB1593" w:rsidP="002D3FF2">
            <w:pPr>
              <w:pStyle w:val="Tabletext"/>
            </w:pPr>
            <w:r w:rsidRPr="003E0368">
              <w:t xml:space="preserve">Participation of the Telecommunication Standardization Sector in the Periodic review and </w:t>
            </w:r>
            <w:r w:rsidRPr="003E0368">
              <w:lastRenderedPageBreak/>
              <w:t>revision of the International Telecommunication Regulations</w:t>
            </w:r>
          </w:p>
        </w:tc>
        <w:tc>
          <w:tcPr>
            <w:tcW w:w="1903" w:type="dxa"/>
            <w:shd w:val="clear" w:color="auto" w:fill="auto"/>
          </w:tcPr>
          <w:p w:rsidR="00BB1593" w:rsidRPr="003E0368" w:rsidRDefault="00DC6950" w:rsidP="00D67300">
            <w:pPr>
              <w:pStyle w:val="Tabletext"/>
              <w:jc w:val="center"/>
            </w:pPr>
            <w:hyperlink r:id="rId57" w:history="1">
              <w:r w:rsidRPr="00FC4B13">
                <w:rPr>
                  <w:rStyle w:val="Hyperlink"/>
                </w:rPr>
                <w:t>11</w:t>
              </w:r>
              <w:r>
                <w:rPr>
                  <w:rStyle w:val="Hyperlink"/>
                </w:rPr>
                <w:t>9</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[RCC-3]</w:t>
            </w:r>
          </w:p>
        </w:tc>
        <w:tc>
          <w:tcPr>
            <w:tcW w:w="1641" w:type="dxa"/>
            <w:shd w:val="clear" w:color="auto" w:fill="auto"/>
          </w:tcPr>
          <w:p w:rsidR="00BB1593" w:rsidRPr="003E0368" w:rsidRDefault="00BB1593" w:rsidP="002D3FF2">
            <w:pPr>
              <w:pStyle w:val="Tabletext"/>
            </w:pPr>
            <w:r w:rsidRPr="003E0368">
              <w:t>[COM4/2]</w:t>
            </w:r>
          </w:p>
        </w:tc>
        <w:tc>
          <w:tcPr>
            <w:tcW w:w="4804" w:type="dxa"/>
            <w:shd w:val="clear" w:color="auto" w:fill="auto"/>
          </w:tcPr>
          <w:p w:rsidR="00BB1593" w:rsidRPr="003E0368" w:rsidRDefault="00BB1593" w:rsidP="002D3FF2">
            <w:pPr>
              <w:pStyle w:val="Tabletext"/>
            </w:pPr>
            <w:r w:rsidRPr="00AB4FBD">
              <w:t>Studies concerning the protection of users of telecommunication/ICT services</w:t>
            </w:r>
          </w:p>
        </w:tc>
        <w:tc>
          <w:tcPr>
            <w:tcW w:w="1903" w:type="dxa"/>
            <w:shd w:val="clear" w:color="auto" w:fill="auto"/>
          </w:tcPr>
          <w:p w:rsidR="00BB1593" w:rsidRPr="003E0368" w:rsidRDefault="006C0334" w:rsidP="00FC4B13">
            <w:pPr>
              <w:pStyle w:val="Tabletext"/>
              <w:jc w:val="center"/>
            </w:pPr>
            <w:hyperlink r:id="rId58" w:history="1">
              <w:r w:rsidR="00243D3E" w:rsidRPr="0014690B">
                <w:rPr>
                  <w:rStyle w:val="Hyperlink"/>
                </w:rPr>
                <w:t>98</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[RCC-4]</w:t>
            </w:r>
          </w:p>
        </w:tc>
        <w:tc>
          <w:tcPr>
            <w:tcW w:w="1641" w:type="dxa"/>
            <w:shd w:val="clear" w:color="auto" w:fill="auto"/>
          </w:tcPr>
          <w:p w:rsidR="00BB1593" w:rsidRPr="003E0368" w:rsidRDefault="00BB1593" w:rsidP="002D3FF2">
            <w:pPr>
              <w:pStyle w:val="Tabletext"/>
            </w:pPr>
            <w:r w:rsidRPr="003E0368">
              <w:t>[COM4/5]</w:t>
            </w:r>
          </w:p>
        </w:tc>
        <w:tc>
          <w:tcPr>
            <w:tcW w:w="4804" w:type="dxa"/>
            <w:shd w:val="clear" w:color="auto" w:fill="auto"/>
          </w:tcPr>
          <w:p w:rsidR="00BB1593" w:rsidRPr="003E0368" w:rsidRDefault="00BB1593" w:rsidP="002D3FF2">
            <w:pPr>
              <w:pStyle w:val="Tabletext"/>
            </w:pPr>
            <w:r w:rsidRPr="003E0368">
              <w:t xml:space="preserve">Enhancing access to an electronic repository of information on numbering plans published by </w:t>
            </w:r>
            <w:r w:rsidR="0014690B" w:rsidRPr="0014690B">
              <w:t>the ITU Telecommunication Standardization Sector</w:t>
            </w:r>
          </w:p>
        </w:tc>
        <w:tc>
          <w:tcPr>
            <w:tcW w:w="1903" w:type="dxa"/>
            <w:shd w:val="clear" w:color="auto" w:fill="auto"/>
          </w:tcPr>
          <w:p w:rsidR="00BB1593" w:rsidRPr="003E0368" w:rsidRDefault="006C0334" w:rsidP="00FC4B13">
            <w:pPr>
              <w:pStyle w:val="Tabletext"/>
              <w:jc w:val="center"/>
            </w:pPr>
            <w:hyperlink r:id="rId59" w:history="1">
              <w:r w:rsidR="0014690B" w:rsidRPr="00FC4B13">
                <w:rPr>
                  <w:rStyle w:val="Hyperlink"/>
                </w:rPr>
                <w:t>101</w:t>
              </w:r>
            </w:hyperlink>
          </w:p>
        </w:tc>
      </w:tr>
      <w:tr w:rsidR="00BB1593" w:rsidRPr="003E0368" w:rsidTr="00013C9F">
        <w:trPr>
          <w:jc w:val="center"/>
        </w:trPr>
        <w:tc>
          <w:tcPr>
            <w:tcW w:w="1261" w:type="dxa"/>
            <w:shd w:val="clear" w:color="auto" w:fill="auto"/>
          </w:tcPr>
          <w:p w:rsidR="00BB1593" w:rsidRPr="003E0368" w:rsidRDefault="00BB1593" w:rsidP="00D419FB">
            <w:pPr>
              <w:pStyle w:val="Tabletext"/>
              <w:jc w:val="center"/>
            </w:pPr>
            <w:r w:rsidRPr="003E0368">
              <w:t>[RCC-5]</w:t>
            </w:r>
          </w:p>
        </w:tc>
        <w:tc>
          <w:tcPr>
            <w:tcW w:w="1641" w:type="dxa"/>
            <w:shd w:val="clear" w:color="auto" w:fill="auto"/>
          </w:tcPr>
          <w:p w:rsidR="00BB1593" w:rsidRPr="003E0368" w:rsidRDefault="00BB1593" w:rsidP="002D3FF2">
            <w:pPr>
              <w:pStyle w:val="Tabletext"/>
            </w:pPr>
            <w:r w:rsidRPr="003E0368">
              <w:t>[COM4/6]</w:t>
            </w:r>
          </w:p>
        </w:tc>
        <w:tc>
          <w:tcPr>
            <w:tcW w:w="4804" w:type="dxa"/>
            <w:shd w:val="clear" w:color="auto" w:fill="auto"/>
          </w:tcPr>
          <w:p w:rsidR="00BB1593" w:rsidRPr="003E0368" w:rsidRDefault="00BB1593" w:rsidP="002D3FF2">
            <w:pPr>
              <w:pStyle w:val="Tabletext"/>
            </w:pPr>
            <w:r w:rsidRPr="003E0368">
              <w:t>Interconnection of 4G, 5G/IMT-2020 networks and beyond</w:t>
            </w:r>
          </w:p>
        </w:tc>
        <w:tc>
          <w:tcPr>
            <w:tcW w:w="1903" w:type="dxa"/>
            <w:shd w:val="clear" w:color="auto" w:fill="auto"/>
          </w:tcPr>
          <w:p w:rsidR="00BB1593" w:rsidRPr="003E0368" w:rsidRDefault="006C0334" w:rsidP="00FC4B13">
            <w:pPr>
              <w:pStyle w:val="Tabletext"/>
              <w:jc w:val="center"/>
            </w:pPr>
            <w:hyperlink r:id="rId60" w:history="1">
              <w:r w:rsidR="0014690B" w:rsidRPr="00FC4B13">
                <w:rPr>
                  <w:rStyle w:val="Hyperlink"/>
                </w:rPr>
                <w:t>101</w:t>
              </w:r>
            </w:hyperlink>
          </w:p>
        </w:tc>
      </w:tr>
    </w:tbl>
    <w:p w:rsidR="00D419FB" w:rsidRDefault="00D419FB" w:rsidP="00D419FB"/>
    <w:p w:rsidR="00832B14" w:rsidRPr="003E0368" w:rsidRDefault="00832B14" w:rsidP="00F538B9">
      <w:pPr>
        <w:pStyle w:val="Heading2"/>
        <w:tabs>
          <w:tab w:val="left" w:pos="2160"/>
          <w:tab w:val="left" w:pos="8016"/>
        </w:tabs>
        <w:spacing w:after="120"/>
      </w:pPr>
      <w:r w:rsidRPr="003E0368">
        <w:t>3.3</w:t>
      </w:r>
      <w:r w:rsidRPr="003E0368">
        <w:tab/>
        <w:t>Resolutions with no changes</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1"/>
        <w:gridCol w:w="8193"/>
      </w:tblGrid>
      <w:tr w:rsidR="00C8302F" w:rsidRPr="003E0368" w:rsidTr="00013C9F">
        <w:trPr>
          <w:tblHeader/>
          <w:jc w:val="center"/>
        </w:trPr>
        <w:tc>
          <w:tcPr>
            <w:tcW w:w="1431" w:type="dxa"/>
            <w:tcBorders>
              <w:top w:val="single" w:sz="12" w:space="0" w:color="auto"/>
              <w:bottom w:val="single" w:sz="12" w:space="0" w:color="auto"/>
            </w:tcBorders>
            <w:shd w:val="clear" w:color="auto" w:fill="auto"/>
          </w:tcPr>
          <w:p w:rsidR="00C8302F" w:rsidRPr="003E0368" w:rsidRDefault="00C8302F" w:rsidP="00AB4FBD">
            <w:pPr>
              <w:pStyle w:val="Tablehead"/>
            </w:pPr>
            <w:r w:rsidRPr="003E0368">
              <w:t>Number</w:t>
            </w:r>
          </w:p>
        </w:tc>
        <w:tc>
          <w:tcPr>
            <w:tcW w:w="8193" w:type="dxa"/>
            <w:tcBorders>
              <w:top w:val="single" w:sz="12" w:space="0" w:color="auto"/>
              <w:bottom w:val="single" w:sz="12" w:space="0" w:color="auto"/>
            </w:tcBorders>
            <w:shd w:val="clear" w:color="auto" w:fill="auto"/>
          </w:tcPr>
          <w:p w:rsidR="00C8302F" w:rsidRPr="003E0368" w:rsidRDefault="00C8302F" w:rsidP="00AB4FBD">
            <w:pPr>
              <w:pStyle w:val="Tablehead"/>
            </w:pPr>
            <w:r w:rsidRPr="003E0368">
              <w:t>Title</w:t>
            </w:r>
          </w:p>
        </w:tc>
      </w:tr>
      <w:tr w:rsidR="00C8302F" w:rsidRPr="003E0368" w:rsidTr="00013C9F">
        <w:trPr>
          <w:jc w:val="center"/>
        </w:trPr>
        <w:tc>
          <w:tcPr>
            <w:tcW w:w="1431" w:type="dxa"/>
            <w:tcBorders>
              <w:top w:val="single" w:sz="12" w:space="0" w:color="auto"/>
            </w:tcBorders>
            <w:shd w:val="clear" w:color="auto" w:fill="auto"/>
          </w:tcPr>
          <w:p w:rsidR="00C8302F" w:rsidRPr="003E0368" w:rsidRDefault="00C8302F" w:rsidP="00FC4B13">
            <w:pPr>
              <w:pStyle w:val="Tabletext"/>
              <w:jc w:val="center"/>
            </w:pPr>
            <w:r>
              <w:t>47</w:t>
            </w:r>
          </w:p>
        </w:tc>
        <w:tc>
          <w:tcPr>
            <w:tcW w:w="8193" w:type="dxa"/>
            <w:tcBorders>
              <w:top w:val="single" w:sz="12" w:space="0" w:color="auto"/>
            </w:tcBorders>
            <w:shd w:val="clear" w:color="auto" w:fill="auto"/>
          </w:tcPr>
          <w:p w:rsidR="00C8302F" w:rsidRPr="003E0368" w:rsidRDefault="00FC4B13" w:rsidP="00AB4FBD">
            <w:pPr>
              <w:pStyle w:val="Tabletext"/>
            </w:pPr>
            <w:r w:rsidRPr="00FC4B13">
              <w:t>Country code top-level domain names</w:t>
            </w:r>
          </w:p>
        </w:tc>
      </w:tr>
      <w:tr w:rsidR="00C8302F" w:rsidRPr="003E0368" w:rsidTr="00013C9F">
        <w:trPr>
          <w:jc w:val="center"/>
        </w:trPr>
        <w:tc>
          <w:tcPr>
            <w:tcW w:w="1431" w:type="dxa"/>
            <w:shd w:val="clear" w:color="auto" w:fill="auto"/>
          </w:tcPr>
          <w:p w:rsidR="00C8302F" w:rsidRDefault="00C8302F" w:rsidP="00FC4B13">
            <w:pPr>
              <w:pStyle w:val="Tabletext"/>
              <w:jc w:val="center"/>
            </w:pPr>
            <w:r>
              <w:t>48</w:t>
            </w:r>
          </w:p>
        </w:tc>
        <w:tc>
          <w:tcPr>
            <w:tcW w:w="8193" w:type="dxa"/>
            <w:shd w:val="clear" w:color="auto" w:fill="auto"/>
          </w:tcPr>
          <w:p w:rsidR="00C8302F" w:rsidRPr="003E0368" w:rsidRDefault="00FC4B13" w:rsidP="00AB4FBD">
            <w:pPr>
              <w:pStyle w:val="Tabletext"/>
            </w:pPr>
            <w:r>
              <w:rPr>
                <w:color w:val="000000"/>
              </w:rPr>
              <w:t>Internationalized (multilingual) domain names</w:t>
            </w:r>
          </w:p>
        </w:tc>
      </w:tr>
      <w:tr w:rsidR="00C8302F" w:rsidRPr="003E0368" w:rsidTr="00013C9F">
        <w:trPr>
          <w:jc w:val="center"/>
        </w:trPr>
        <w:tc>
          <w:tcPr>
            <w:tcW w:w="1431" w:type="dxa"/>
            <w:shd w:val="clear" w:color="auto" w:fill="auto"/>
          </w:tcPr>
          <w:p w:rsidR="00C8302F" w:rsidRPr="003E0368" w:rsidRDefault="00C8302F" w:rsidP="00FC4B13">
            <w:pPr>
              <w:pStyle w:val="Tabletext"/>
              <w:jc w:val="center"/>
            </w:pPr>
            <w:r w:rsidRPr="003E0368">
              <w:t>59</w:t>
            </w:r>
          </w:p>
        </w:tc>
        <w:tc>
          <w:tcPr>
            <w:tcW w:w="8193" w:type="dxa"/>
            <w:shd w:val="clear" w:color="auto" w:fill="auto"/>
          </w:tcPr>
          <w:p w:rsidR="00C8302F" w:rsidRPr="003E0368" w:rsidRDefault="00C8302F" w:rsidP="00AB4FBD">
            <w:pPr>
              <w:pStyle w:val="Tabletext"/>
            </w:pPr>
            <w:r w:rsidRPr="003E0368">
              <w:t>Enhancing participation of telecommunication operators from developing countries</w:t>
            </w:r>
          </w:p>
        </w:tc>
      </w:tr>
      <w:tr w:rsidR="00C8302F" w:rsidRPr="003E0368" w:rsidTr="00013C9F">
        <w:trPr>
          <w:jc w:val="center"/>
        </w:trPr>
        <w:tc>
          <w:tcPr>
            <w:tcW w:w="1431" w:type="dxa"/>
            <w:shd w:val="clear" w:color="auto" w:fill="auto"/>
          </w:tcPr>
          <w:p w:rsidR="00C8302F" w:rsidRDefault="00C8302F" w:rsidP="00FC4B13">
            <w:pPr>
              <w:pStyle w:val="Tabletext"/>
              <w:jc w:val="center"/>
            </w:pPr>
            <w:r>
              <w:t>61</w:t>
            </w:r>
          </w:p>
        </w:tc>
        <w:tc>
          <w:tcPr>
            <w:tcW w:w="8193" w:type="dxa"/>
            <w:shd w:val="clear" w:color="auto" w:fill="auto"/>
          </w:tcPr>
          <w:p w:rsidR="00C8302F" w:rsidRPr="003E0368" w:rsidRDefault="00FC4B13" w:rsidP="00AB4FBD">
            <w:pPr>
              <w:pStyle w:val="Tabletext"/>
            </w:pPr>
            <w:r>
              <w:rPr>
                <w:color w:val="000000"/>
              </w:rPr>
              <w:t>Countering and combating misappropriation and misuse of international telecommunication numbering resources</w:t>
            </w:r>
          </w:p>
        </w:tc>
      </w:tr>
    </w:tbl>
    <w:p w:rsidR="00832B14" w:rsidRDefault="00832B14" w:rsidP="00C960A7">
      <w:r w:rsidRPr="003E0368">
        <w:t>NOTE – The following Resolutions and Opinion under COM4 and its WGs did not receive any proposals are retained unchanged from WTSA-12:</w:t>
      </w:r>
      <w:r w:rsidR="00EB5F32" w:rsidRPr="003E0368">
        <w:t xml:space="preserve"> </w:t>
      </w:r>
      <w:r w:rsidR="00FC7C00" w:rsidRPr="003E0368">
        <w:t xml:space="preserve">79 </w:t>
      </w:r>
      <w:r w:rsidR="00EB5F32" w:rsidRPr="003E0368">
        <w:t>(under COM4); 58, 62 (under WG4A); and 74 (under WG4B). Opinion 1 also did not receive any proposals and it is retained unchanged from WTSA-12.</w:t>
      </w:r>
    </w:p>
    <w:p w:rsidR="001857AF" w:rsidRPr="003E0368" w:rsidRDefault="001857AF" w:rsidP="001857AF">
      <w:pPr>
        <w:pStyle w:val="Heading2"/>
        <w:tabs>
          <w:tab w:val="left" w:pos="2160"/>
          <w:tab w:val="left" w:pos="8016"/>
        </w:tabs>
      </w:pPr>
      <w:r>
        <w:t>3.4</w:t>
      </w:r>
      <w:r w:rsidRPr="003E0368">
        <w:tab/>
        <w:t>Suppression of Resolutions</w:t>
      </w:r>
    </w:p>
    <w:p w:rsidR="001857AF" w:rsidRPr="003E0368" w:rsidRDefault="001857AF" w:rsidP="001857AF">
      <w:r>
        <w:t>No Resolutions were proposed for suppression by COM4.</w:t>
      </w:r>
    </w:p>
    <w:p w:rsidR="009625A8" w:rsidRDefault="00CC46B8" w:rsidP="00CC46B8">
      <w:pPr>
        <w:pStyle w:val="Heading1"/>
      </w:pPr>
      <w:r>
        <w:t>4</w:t>
      </w:r>
      <w:r w:rsidR="004D7A53" w:rsidRPr="003E0368">
        <w:tab/>
      </w:r>
      <w:r w:rsidR="009625A8" w:rsidRPr="003E0368">
        <w:t>Issues deferred by COM4 to the Plenary</w:t>
      </w:r>
    </w:p>
    <w:p w:rsidR="002D3FF2" w:rsidRDefault="002D3FF2" w:rsidP="002D3FF2">
      <w:pPr>
        <w:rPr>
          <w:b/>
          <w:bCs/>
        </w:rPr>
      </w:pPr>
      <w:r>
        <w:rPr>
          <w:b/>
          <w:bCs/>
        </w:rPr>
        <w:t>4.1</w:t>
      </w:r>
      <w:r>
        <w:rPr>
          <w:b/>
          <w:bCs/>
        </w:rPr>
        <w:tab/>
        <w:t>Documents with DOA language</w:t>
      </w:r>
    </w:p>
    <w:p w:rsidR="002D3FF2" w:rsidRDefault="002D3FF2" w:rsidP="002D3FF2">
      <w:r>
        <w:t>Due to lack of time, the COM4 Plenary was not able to resolve the issues and to take a decision on the proposals in the following documents that contain language referring to DOA and the handle system.</w:t>
      </w:r>
    </w:p>
    <w:p w:rsidR="002D3FF2" w:rsidRDefault="002D3FF2" w:rsidP="002D3FF2">
      <w:pPr>
        <w:pStyle w:val="Normalbeforetable"/>
      </w:pPr>
      <w:r>
        <w:t>The Plenary is requested to take appropriate actions.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1"/>
        <w:gridCol w:w="5054"/>
        <w:gridCol w:w="2527"/>
      </w:tblGrid>
      <w:tr w:rsidR="002D3FF2" w:rsidRPr="002D3FF2" w:rsidTr="008264EE">
        <w:trPr>
          <w:tblHeader/>
          <w:jc w:val="center"/>
        </w:trPr>
        <w:tc>
          <w:tcPr>
            <w:tcW w:w="2011" w:type="dxa"/>
            <w:tcBorders>
              <w:top w:val="single" w:sz="12" w:space="0" w:color="auto"/>
              <w:bottom w:val="single" w:sz="12" w:space="0" w:color="auto"/>
            </w:tcBorders>
            <w:shd w:val="clear" w:color="auto" w:fill="auto"/>
            <w:tcMar>
              <w:top w:w="0" w:type="dxa"/>
              <w:left w:w="108" w:type="dxa"/>
              <w:bottom w:w="0" w:type="dxa"/>
              <w:right w:w="108" w:type="dxa"/>
            </w:tcMar>
            <w:hideMark/>
          </w:tcPr>
          <w:p w:rsidR="002D3FF2" w:rsidRPr="002D3FF2" w:rsidRDefault="002D3FF2" w:rsidP="002D3FF2">
            <w:pPr>
              <w:pStyle w:val="Tablehead"/>
            </w:pPr>
            <w:r w:rsidRPr="002D3FF2">
              <w:t>Number</w:t>
            </w:r>
          </w:p>
        </w:tc>
        <w:tc>
          <w:tcPr>
            <w:tcW w:w="5054" w:type="dxa"/>
            <w:tcBorders>
              <w:top w:val="single" w:sz="12" w:space="0" w:color="auto"/>
              <w:bottom w:val="single" w:sz="12" w:space="0" w:color="auto"/>
            </w:tcBorders>
            <w:shd w:val="clear" w:color="auto" w:fill="auto"/>
            <w:tcMar>
              <w:top w:w="0" w:type="dxa"/>
              <w:left w:w="108" w:type="dxa"/>
              <w:bottom w:w="0" w:type="dxa"/>
              <w:right w:w="108" w:type="dxa"/>
            </w:tcMar>
            <w:hideMark/>
          </w:tcPr>
          <w:p w:rsidR="002D3FF2" w:rsidRPr="002D3FF2" w:rsidRDefault="002D3FF2" w:rsidP="002D3FF2">
            <w:pPr>
              <w:pStyle w:val="Tablehead"/>
            </w:pPr>
            <w:r w:rsidRPr="002D3FF2">
              <w:t>Title</w:t>
            </w:r>
          </w:p>
        </w:tc>
        <w:tc>
          <w:tcPr>
            <w:tcW w:w="2527" w:type="dxa"/>
            <w:tcBorders>
              <w:top w:val="single" w:sz="12" w:space="0" w:color="auto"/>
              <w:bottom w:val="single" w:sz="12" w:space="0" w:color="auto"/>
            </w:tcBorders>
            <w:shd w:val="clear" w:color="auto" w:fill="auto"/>
            <w:tcMar>
              <w:top w:w="0" w:type="dxa"/>
              <w:left w:w="108" w:type="dxa"/>
              <w:bottom w:w="0" w:type="dxa"/>
              <w:right w:w="108" w:type="dxa"/>
            </w:tcMar>
            <w:hideMark/>
          </w:tcPr>
          <w:p w:rsidR="002D3FF2" w:rsidRPr="002D3FF2" w:rsidRDefault="002D3FF2" w:rsidP="002D3FF2">
            <w:pPr>
              <w:pStyle w:val="Tablehead"/>
            </w:pPr>
            <w:r w:rsidRPr="002D3FF2">
              <w:t>Reference</w:t>
            </w:r>
          </w:p>
        </w:tc>
      </w:tr>
      <w:tr w:rsidR="002D3FF2" w:rsidRPr="002D3FF2" w:rsidTr="008264EE">
        <w:trPr>
          <w:jc w:val="center"/>
        </w:trPr>
        <w:tc>
          <w:tcPr>
            <w:tcW w:w="2011" w:type="dxa"/>
            <w:shd w:val="clear" w:color="auto" w:fill="auto"/>
            <w:tcMar>
              <w:top w:w="0" w:type="dxa"/>
              <w:left w:w="108" w:type="dxa"/>
              <w:bottom w:w="0" w:type="dxa"/>
              <w:right w:w="108" w:type="dxa"/>
            </w:tcMar>
          </w:tcPr>
          <w:p w:rsidR="002D3FF2" w:rsidRPr="002D3FF2" w:rsidRDefault="002D3FF2" w:rsidP="002D3FF2">
            <w:pPr>
              <w:pStyle w:val="Tabletext"/>
            </w:pPr>
            <w:r w:rsidRPr="002D3FF2">
              <w:t>Res [MOB-THEFT]</w:t>
            </w:r>
          </w:p>
        </w:tc>
        <w:tc>
          <w:tcPr>
            <w:tcW w:w="5054" w:type="dxa"/>
            <w:shd w:val="clear" w:color="auto" w:fill="auto"/>
            <w:tcMar>
              <w:top w:w="0" w:type="dxa"/>
              <w:left w:w="108" w:type="dxa"/>
              <w:bottom w:w="0" w:type="dxa"/>
              <w:right w:w="108" w:type="dxa"/>
            </w:tcMar>
          </w:tcPr>
          <w:p w:rsidR="002D3FF2" w:rsidRPr="002D3FF2" w:rsidRDefault="002D3FF2" w:rsidP="002D3FF2">
            <w:pPr>
              <w:pStyle w:val="Tabletext"/>
            </w:pPr>
            <w:r w:rsidRPr="002D3FF2">
              <w:t>Countering mobile device theft using advanced information and communication technologies</w:t>
            </w:r>
          </w:p>
        </w:tc>
        <w:tc>
          <w:tcPr>
            <w:tcW w:w="2527" w:type="dxa"/>
            <w:shd w:val="clear" w:color="auto" w:fill="auto"/>
            <w:tcMar>
              <w:top w:w="0" w:type="dxa"/>
              <w:left w:w="108" w:type="dxa"/>
              <w:bottom w:w="0" w:type="dxa"/>
              <w:right w:w="108" w:type="dxa"/>
            </w:tcMar>
          </w:tcPr>
          <w:p w:rsidR="002D3FF2" w:rsidRPr="002D3FF2" w:rsidRDefault="002D3FF2" w:rsidP="002D3FF2">
            <w:pPr>
              <w:pStyle w:val="Tabletext"/>
            </w:pPr>
            <w:r w:rsidRPr="002D3FF2">
              <w:t xml:space="preserve">Doc </w:t>
            </w:r>
            <w:hyperlink r:id="rId61" w:history="1">
              <w:r w:rsidRPr="00D67300">
                <w:rPr>
                  <w:rStyle w:val="Hyperlink"/>
                </w:rPr>
                <w:t>108</w:t>
              </w:r>
            </w:hyperlink>
          </w:p>
        </w:tc>
      </w:tr>
      <w:tr w:rsidR="002D3FF2" w:rsidRPr="002D3FF2" w:rsidTr="008264EE">
        <w:trPr>
          <w:trHeight w:val="650"/>
          <w:jc w:val="center"/>
        </w:trPr>
        <w:tc>
          <w:tcPr>
            <w:tcW w:w="2011" w:type="dxa"/>
            <w:shd w:val="clear" w:color="auto" w:fill="auto"/>
            <w:tcMar>
              <w:top w:w="0" w:type="dxa"/>
              <w:left w:w="108" w:type="dxa"/>
              <w:bottom w:w="0" w:type="dxa"/>
              <w:right w:w="108" w:type="dxa"/>
            </w:tcMar>
          </w:tcPr>
          <w:p w:rsidR="002D3FF2" w:rsidRPr="002D3FF2" w:rsidRDefault="002D3FF2" w:rsidP="002D3FF2">
            <w:pPr>
              <w:pStyle w:val="Tabletext"/>
            </w:pPr>
            <w:r w:rsidRPr="002D3FF2">
              <w:t>Res [COUNTERF]</w:t>
            </w:r>
          </w:p>
        </w:tc>
        <w:tc>
          <w:tcPr>
            <w:tcW w:w="5054" w:type="dxa"/>
            <w:shd w:val="clear" w:color="auto" w:fill="auto"/>
            <w:tcMar>
              <w:top w:w="0" w:type="dxa"/>
              <w:left w:w="108" w:type="dxa"/>
              <w:bottom w:w="0" w:type="dxa"/>
              <w:right w:w="108" w:type="dxa"/>
            </w:tcMar>
          </w:tcPr>
          <w:p w:rsidR="002D3FF2" w:rsidRPr="002D3FF2" w:rsidRDefault="008264EE" w:rsidP="002D3FF2">
            <w:pPr>
              <w:pStyle w:val="Tabletext"/>
            </w:pPr>
            <w:r>
              <w:t>I</w:t>
            </w:r>
            <w:r w:rsidR="002D3FF2" w:rsidRPr="002D3FF2">
              <w:t>TU-T studies for combating counterfeit telecommunication/ICT devices</w:t>
            </w:r>
          </w:p>
        </w:tc>
        <w:tc>
          <w:tcPr>
            <w:tcW w:w="2527" w:type="dxa"/>
            <w:shd w:val="clear" w:color="auto" w:fill="auto"/>
            <w:tcMar>
              <w:top w:w="0" w:type="dxa"/>
              <w:left w:w="108" w:type="dxa"/>
              <w:bottom w:w="0" w:type="dxa"/>
              <w:right w:w="108" w:type="dxa"/>
            </w:tcMar>
          </w:tcPr>
          <w:p w:rsidR="002D3FF2" w:rsidRPr="002D3FF2" w:rsidRDefault="002D3FF2" w:rsidP="00E22DE2">
            <w:pPr>
              <w:pStyle w:val="Tabletext"/>
            </w:pPr>
            <w:r w:rsidRPr="002D3FF2">
              <w:t xml:space="preserve">Doc </w:t>
            </w:r>
            <w:hyperlink r:id="rId62" w:history="1">
              <w:r w:rsidRPr="00D67300">
                <w:rPr>
                  <w:rStyle w:val="Hyperlink"/>
                </w:rPr>
                <w:t>107</w:t>
              </w:r>
            </w:hyperlink>
          </w:p>
        </w:tc>
      </w:tr>
      <w:tr w:rsidR="002D3FF2" w:rsidRPr="002D3FF2" w:rsidTr="008264EE">
        <w:trPr>
          <w:jc w:val="center"/>
        </w:trPr>
        <w:tc>
          <w:tcPr>
            <w:tcW w:w="2011" w:type="dxa"/>
            <w:shd w:val="clear" w:color="auto" w:fill="auto"/>
            <w:tcMar>
              <w:top w:w="0" w:type="dxa"/>
              <w:left w:w="108" w:type="dxa"/>
              <w:bottom w:w="0" w:type="dxa"/>
              <w:right w:w="108" w:type="dxa"/>
            </w:tcMar>
          </w:tcPr>
          <w:p w:rsidR="002D3FF2" w:rsidRPr="002D3FF2" w:rsidRDefault="002D3FF2" w:rsidP="002D3FF2">
            <w:pPr>
              <w:pStyle w:val="Tabletext"/>
            </w:pPr>
            <w:r w:rsidRPr="002D3FF2">
              <w:t>Resolution 78</w:t>
            </w:r>
          </w:p>
        </w:tc>
        <w:tc>
          <w:tcPr>
            <w:tcW w:w="5054" w:type="dxa"/>
            <w:shd w:val="clear" w:color="auto" w:fill="auto"/>
            <w:tcMar>
              <w:top w:w="0" w:type="dxa"/>
              <w:left w:w="108" w:type="dxa"/>
              <w:bottom w:w="0" w:type="dxa"/>
              <w:right w:w="108" w:type="dxa"/>
            </w:tcMar>
          </w:tcPr>
          <w:p w:rsidR="002D3FF2" w:rsidRPr="002D3FF2" w:rsidRDefault="002D3FF2" w:rsidP="002D3FF2">
            <w:pPr>
              <w:pStyle w:val="Tabletext"/>
            </w:pPr>
            <w:r w:rsidRPr="002D3FF2">
              <w:t>Information and communication technology applications and standards for improved access to e-health services</w:t>
            </w:r>
          </w:p>
        </w:tc>
        <w:tc>
          <w:tcPr>
            <w:tcW w:w="2527" w:type="dxa"/>
            <w:shd w:val="clear" w:color="auto" w:fill="auto"/>
            <w:tcMar>
              <w:top w:w="0" w:type="dxa"/>
              <w:left w:w="108" w:type="dxa"/>
              <w:bottom w:w="0" w:type="dxa"/>
              <w:right w:w="108" w:type="dxa"/>
            </w:tcMar>
          </w:tcPr>
          <w:p w:rsidR="002D3FF2" w:rsidRPr="002D3FF2" w:rsidRDefault="002D3FF2" w:rsidP="00E22DE2">
            <w:pPr>
              <w:pStyle w:val="Tabletext"/>
            </w:pPr>
            <w:r w:rsidRPr="002D3FF2">
              <w:t xml:space="preserve">Doc </w:t>
            </w:r>
            <w:hyperlink r:id="rId63" w:history="1">
              <w:r w:rsidRPr="00D67300">
                <w:rPr>
                  <w:rStyle w:val="Hyperlink"/>
                </w:rPr>
                <w:t>106</w:t>
              </w:r>
            </w:hyperlink>
          </w:p>
        </w:tc>
      </w:tr>
      <w:tr w:rsidR="002D3FF2" w:rsidRPr="002D3FF2" w:rsidTr="008264EE">
        <w:trPr>
          <w:jc w:val="center"/>
        </w:trPr>
        <w:tc>
          <w:tcPr>
            <w:tcW w:w="2011" w:type="dxa"/>
            <w:shd w:val="clear" w:color="auto" w:fill="auto"/>
            <w:tcMar>
              <w:top w:w="0" w:type="dxa"/>
              <w:left w:w="108" w:type="dxa"/>
              <w:bottom w:w="0" w:type="dxa"/>
              <w:right w:w="108" w:type="dxa"/>
            </w:tcMar>
          </w:tcPr>
          <w:p w:rsidR="002D3FF2" w:rsidRPr="002D3FF2" w:rsidRDefault="002D3FF2" w:rsidP="002D3FF2">
            <w:pPr>
              <w:pStyle w:val="Tabletext"/>
            </w:pPr>
            <w:r w:rsidRPr="002D3FF2">
              <w:lastRenderedPageBreak/>
              <w:t>Resolution 60</w:t>
            </w:r>
          </w:p>
        </w:tc>
        <w:tc>
          <w:tcPr>
            <w:tcW w:w="5054" w:type="dxa"/>
            <w:shd w:val="clear" w:color="auto" w:fill="auto"/>
            <w:tcMar>
              <w:top w:w="0" w:type="dxa"/>
              <w:left w:w="108" w:type="dxa"/>
              <w:bottom w:w="0" w:type="dxa"/>
              <w:right w:w="108" w:type="dxa"/>
            </w:tcMar>
          </w:tcPr>
          <w:p w:rsidR="002D3FF2" w:rsidRPr="002D3FF2" w:rsidRDefault="002D3FF2" w:rsidP="002D3FF2">
            <w:pPr>
              <w:pStyle w:val="Tabletext"/>
            </w:pPr>
            <w:r w:rsidRPr="002D3FF2">
              <w:t>The evolution of the identification and numbering systems to meet the emerging technological trends including Internet of Things (</w:t>
            </w:r>
            <w:proofErr w:type="spellStart"/>
            <w:r w:rsidRPr="002D3FF2">
              <w:t>IoT</w:t>
            </w:r>
            <w:proofErr w:type="spellEnd"/>
            <w:r w:rsidRPr="002D3FF2">
              <w:t>)</w:t>
            </w:r>
          </w:p>
        </w:tc>
        <w:tc>
          <w:tcPr>
            <w:tcW w:w="2527" w:type="dxa"/>
            <w:shd w:val="clear" w:color="auto" w:fill="auto"/>
            <w:tcMar>
              <w:top w:w="0" w:type="dxa"/>
              <w:left w:w="108" w:type="dxa"/>
              <w:bottom w:w="0" w:type="dxa"/>
              <w:right w:w="108" w:type="dxa"/>
            </w:tcMar>
          </w:tcPr>
          <w:p w:rsidR="002D3FF2" w:rsidRPr="002D3FF2" w:rsidRDefault="002D3FF2" w:rsidP="00E22DE2">
            <w:pPr>
              <w:pStyle w:val="Tabletext"/>
            </w:pPr>
            <w:r w:rsidRPr="002D3FF2">
              <w:t xml:space="preserve">Doc </w:t>
            </w:r>
            <w:hyperlink r:id="rId64" w:history="1">
              <w:r w:rsidRPr="00D67300">
                <w:rPr>
                  <w:rStyle w:val="Hyperlink"/>
                </w:rPr>
                <w:t>105</w:t>
              </w:r>
            </w:hyperlink>
          </w:p>
        </w:tc>
      </w:tr>
      <w:tr w:rsidR="002D3FF2" w:rsidRPr="002D3FF2" w:rsidTr="008264EE">
        <w:trPr>
          <w:jc w:val="center"/>
        </w:trPr>
        <w:tc>
          <w:tcPr>
            <w:tcW w:w="2011" w:type="dxa"/>
            <w:shd w:val="clear" w:color="auto" w:fill="auto"/>
            <w:tcMar>
              <w:top w:w="0" w:type="dxa"/>
              <w:left w:w="108" w:type="dxa"/>
              <w:bottom w:w="0" w:type="dxa"/>
              <w:right w:w="108" w:type="dxa"/>
            </w:tcMar>
          </w:tcPr>
          <w:p w:rsidR="002D3FF2" w:rsidRPr="002D3FF2" w:rsidRDefault="002D3FF2" w:rsidP="002D3FF2">
            <w:pPr>
              <w:pStyle w:val="Tabletext"/>
            </w:pPr>
            <w:r w:rsidRPr="002D3FF2">
              <w:t>Resolution 50</w:t>
            </w:r>
          </w:p>
        </w:tc>
        <w:tc>
          <w:tcPr>
            <w:tcW w:w="5054" w:type="dxa"/>
            <w:shd w:val="clear" w:color="auto" w:fill="auto"/>
            <w:tcMar>
              <w:top w:w="0" w:type="dxa"/>
              <w:left w:w="108" w:type="dxa"/>
              <w:bottom w:w="0" w:type="dxa"/>
              <w:right w:w="108" w:type="dxa"/>
            </w:tcMar>
          </w:tcPr>
          <w:p w:rsidR="002D3FF2" w:rsidRPr="002D3FF2" w:rsidRDefault="002D3FF2" w:rsidP="002D3FF2">
            <w:pPr>
              <w:pStyle w:val="Tabletext"/>
            </w:pPr>
            <w:r w:rsidRPr="002D3FF2">
              <w:t>Cybersecurity</w:t>
            </w:r>
          </w:p>
        </w:tc>
        <w:tc>
          <w:tcPr>
            <w:tcW w:w="2527" w:type="dxa"/>
            <w:shd w:val="clear" w:color="auto" w:fill="auto"/>
            <w:tcMar>
              <w:top w:w="0" w:type="dxa"/>
              <w:left w:w="108" w:type="dxa"/>
              <w:bottom w:w="0" w:type="dxa"/>
              <w:right w:w="108" w:type="dxa"/>
            </w:tcMar>
          </w:tcPr>
          <w:p w:rsidR="002D3FF2" w:rsidRPr="002D3FF2" w:rsidRDefault="002D3FF2" w:rsidP="002D3FF2">
            <w:pPr>
              <w:pStyle w:val="Tabletext"/>
            </w:pPr>
            <w:r w:rsidRPr="002D3FF2">
              <w:t xml:space="preserve">Doc </w:t>
            </w:r>
            <w:hyperlink r:id="rId65" w:history="1">
              <w:r w:rsidRPr="00D67300">
                <w:rPr>
                  <w:rStyle w:val="Hyperlink"/>
                </w:rPr>
                <w:t>104</w:t>
              </w:r>
            </w:hyperlink>
          </w:p>
        </w:tc>
      </w:tr>
    </w:tbl>
    <w:p w:rsidR="002D3FF2" w:rsidRDefault="008264EE" w:rsidP="00F538B9">
      <w:pPr>
        <w:spacing w:before="40"/>
      </w:pPr>
      <w:r>
        <w:t xml:space="preserve">* </w:t>
      </w:r>
      <w:r w:rsidR="00035629">
        <w:t>Available soon.</w:t>
      </w:r>
    </w:p>
    <w:p w:rsidR="002D3FF2" w:rsidRDefault="002D3FF2" w:rsidP="002D3FF2">
      <w:pPr>
        <w:rPr>
          <w:b/>
          <w:bCs/>
        </w:rPr>
      </w:pPr>
      <w:r>
        <w:rPr>
          <w:b/>
          <w:bCs/>
        </w:rPr>
        <w:t>4.2</w:t>
      </w:r>
      <w:r>
        <w:rPr>
          <w:b/>
          <w:bCs/>
        </w:rPr>
        <w:tab/>
        <w:t>Instructs in revised Resolution 52</w:t>
      </w:r>
    </w:p>
    <w:p w:rsidR="0064730B" w:rsidRDefault="0064730B" w:rsidP="00F538B9">
      <w:r>
        <w:t xml:space="preserve">COM4 tried to resolve the square bracket in draft revised </w:t>
      </w:r>
      <w:r w:rsidR="008264EE" w:rsidRPr="002D3FF2">
        <w:t>Resolution 52 "Countering and combating spam"</w:t>
      </w:r>
      <w:r w:rsidR="008264EE">
        <w:t xml:space="preserve"> as found in </w:t>
      </w:r>
      <w:r w:rsidR="008264EE" w:rsidRPr="002D3FF2">
        <w:t xml:space="preserve">Doc. </w:t>
      </w:r>
      <w:hyperlink r:id="rId66" w:history="1">
        <w:r w:rsidR="008264EE" w:rsidRPr="002D3FF2">
          <w:rPr>
            <w:rStyle w:val="Hyperlink"/>
          </w:rPr>
          <w:t>112</w:t>
        </w:r>
      </w:hyperlink>
      <w:r w:rsidR="008264EE">
        <w:t xml:space="preserve">, </w:t>
      </w:r>
      <w:r>
        <w:t>but was unable to arrive at an agreement. Consequently, the document is forwarded to the plenary. The Plenary is requested to take appropriate actions.</w:t>
      </w:r>
    </w:p>
    <w:p w:rsidR="002D3FF2" w:rsidRDefault="0064730B" w:rsidP="002D3FF2">
      <w:pPr>
        <w:rPr>
          <w:b/>
          <w:bCs/>
        </w:rPr>
      </w:pPr>
      <w:r>
        <w:rPr>
          <w:b/>
          <w:bCs/>
        </w:rPr>
        <w:t>4.3</w:t>
      </w:r>
      <w:r w:rsidR="002D3FF2">
        <w:rPr>
          <w:b/>
          <w:bCs/>
        </w:rPr>
        <w:tab/>
        <w:t xml:space="preserve">Open source </w:t>
      </w:r>
    </w:p>
    <w:p w:rsidR="0064730B" w:rsidRDefault="0064730B" w:rsidP="0064730B">
      <w:pPr>
        <w:pStyle w:val="Normalbeforetable"/>
      </w:pPr>
      <w:r>
        <w:t>COM4 was not able to reach an agreement on the text of proposed new Resolution [</w:t>
      </w:r>
      <w:r w:rsidRPr="002D3FF2">
        <w:t>ARB-5</w:t>
      </w:r>
      <w:r>
        <w:t>]</w:t>
      </w:r>
      <w:r w:rsidRPr="002D3FF2">
        <w:t xml:space="preserve"> "Enable Open Source as a Work </w:t>
      </w:r>
      <w:r w:rsidRPr="0064730B">
        <w:t>Methodology</w:t>
      </w:r>
      <w:r w:rsidRPr="002D3FF2">
        <w:t xml:space="preserve"> in ITU-T"</w:t>
      </w:r>
      <w:r>
        <w:t xml:space="preserve">, as found in </w:t>
      </w:r>
      <w:r w:rsidRPr="002D3FF2">
        <w:t xml:space="preserve">Doc. </w:t>
      </w:r>
      <w:hyperlink r:id="rId67" w:history="1">
        <w:r w:rsidRPr="002D3FF2">
          <w:rPr>
            <w:rStyle w:val="Hyperlink"/>
          </w:rPr>
          <w:t>114</w:t>
        </w:r>
      </w:hyperlink>
      <w:r>
        <w:t>. Consequently, the document is forwarded to the plenary, which is requested to take appropriate actions.</w:t>
      </w:r>
    </w:p>
    <w:p w:rsidR="0064730B" w:rsidRDefault="0064730B" w:rsidP="0064730B">
      <w:pPr>
        <w:rPr>
          <w:b/>
          <w:bCs/>
        </w:rPr>
      </w:pPr>
      <w:r>
        <w:rPr>
          <w:b/>
          <w:bCs/>
        </w:rPr>
        <w:t>4.4</w:t>
      </w:r>
      <w:r>
        <w:rPr>
          <w:b/>
          <w:bCs/>
        </w:rPr>
        <w:tab/>
        <w:t>OTT</w:t>
      </w:r>
    </w:p>
    <w:p w:rsidR="0064730B" w:rsidRDefault="0064730B" w:rsidP="0064730B">
      <w:r>
        <w:t>COM4 was not able to reach an agreement on the five square brackets in proposed new Resolution [</w:t>
      </w:r>
      <w:r w:rsidRPr="002D3FF2">
        <w:t>AFCP-3] "On-line services for voice and messaging that require access to international public telecommunication numbering resources"</w:t>
      </w:r>
      <w:r>
        <w:t xml:space="preserve">, as found in </w:t>
      </w:r>
      <w:r w:rsidRPr="002D3FF2">
        <w:t xml:space="preserve">Doc. </w:t>
      </w:r>
      <w:hyperlink r:id="rId68" w:history="1">
        <w:r w:rsidRPr="002D3FF2">
          <w:rPr>
            <w:rStyle w:val="Hyperlink"/>
          </w:rPr>
          <w:t>110</w:t>
        </w:r>
      </w:hyperlink>
      <w:r>
        <w:t>. The text under dispute is the same as the title of the resolution.</w:t>
      </w:r>
    </w:p>
    <w:p w:rsidR="0064730B" w:rsidRPr="0064730B" w:rsidRDefault="0064730B" w:rsidP="0064730B">
      <w:r>
        <w:t xml:space="preserve">COM4 did not discuss draft revised </w:t>
      </w:r>
      <w:r w:rsidRPr="002D3FF2">
        <w:t>Resolution 29</w:t>
      </w:r>
      <w:r>
        <w:t xml:space="preserve"> </w:t>
      </w:r>
      <w:r w:rsidRPr="002D3FF2">
        <w:t>"Alternative calling procedures on international telecommunication networks</w:t>
      </w:r>
      <w:r>
        <w:t xml:space="preserve">" as found in </w:t>
      </w:r>
      <w:hyperlink r:id="rId69" w:history="1">
        <w:r w:rsidRPr="002D3FF2">
          <w:rPr>
            <w:rStyle w:val="Hyperlink"/>
          </w:rPr>
          <w:t>111</w:t>
        </w:r>
      </w:hyperlink>
      <w:r>
        <w:t>, since it is dependent on the resolution of the issues in Resolution [AFCP-3].</w:t>
      </w:r>
    </w:p>
    <w:p w:rsidR="0064730B" w:rsidRDefault="0064730B" w:rsidP="0064730B">
      <w:r>
        <w:t>Consequently, the document is forwarded to the plenary, which is requested to take appropriate actions for both documents.</w:t>
      </w:r>
    </w:p>
    <w:p w:rsidR="0064730B" w:rsidRDefault="0064730B" w:rsidP="0064730B">
      <w:pPr>
        <w:pStyle w:val="Heading2"/>
      </w:pPr>
      <w:r>
        <w:t>4.5</w:t>
      </w:r>
      <w:r>
        <w:tab/>
        <w:t xml:space="preserve">Resolution on </w:t>
      </w:r>
      <w:r w:rsidRPr="002D3FF2">
        <w:t>data privacy and trust in ICT infrastructures and services</w:t>
      </w:r>
    </w:p>
    <w:p w:rsidR="008264EE" w:rsidRDefault="0064730B" w:rsidP="003F51BA">
      <w:r>
        <w:t xml:space="preserve">Due to lack of time, the COM4 Plenary was not able to </w:t>
      </w:r>
      <w:r w:rsidR="008264EE">
        <w:t xml:space="preserve">review the draft </w:t>
      </w:r>
      <w:r w:rsidR="008264EE" w:rsidRPr="002D3FF2">
        <w:t xml:space="preserve">new Resolution [ARB-6] </w:t>
      </w:r>
      <w:r w:rsidR="003F51BA">
        <w:t>–</w:t>
      </w:r>
      <w:r w:rsidR="008264EE" w:rsidRPr="002D3FF2">
        <w:t xml:space="preserve"> </w:t>
      </w:r>
      <w:r w:rsidR="003F51BA">
        <w:t>“</w:t>
      </w:r>
      <w:r w:rsidR="008264EE" w:rsidRPr="002D3FF2">
        <w:t>Strengthening the role of ITU-T in ensuring data privacy and trust in ICT infrastructures and services</w:t>
      </w:r>
      <w:r w:rsidR="003F51BA">
        <w:t>”</w:t>
      </w:r>
      <w:r w:rsidR="008264EE">
        <w:t xml:space="preserve"> that had been developed in WG4A. The latest version is found in </w:t>
      </w:r>
      <w:r w:rsidR="008264EE" w:rsidRPr="002D3FF2">
        <w:t xml:space="preserve">Doc </w:t>
      </w:r>
      <w:hyperlink r:id="rId70" w:history="1">
        <w:r w:rsidR="008264EE" w:rsidRPr="002D3FF2">
          <w:rPr>
            <w:rStyle w:val="Hyperlink"/>
          </w:rPr>
          <w:t>113</w:t>
        </w:r>
      </w:hyperlink>
      <w:r w:rsidR="008264EE">
        <w:t>, and the plenary is requested to take appropriate actions.</w:t>
      </w:r>
    </w:p>
    <w:p w:rsidR="002D3FF2" w:rsidRDefault="002D3FF2" w:rsidP="002D3FF2"/>
    <w:p w:rsidR="00CC3197" w:rsidRDefault="00CC3197">
      <w:pPr>
        <w:tabs>
          <w:tab w:val="clear" w:pos="851"/>
        </w:tabs>
        <w:spacing w:before="0"/>
      </w:pPr>
      <w:r>
        <w:br w:type="page"/>
      </w:r>
    </w:p>
    <w:p w:rsidR="00135291" w:rsidRPr="003E0368" w:rsidRDefault="00135291" w:rsidP="00135291">
      <w:pPr>
        <w:pStyle w:val="Headingb"/>
      </w:pPr>
      <w:r w:rsidRPr="003E0368">
        <w:lastRenderedPageBreak/>
        <w:t>Acknowledgments</w:t>
      </w:r>
    </w:p>
    <w:p w:rsidR="00CB7729" w:rsidRPr="003E0368" w:rsidRDefault="00417FF3" w:rsidP="0003235A">
      <w:pPr>
        <w:pStyle w:val="Normalbeforetable"/>
      </w:pPr>
      <w:r w:rsidRPr="003E0368">
        <w:t xml:space="preserve">Committee </w:t>
      </w:r>
      <w:r w:rsidR="00135291" w:rsidRPr="003E0368">
        <w:t>4 Chairman</w:t>
      </w:r>
      <w:r w:rsidR="00CC46B8">
        <w:t>, Mr</w:t>
      </w:r>
      <w:r w:rsidR="005E2989" w:rsidRPr="003E0368">
        <w:t xml:space="preserve"> </w:t>
      </w:r>
      <w:r w:rsidR="00CC46B8" w:rsidRPr="003E0368">
        <w:t xml:space="preserve">Kwame </w:t>
      </w:r>
      <w:proofErr w:type="spellStart"/>
      <w:r w:rsidR="00CC46B8" w:rsidRPr="003E0368">
        <w:t>Baah-Acheamfuor</w:t>
      </w:r>
      <w:proofErr w:type="spellEnd"/>
      <w:r w:rsidR="005E2989" w:rsidRPr="003E0368">
        <w:t>,</w:t>
      </w:r>
      <w:r w:rsidR="00135291" w:rsidRPr="003E0368">
        <w:t xml:space="preserve"> wishes to express his heartfelt thanks to all the contributor</w:t>
      </w:r>
      <w:r w:rsidR="00627F31" w:rsidRPr="003E0368">
        <w:t xml:space="preserve">s of documents allocated to </w:t>
      </w:r>
      <w:r w:rsidRPr="003E0368">
        <w:t xml:space="preserve">Committee </w:t>
      </w:r>
      <w:r w:rsidR="00135291" w:rsidRPr="003E0368">
        <w:t>4 and its participants</w:t>
      </w:r>
      <w:r w:rsidR="005C2818" w:rsidRPr="003E0368">
        <w:t xml:space="preserve"> and distinguished delegates</w:t>
      </w:r>
      <w:r w:rsidR="00135291" w:rsidRPr="003E0368">
        <w:t>, in particular</w:t>
      </w:r>
      <w:r w:rsidR="005C2818" w:rsidRPr="003E0368">
        <w:t>, the support and leadership of</w:t>
      </w:r>
      <w:r w:rsidR="00CC46B8">
        <w:t>:</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11"/>
        <w:gridCol w:w="4323"/>
      </w:tblGrid>
      <w:tr w:rsidR="0003235A" w:rsidRPr="00CC46B8" w:rsidTr="0003235A">
        <w:trPr>
          <w:trHeight w:val="315"/>
          <w:tblHeader/>
          <w:jc w:val="center"/>
        </w:trPr>
        <w:tc>
          <w:tcPr>
            <w:tcW w:w="5311" w:type="dxa"/>
            <w:tcBorders>
              <w:top w:val="single" w:sz="12" w:space="0" w:color="auto"/>
              <w:bottom w:val="single" w:sz="12" w:space="0" w:color="auto"/>
            </w:tcBorders>
            <w:shd w:val="clear" w:color="auto" w:fill="auto"/>
            <w:noWrap/>
            <w:vAlign w:val="center"/>
            <w:hideMark/>
          </w:tcPr>
          <w:p w:rsidR="00CC46B8" w:rsidRPr="00CC46B8" w:rsidRDefault="00CC46B8" w:rsidP="0003235A">
            <w:pPr>
              <w:pStyle w:val="Tablehead"/>
            </w:pPr>
            <w:r w:rsidRPr="00CC46B8">
              <w:t>Ad hoc group/ Drafting Group/ Informal consultation</w:t>
            </w:r>
          </w:p>
        </w:tc>
        <w:tc>
          <w:tcPr>
            <w:tcW w:w="4323" w:type="dxa"/>
            <w:tcBorders>
              <w:top w:val="single" w:sz="12" w:space="0" w:color="auto"/>
              <w:bottom w:val="single" w:sz="12" w:space="0" w:color="auto"/>
            </w:tcBorders>
            <w:shd w:val="clear" w:color="auto" w:fill="auto"/>
            <w:noWrap/>
            <w:vAlign w:val="center"/>
            <w:hideMark/>
          </w:tcPr>
          <w:p w:rsidR="00CC46B8" w:rsidRPr="00CC46B8" w:rsidRDefault="00CC46B8" w:rsidP="0003235A">
            <w:pPr>
              <w:pStyle w:val="Tablehead"/>
            </w:pPr>
            <w:r w:rsidRPr="00CC46B8">
              <w:t>Chairman/Convener/Focal Point</w:t>
            </w:r>
          </w:p>
        </w:tc>
      </w:tr>
      <w:tr w:rsidR="00CC46B8" w:rsidRPr="00CC46B8" w:rsidTr="0003235A">
        <w:trPr>
          <w:trHeight w:val="600"/>
          <w:jc w:val="center"/>
        </w:trPr>
        <w:tc>
          <w:tcPr>
            <w:tcW w:w="5311" w:type="dxa"/>
            <w:tcBorders>
              <w:top w:val="single" w:sz="12" w:space="0" w:color="auto"/>
            </w:tcBorders>
            <w:shd w:val="clear" w:color="auto" w:fill="auto"/>
            <w:hideMark/>
          </w:tcPr>
          <w:p w:rsidR="00CC46B8" w:rsidRPr="00CC46B8" w:rsidRDefault="00CC46B8" w:rsidP="0003235A">
            <w:pPr>
              <w:pStyle w:val="Tabletext"/>
            </w:pPr>
            <w:r w:rsidRPr="00CC46B8">
              <w:t>Ad hoc group on Allocation of block of work - Management work (WP2/2)</w:t>
            </w:r>
          </w:p>
        </w:tc>
        <w:tc>
          <w:tcPr>
            <w:tcW w:w="4323" w:type="dxa"/>
            <w:tcBorders>
              <w:top w:val="single" w:sz="12" w:space="0" w:color="auto"/>
            </w:tcBorders>
            <w:shd w:val="clear" w:color="auto" w:fill="auto"/>
            <w:hideMark/>
          </w:tcPr>
          <w:p w:rsidR="00CC46B8" w:rsidRPr="00CC46B8" w:rsidRDefault="00CC46B8" w:rsidP="0003235A">
            <w:pPr>
              <w:pStyle w:val="Tabletext"/>
            </w:pPr>
            <w:r w:rsidRPr="00CC46B8">
              <w:t>Mr Leo Lehmann (Switzerland) and Mr Sherif Guinena (Egypt)</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Ad hoc group on IMT related resolutions: New Res. APT-1, New Res. RCC-5, Res. 49</w:t>
            </w:r>
          </w:p>
        </w:tc>
        <w:tc>
          <w:tcPr>
            <w:tcW w:w="4323" w:type="dxa"/>
            <w:shd w:val="clear" w:color="auto" w:fill="auto"/>
            <w:hideMark/>
          </w:tcPr>
          <w:p w:rsidR="00CC46B8" w:rsidRPr="00CC46B8" w:rsidRDefault="00CC46B8" w:rsidP="0003235A">
            <w:pPr>
              <w:pStyle w:val="Tabletext"/>
            </w:pPr>
            <w:r w:rsidRPr="00CC46B8">
              <w:t xml:space="preserve">Mrs </w:t>
            </w:r>
            <w:proofErr w:type="spellStart"/>
            <w:r w:rsidRPr="00CC46B8">
              <w:t>Karima</w:t>
            </w:r>
            <w:proofErr w:type="spellEnd"/>
            <w:r w:rsidRPr="00CC46B8">
              <w:t xml:space="preserve"> </w:t>
            </w:r>
            <w:proofErr w:type="spellStart"/>
            <w:r w:rsidRPr="00CC46B8">
              <w:t>Mahmoudi</w:t>
            </w:r>
            <w:proofErr w:type="spellEnd"/>
            <w:r w:rsidRPr="00CC46B8">
              <w:t xml:space="preserve"> and Mrs </w:t>
            </w:r>
            <w:proofErr w:type="spellStart"/>
            <w:r w:rsidRPr="00CC46B8">
              <w:t>Jihene</w:t>
            </w:r>
            <w:proofErr w:type="spellEnd"/>
            <w:r w:rsidRPr="00CC46B8">
              <w:t xml:space="preserve"> Ben </w:t>
            </w:r>
            <w:proofErr w:type="spellStart"/>
            <w:r w:rsidRPr="00CC46B8">
              <w:t>Abderrazek</w:t>
            </w:r>
            <w:proofErr w:type="spellEnd"/>
            <w:r w:rsidRPr="00CC46B8">
              <w:t xml:space="preserve"> (Tunisia)</w:t>
            </w:r>
          </w:p>
        </w:tc>
      </w:tr>
      <w:tr w:rsidR="00CC46B8" w:rsidRPr="00CC46B8" w:rsidTr="0003235A">
        <w:trPr>
          <w:trHeight w:val="300"/>
          <w:jc w:val="center"/>
        </w:trPr>
        <w:tc>
          <w:tcPr>
            <w:tcW w:w="5311" w:type="dxa"/>
            <w:shd w:val="clear" w:color="auto" w:fill="auto"/>
            <w:hideMark/>
          </w:tcPr>
          <w:p w:rsidR="00CC46B8" w:rsidRPr="00CC46B8" w:rsidRDefault="00CC46B8" w:rsidP="0003235A">
            <w:pPr>
              <w:pStyle w:val="Tabletext"/>
            </w:pPr>
            <w:r w:rsidRPr="00CC46B8">
              <w:t>Ad hoc group on mandate and scope of SG3</w:t>
            </w:r>
          </w:p>
        </w:tc>
        <w:tc>
          <w:tcPr>
            <w:tcW w:w="4323" w:type="dxa"/>
            <w:shd w:val="clear" w:color="auto" w:fill="auto"/>
            <w:noWrap/>
            <w:hideMark/>
          </w:tcPr>
          <w:p w:rsidR="00CC46B8" w:rsidRPr="00CC46B8" w:rsidRDefault="00CC46B8" w:rsidP="0003235A">
            <w:pPr>
              <w:pStyle w:val="Tabletext"/>
            </w:pPr>
            <w:r w:rsidRPr="00CC46B8">
              <w:t xml:space="preserve">Mr </w:t>
            </w:r>
            <w:proofErr w:type="spellStart"/>
            <w:r w:rsidRPr="00CC46B8">
              <w:t>Lwando</w:t>
            </w:r>
            <w:proofErr w:type="spellEnd"/>
            <w:r w:rsidRPr="00CC46B8">
              <w:t xml:space="preserve"> </w:t>
            </w:r>
            <w:proofErr w:type="spellStart"/>
            <w:r w:rsidRPr="00CC46B8">
              <w:t>Bbuku</w:t>
            </w:r>
            <w:proofErr w:type="spellEnd"/>
            <w:r w:rsidRPr="00CC46B8">
              <w:t xml:space="preserve"> (Zambia)</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Ad hoc group on numbering resolutions: Res. 20, 29, 40, 60, 61, 65 and new Res. RCC-4</w:t>
            </w:r>
          </w:p>
        </w:tc>
        <w:tc>
          <w:tcPr>
            <w:tcW w:w="4323" w:type="dxa"/>
            <w:shd w:val="clear" w:color="auto" w:fill="auto"/>
            <w:hideMark/>
          </w:tcPr>
          <w:p w:rsidR="00CC46B8" w:rsidRPr="00CC46B8" w:rsidRDefault="00CC46B8" w:rsidP="0003235A">
            <w:pPr>
              <w:pStyle w:val="Tabletext"/>
            </w:pPr>
            <w:r w:rsidRPr="00CC46B8">
              <w:t>Mr Phil Rushton (UK)</w:t>
            </w:r>
          </w:p>
        </w:tc>
      </w:tr>
      <w:tr w:rsidR="00CC46B8" w:rsidRPr="00C03F44" w:rsidTr="0003235A">
        <w:trPr>
          <w:trHeight w:val="600"/>
          <w:jc w:val="center"/>
        </w:trPr>
        <w:tc>
          <w:tcPr>
            <w:tcW w:w="5311" w:type="dxa"/>
            <w:shd w:val="clear" w:color="auto" w:fill="auto"/>
            <w:hideMark/>
          </w:tcPr>
          <w:p w:rsidR="00CC46B8" w:rsidRPr="00CC46B8" w:rsidRDefault="00CC46B8" w:rsidP="0003235A">
            <w:pPr>
              <w:pStyle w:val="Tabletext"/>
            </w:pPr>
            <w:r w:rsidRPr="00CC46B8">
              <w:t>Ad hoc group on Resolution 2</w:t>
            </w:r>
          </w:p>
        </w:tc>
        <w:tc>
          <w:tcPr>
            <w:tcW w:w="4323" w:type="dxa"/>
            <w:shd w:val="clear" w:color="auto" w:fill="auto"/>
            <w:hideMark/>
          </w:tcPr>
          <w:p w:rsidR="00CC46B8" w:rsidRPr="00C8302F" w:rsidRDefault="00CC46B8" w:rsidP="0003235A">
            <w:pPr>
              <w:pStyle w:val="Tabletext"/>
              <w:rPr>
                <w:lang w:val="es-ES_tradnl"/>
              </w:rPr>
            </w:pPr>
            <w:r w:rsidRPr="00C8302F">
              <w:rPr>
                <w:lang w:val="es-ES_tradnl"/>
              </w:rPr>
              <w:t xml:space="preserve">Ms María Victoria Sukenik (Argentina) </w:t>
            </w:r>
          </w:p>
        </w:tc>
      </w:tr>
      <w:tr w:rsidR="00CC46B8" w:rsidRPr="00CC46B8" w:rsidTr="0003235A">
        <w:trPr>
          <w:trHeight w:val="300"/>
          <w:jc w:val="center"/>
        </w:trPr>
        <w:tc>
          <w:tcPr>
            <w:tcW w:w="5311" w:type="dxa"/>
            <w:shd w:val="clear" w:color="auto" w:fill="auto"/>
            <w:hideMark/>
          </w:tcPr>
          <w:p w:rsidR="00CC46B8" w:rsidRPr="00CC46B8" w:rsidRDefault="00CC46B8" w:rsidP="0003235A">
            <w:pPr>
              <w:pStyle w:val="Tabletext"/>
            </w:pPr>
            <w:r w:rsidRPr="00CC46B8">
              <w:t xml:space="preserve">Ad hoc group on SG20 matters related to </w:t>
            </w:r>
            <w:proofErr w:type="spellStart"/>
            <w:r w:rsidRPr="00CC46B8">
              <w:t>IoT</w:t>
            </w:r>
            <w:proofErr w:type="spellEnd"/>
            <w:r w:rsidRPr="00CC46B8">
              <w:t xml:space="preserve"> privacy, security and infrastructure</w:t>
            </w:r>
          </w:p>
        </w:tc>
        <w:tc>
          <w:tcPr>
            <w:tcW w:w="4323" w:type="dxa"/>
            <w:shd w:val="clear" w:color="auto" w:fill="auto"/>
            <w:hideMark/>
          </w:tcPr>
          <w:p w:rsidR="00CC46B8" w:rsidRPr="00CC46B8" w:rsidRDefault="00CC46B8" w:rsidP="0003235A">
            <w:pPr>
              <w:pStyle w:val="Tabletext"/>
            </w:pPr>
            <w:r w:rsidRPr="00CC46B8">
              <w:t>Mr Nilo Pasquali (Brazil)</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Ad hoc group on SG20 matters</w:t>
            </w:r>
          </w:p>
        </w:tc>
        <w:tc>
          <w:tcPr>
            <w:tcW w:w="4323" w:type="dxa"/>
            <w:shd w:val="clear" w:color="auto" w:fill="auto"/>
            <w:hideMark/>
          </w:tcPr>
          <w:p w:rsidR="00CC46B8" w:rsidRPr="00CC46B8" w:rsidRDefault="00CC46B8" w:rsidP="0003235A">
            <w:pPr>
              <w:pStyle w:val="Tabletext"/>
            </w:pPr>
            <w:r w:rsidRPr="00CC46B8">
              <w:t xml:space="preserve">Mr </w:t>
            </w:r>
            <w:proofErr w:type="spellStart"/>
            <w:r w:rsidRPr="00CC46B8">
              <w:t>Ratnam</w:t>
            </w:r>
            <w:proofErr w:type="spellEnd"/>
            <w:r w:rsidRPr="00CC46B8">
              <w:t xml:space="preserve"> Na (Malaysia)</w:t>
            </w:r>
          </w:p>
        </w:tc>
      </w:tr>
      <w:tr w:rsidR="00CC46B8" w:rsidRPr="00CC46B8" w:rsidTr="0003235A">
        <w:trPr>
          <w:trHeight w:val="300"/>
          <w:jc w:val="center"/>
        </w:trPr>
        <w:tc>
          <w:tcPr>
            <w:tcW w:w="5311" w:type="dxa"/>
            <w:shd w:val="clear" w:color="auto" w:fill="auto"/>
            <w:hideMark/>
          </w:tcPr>
          <w:p w:rsidR="00CC46B8" w:rsidRPr="00CC46B8" w:rsidRDefault="00CC46B8" w:rsidP="0003235A">
            <w:pPr>
              <w:pStyle w:val="Tabletext"/>
            </w:pPr>
            <w:r w:rsidRPr="00CC46B8">
              <w:t>Ad hoc group on SG9 Restructuring</w:t>
            </w:r>
          </w:p>
        </w:tc>
        <w:tc>
          <w:tcPr>
            <w:tcW w:w="4323" w:type="dxa"/>
            <w:shd w:val="clear" w:color="auto" w:fill="auto"/>
            <w:noWrap/>
            <w:hideMark/>
          </w:tcPr>
          <w:p w:rsidR="00CC46B8" w:rsidRPr="00CC46B8" w:rsidRDefault="00CC46B8" w:rsidP="0003235A">
            <w:pPr>
              <w:pStyle w:val="Tabletext"/>
            </w:pPr>
            <w:r w:rsidRPr="00CC46B8">
              <w:t>Mr Greg Ratta (USA)</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Ad hoc group on  internet related resolutions: Res. 48, Res. 69, Res. 47 and Res. 64</w:t>
            </w:r>
          </w:p>
        </w:tc>
        <w:tc>
          <w:tcPr>
            <w:tcW w:w="4323" w:type="dxa"/>
            <w:shd w:val="clear" w:color="auto" w:fill="auto"/>
            <w:hideMark/>
          </w:tcPr>
          <w:p w:rsidR="00CC46B8" w:rsidRPr="00CC46B8" w:rsidRDefault="00CC46B8" w:rsidP="0003235A">
            <w:pPr>
              <w:pStyle w:val="Tabletext"/>
            </w:pPr>
            <w:r w:rsidRPr="00CC46B8">
              <w:t>Mr  Dietmar Plesse  (Germany)</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Ad hoc group on  OTT and IMR resolutions: New Res. AFCP-3 and New Res. IAP-4</w:t>
            </w:r>
          </w:p>
        </w:tc>
        <w:tc>
          <w:tcPr>
            <w:tcW w:w="4323" w:type="dxa"/>
            <w:shd w:val="clear" w:color="auto" w:fill="auto"/>
            <w:hideMark/>
          </w:tcPr>
          <w:p w:rsidR="00CC46B8" w:rsidRPr="00CC46B8" w:rsidRDefault="00CC46B8" w:rsidP="0003235A">
            <w:pPr>
              <w:pStyle w:val="Tabletext"/>
            </w:pPr>
            <w:r w:rsidRPr="00CC46B8">
              <w:t xml:space="preserve">Mr </w:t>
            </w:r>
            <w:proofErr w:type="spellStart"/>
            <w:r w:rsidRPr="00CC46B8">
              <w:t>Abraao</w:t>
            </w:r>
            <w:proofErr w:type="spellEnd"/>
            <w:r w:rsidRPr="00CC46B8">
              <w:t xml:space="preserve"> Silva (Brazil)</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Ad hoc group on  security related resolutions: Res. 52, new Res. ARB-6 and Res.50</w:t>
            </w:r>
          </w:p>
        </w:tc>
        <w:tc>
          <w:tcPr>
            <w:tcW w:w="4323" w:type="dxa"/>
            <w:shd w:val="clear" w:color="auto" w:fill="auto"/>
            <w:hideMark/>
          </w:tcPr>
          <w:p w:rsidR="00CC46B8" w:rsidRPr="00CC46B8" w:rsidRDefault="00CC46B8" w:rsidP="0003235A">
            <w:pPr>
              <w:pStyle w:val="Tabletext"/>
            </w:pPr>
            <w:r w:rsidRPr="00CC46B8">
              <w:t>Mr Jeferson Fued Nacif (Brazil)</w:t>
            </w:r>
          </w:p>
        </w:tc>
      </w:tr>
      <w:tr w:rsidR="00CC46B8" w:rsidRPr="00CC46B8" w:rsidTr="0003235A">
        <w:trPr>
          <w:trHeight w:val="300"/>
          <w:jc w:val="center"/>
        </w:trPr>
        <w:tc>
          <w:tcPr>
            <w:tcW w:w="5311" w:type="dxa"/>
            <w:shd w:val="clear" w:color="auto" w:fill="auto"/>
            <w:hideMark/>
          </w:tcPr>
          <w:p w:rsidR="00CC46B8" w:rsidRPr="00CC46B8" w:rsidRDefault="00CC46B8" w:rsidP="0003235A">
            <w:pPr>
              <w:pStyle w:val="Tabletext"/>
            </w:pPr>
            <w:r w:rsidRPr="00CC46B8">
              <w:t>Ad hoc group on: Allocation of QI/11</w:t>
            </w:r>
          </w:p>
        </w:tc>
        <w:tc>
          <w:tcPr>
            <w:tcW w:w="4323" w:type="dxa"/>
            <w:shd w:val="clear" w:color="auto" w:fill="auto"/>
            <w:noWrap/>
            <w:hideMark/>
          </w:tcPr>
          <w:p w:rsidR="00CC46B8" w:rsidRPr="00CC46B8" w:rsidRDefault="00CC46B8" w:rsidP="0003235A">
            <w:pPr>
              <w:pStyle w:val="Tabletext"/>
            </w:pPr>
            <w:r w:rsidRPr="00CC46B8">
              <w:t xml:space="preserve">Ms Irene </w:t>
            </w:r>
            <w:proofErr w:type="spellStart"/>
            <w:r w:rsidRPr="00CC46B8">
              <w:t>Kaggwa</w:t>
            </w:r>
            <w:proofErr w:type="spellEnd"/>
            <w:r w:rsidRPr="00CC46B8">
              <w:t xml:space="preserve"> </w:t>
            </w:r>
            <w:proofErr w:type="spellStart"/>
            <w:r w:rsidRPr="00CC46B8">
              <w:t>Sewankambo</w:t>
            </w:r>
            <w:proofErr w:type="spellEnd"/>
            <w:r w:rsidRPr="00CC46B8">
              <w:t xml:space="preserve"> (Uganda)</w:t>
            </w:r>
          </w:p>
        </w:tc>
      </w:tr>
      <w:tr w:rsidR="00CC46B8" w:rsidRPr="009F1817" w:rsidTr="0003235A">
        <w:trPr>
          <w:trHeight w:val="1200"/>
          <w:jc w:val="center"/>
        </w:trPr>
        <w:tc>
          <w:tcPr>
            <w:tcW w:w="5311" w:type="dxa"/>
            <w:shd w:val="clear" w:color="auto" w:fill="auto"/>
            <w:hideMark/>
          </w:tcPr>
          <w:p w:rsidR="00CC46B8" w:rsidRPr="00CC46B8" w:rsidRDefault="00CC46B8" w:rsidP="0003235A">
            <w:pPr>
              <w:pStyle w:val="Tabletext"/>
            </w:pPr>
            <w:r w:rsidRPr="00CC46B8">
              <w:t>Ad-hoc group on Resolution 68 “The implementation of Resolution 122 (Rev. Antalya, 2006) on the evolving role of the World Telecommunication Standardization Assembly”</w:t>
            </w:r>
          </w:p>
        </w:tc>
        <w:tc>
          <w:tcPr>
            <w:tcW w:w="4323" w:type="dxa"/>
            <w:shd w:val="clear" w:color="auto" w:fill="auto"/>
            <w:hideMark/>
          </w:tcPr>
          <w:p w:rsidR="00CC46B8" w:rsidRPr="00C8302F" w:rsidRDefault="00CC46B8" w:rsidP="0003235A">
            <w:pPr>
              <w:pStyle w:val="Tabletext"/>
              <w:rPr>
                <w:lang w:val="de-CH"/>
              </w:rPr>
            </w:pPr>
            <w:r w:rsidRPr="00C8302F">
              <w:rPr>
                <w:lang w:val="de-CH"/>
              </w:rPr>
              <w:t>Mr Christopher K. Kebei (Kenya)</w:t>
            </w:r>
          </w:p>
        </w:tc>
      </w:tr>
      <w:tr w:rsidR="00CC46B8" w:rsidRPr="00CC46B8" w:rsidTr="0003235A">
        <w:trPr>
          <w:trHeight w:val="300"/>
          <w:jc w:val="center"/>
        </w:trPr>
        <w:tc>
          <w:tcPr>
            <w:tcW w:w="5311" w:type="dxa"/>
            <w:shd w:val="clear" w:color="auto" w:fill="auto"/>
            <w:hideMark/>
          </w:tcPr>
          <w:p w:rsidR="00CC46B8" w:rsidRPr="00CC46B8" w:rsidRDefault="00CC46B8" w:rsidP="0003235A">
            <w:pPr>
              <w:pStyle w:val="Tabletext"/>
            </w:pPr>
            <w:r w:rsidRPr="00CC46B8">
              <w:t>Drafting group on  Resolution 78 - E-health</w:t>
            </w:r>
          </w:p>
        </w:tc>
        <w:tc>
          <w:tcPr>
            <w:tcW w:w="4323" w:type="dxa"/>
            <w:shd w:val="clear" w:color="auto" w:fill="auto"/>
            <w:noWrap/>
            <w:hideMark/>
          </w:tcPr>
          <w:p w:rsidR="00CC46B8" w:rsidRPr="00CC46B8" w:rsidRDefault="00CC46B8" w:rsidP="0003235A">
            <w:pPr>
              <w:pStyle w:val="Tabletext"/>
            </w:pPr>
            <w:r w:rsidRPr="00CC46B8">
              <w:t xml:space="preserve">Mr </w:t>
            </w:r>
            <w:proofErr w:type="spellStart"/>
            <w:r w:rsidRPr="00CC46B8">
              <w:t>Ramy</w:t>
            </w:r>
            <w:proofErr w:type="spellEnd"/>
            <w:r w:rsidRPr="00CC46B8">
              <w:t xml:space="preserve"> Ahmed (Egypt)</w:t>
            </w:r>
          </w:p>
        </w:tc>
      </w:tr>
      <w:tr w:rsidR="00CC46B8" w:rsidRPr="00CC46B8" w:rsidTr="0003235A">
        <w:trPr>
          <w:trHeight w:val="300"/>
          <w:jc w:val="center"/>
        </w:trPr>
        <w:tc>
          <w:tcPr>
            <w:tcW w:w="5311" w:type="dxa"/>
            <w:shd w:val="clear" w:color="auto" w:fill="auto"/>
            <w:hideMark/>
          </w:tcPr>
          <w:p w:rsidR="00CC46B8" w:rsidRPr="00CC46B8" w:rsidRDefault="00CC46B8" w:rsidP="0003235A">
            <w:pPr>
              <w:pStyle w:val="Tabletext"/>
            </w:pPr>
            <w:r w:rsidRPr="00CC46B8">
              <w:t xml:space="preserve">Drafting group on combating counterfeit </w:t>
            </w:r>
          </w:p>
        </w:tc>
        <w:tc>
          <w:tcPr>
            <w:tcW w:w="4323" w:type="dxa"/>
            <w:shd w:val="clear" w:color="auto" w:fill="auto"/>
            <w:hideMark/>
          </w:tcPr>
          <w:p w:rsidR="00CC46B8" w:rsidRPr="00CC46B8" w:rsidRDefault="00CC46B8" w:rsidP="0003235A">
            <w:pPr>
              <w:pStyle w:val="Tabletext"/>
            </w:pPr>
            <w:r w:rsidRPr="00CC46B8">
              <w:t xml:space="preserve">Mr Isaac </w:t>
            </w:r>
            <w:proofErr w:type="spellStart"/>
            <w:r w:rsidRPr="00CC46B8">
              <w:t>Boateng</w:t>
            </w:r>
            <w:proofErr w:type="spellEnd"/>
            <w:r w:rsidRPr="00CC46B8">
              <w:t xml:space="preserve"> (Ghana)</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Drafting group on draft new Res. [RCC-3] (Consumer protection)</w:t>
            </w:r>
          </w:p>
        </w:tc>
        <w:tc>
          <w:tcPr>
            <w:tcW w:w="4323" w:type="dxa"/>
            <w:shd w:val="clear" w:color="auto" w:fill="auto"/>
            <w:hideMark/>
          </w:tcPr>
          <w:p w:rsidR="00CC46B8" w:rsidRPr="00CC46B8" w:rsidRDefault="00CC46B8" w:rsidP="0003235A">
            <w:pPr>
              <w:pStyle w:val="Tabletext"/>
            </w:pPr>
            <w:r w:rsidRPr="00CC46B8">
              <w:t xml:space="preserve">Ms </w:t>
            </w:r>
            <w:proofErr w:type="spellStart"/>
            <w:r w:rsidRPr="00CC46B8">
              <w:t>Memiko</w:t>
            </w:r>
            <w:proofErr w:type="spellEnd"/>
            <w:r w:rsidRPr="00CC46B8">
              <w:t xml:space="preserve"> </w:t>
            </w:r>
            <w:proofErr w:type="spellStart"/>
            <w:r w:rsidRPr="00CC46B8">
              <w:t>Otsuki</w:t>
            </w:r>
            <w:proofErr w:type="spellEnd"/>
            <w:r w:rsidRPr="00CC46B8">
              <w:t xml:space="preserve"> (Japan)</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Drafting group on Draft New Resolution [IAP-1 - AFCP-6] (service quality)</w:t>
            </w:r>
          </w:p>
        </w:tc>
        <w:tc>
          <w:tcPr>
            <w:tcW w:w="4323" w:type="dxa"/>
            <w:shd w:val="clear" w:color="auto" w:fill="auto"/>
            <w:noWrap/>
            <w:hideMark/>
          </w:tcPr>
          <w:p w:rsidR="00CC46B8" w:rsidRPr="00CC46B8" w:rsidRDefault="00CC46B8" w:rsidP="0003235A">
            <w:pPr>
              <w:pStyle w:val="Tabletext"/>
            </w:pPr>
            <w:r w:rsidRPr="00CC46B8">
              <w:t xml:space="preserve">Mrs Irene </w:t>
            </w:r>
            <w:proofErr w:type="spellStart"/>
            <w:r w:rsidRPr="00CC46B8">
              <w:t>Kaggwa</w:t>
            </w:r>
            <w:proofErr w:type="spellEnd"/>
            <w:r w:rsidRPr="00CC46B8">
              <w:t xml:space="preserve"> </w:t>
            </w:r>
            <w:proofErr w:type="spellStart"/>
            <w:r w:rsidRPr="00CC46B8">
              <w:t>Sewankambo</w:t>
            </w:r>
            <w:proofErr w:type="spellEnd"/>
            <w:r w:rsidRPr="00CC46B8">
              <w:t xml:space="preserve"> (Uganda)</w:t>
            </w:r>
          </w:p>
        </w:tc>
      </w:tr>
      <w:tr w:rsidR="00CC46B8" w:rsidRPr="00CC46B8" w:rsidTr="0003235A">
        <w:trPr>
          <w:trHeight w:val="300"/>
          <w:jc w:val="center"/>
        </w:trPr>
        <w:tc>
          <w:tcPr>
            <w:tcW w:w="5311" w:type="dxa"/>
            <w:shd w:val="clear" w:color="auto" w:fill="auto"/>
            <w:hideMark/>
          </w:tcPr>
          <w:p w:rsidR="00CC46B8" w:rsidRPr="00CC46B8" w:rsidRDefault="00CC46B8" w:rsidP="0003235A">
            <w:pPr>
              <w:pStyle w:val="Tabletext"/>
            </w:pPr>
            <w:r w:rsidRPr="00CC46B8">
              <w:t xml:space="preserve">Drafting group on </w:t>
            </w:r>
            <w:proofErr w:type="spellStart"/>
            <w:r w:rsidRPr="00CC46B8">
              <w:t>IoT</w:t>
            </w:r>
            <w:proofErr w:type="spellEnd"/>
            <w:r w:rsidRPr="00CC46B8">
              <w:t xml:space="preserve"> and Smart Cities</w:t>
            </w:r>
          </w:p>
        </w:tc>
        <w:tc>
          <w:tcPr>
            <w:tcW w:w="4323" w:type="dxa"/>
            <w:shd w:val="clear" w:color="auto" w:fill="auto"/>
            <w:noWrap/>
            <w:hideMark/>
          </w:tcPr>
          <w:p w:rsidR="00CC46B8" w:rsidRPr="00CC46B8" w:rsidRDefault="00CC46B8" w:rsidP="0003235A">
            <w:pPr>
              <w:pStyle w:val="Tabletext"/>
            </w:pPr>
            <w:r w:rsidRPr="00CC46B8">
              <w:t xml:space="preserve">Mr </w:t>
            </w:r>
            <w:proofErr w:type="spellStart"/>
            <w:r w:rsidRPr="00CC46B8">
              <w:t>Harin</w:t>
            </w:r>
            <w:proofErr w:type="spellEnd"/>
            <w:r w:rsidRPr="00CC46B8">
              <w:t xml:space="preserve"> Grewal (Singapore)</w:t>
            </w:r>
          </w:p>
        </w:tc>
      </w:tr>
      <w:tr w:rsidR="00CC46B8" w:rsidRPr="00CC46B8" w:rsidTr="0003235A">
        <w:trPr>
          <w:trHeight w:val="300"/>
          <w:jc w:val="center"/>
        </w:trPr>
        <w:tc>
          <w:tcPr>
            <w:tcW w:w="5311" w:type="dxa"/>
            <w:shd w:val="clear" w:color="auto" w:fill="auto"/>
            <w:noWrap/>
            <w:hideMark/>
          </w:tcPr>
          <w:p w:rsidR="00CC46B8" w:rsidRPr="00CC46B8" w:rsidRDefault="00CC46B8" w:rsidP="0003235A">
            <w:pPr>
              <w:pStyle w:val="Tabletext"/>
            </w:pPr>
            <w:r w:rsidRPr="00CC46B8">
              <w:t>Drafting group on mobile theft</w:t>
            </w:r>
          </w:p>
        </w:tc>
        <w:tc>
          <w:tcPr>
            <w:tcW w:w="4323" w:type="dxa"/>
            <w:shd w:val="clear" w:color="auto" w:fill="auto"/>
            <w:noWrap/>
            <w:hideMark/>
          </w:tcPr>
          <w:p w:rsidR="00CC46B8" w:rsidRPr="00CC46B8" w:rsidRDefault="00CC46B8" w:rsidP="0003235A">
            <w:pPr>
              <w:pStyle w:val="Tabletext"/>
            </w:pPr>
            <w:r w:rsidRPr="00CC46B8">
              <w:t xml:space="preserve">Mr Isaac </w:t>
            </w:r>
            <w:proofErr w:type="spellStart"/>
            <w:r w:rsidRPr="00CC46B8">
              <w:t>Boateng</w:t>
            </w:r>
            <w:proofErr w:type="spellEnd"/>
            <w:r w:rsidRPr="00CC46B8">
              <w:t xml:space="preserve"> (Ghana)</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Drafting group on new Resolution for Digital Financial Services</w:t>
            </w:r>
          </w:p>
        </w:tc>
        <w:tc>
          <w:tcPr>
            <w:tcW w:w="4323" w:type="dxa"/>
            <w:shd w:val="clear" w:color="auto" w:fill="auto"/>
            <w:hideMark/>
          </w:tcPr>
          <w:p w:rsidR="00CC46B8" w:rsidRPr="00CC46B8" w:rsidRDefault="00CC46B8" w:rsidP="0003235A">
            <w:pPr>
              <w:pStyle w:val="Tabletext"/>
            </w:pPr>
            <w:r w:rsidRPr="00CC46B8">
              <w:t>Mr Ahmed Said (Egypt)</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Drafting group on Res ARB-5 - Open source</w:t>
            </w:r>
          </w:p>
        </w:tc>
        <w:tc>
          <w:tcPr>
            <w:tcW w:w="4323" w:type="dxa"/>
            <w:shd w:val="clear" w:color="auto" w:fill="auto"/>
            <w:hideMark/>
          </w:tcPr>
          <w:p w:rsidR="00CC46B8" w:rsidRPr="00CC46B8" w:rsidRDefault="00CC46B8" w:rsidP="0003235A">
            <w:pPr>
              <w:pStyle w:val="Tabletext"/>
            </w:pPr>
            <w:r w:rsidRPr="00CC46B8">
              <w:t xml:space="preserve">Mr Dmitry </w:t>
            </w:r>
            <w:proofErr w:type="spellStart"/>
            <w:r w:rsidRPr="00CC46B8">
              <w:t>Cherkesov</w:t>
            </w:r>
            <w:proofErr w:type="spellEnd"/>
            <w:r w:rsidRPr="00CC46B8">
              <w:t xml:space="preserve"> (Russia)</w:t>
            </w:r>
          </w:p>
        </w:tc>
      </w:tr>
      <w:tr w:rsidR="00CC46B8" w:rsidRPr="00CC46B8" w:rsidTr="0003235A">
        <w:trPr>
          <w:trHeight w:val="300"/>
          <w:jc w:val="center"/>
        </w:trPr>
        <w:tc>
          <w:tcPr>
            <w:tcW w:w="5311" w:type="dxa"/>
            <w:shd w:val="clear" w:color="auto" w:fill="auto"/>
            <w:hideMark/>
          </w:tcPr>
          <w:p w:rsidR="00CC46B8" w:rsidRPr="00CC46B8" w:rsidRDefault="00CC46B8" w:rsidP="0003235A">
            <w:pPr>
              <w:pStyle w:val="Tabletext"/>
            </w:pPr>
            <w:r w:rsidRPr="00CC46B8">
              <w:t>Drafting group on Resolution 72 and Resolution 73</w:t>
            </w:r>
          </w:p>
        </w:tc>
        <w:tc>
          <w:tcPr>
            <w:tcW w:w="4323" w:type="dxa"/>
            <w:shd w:val="clear" w:color="auto" w:fill="auto"/>
            <w:noWrap/>
            <w:hideMark/>
          </w:tcPr>
          <w:p w:rsidR="00CC46B8" w:rsidRPr="00CC46B8" w:rsidRDefault="00CC46B8" w:rsidP="00F538B9">
            <w:pPr>
              <w:pStyle w:val="Tabletext"/>
            </w:pPr>
            <w:r w:rsidRPr="00CC46B8">
              <w:t xml:space="preserve">Mr Ahmed </w:t>
            </w:r>
            <w:proofErr w:type="spellStart"/>
            <w:r w:rsidRPr="00CC46B8">
              <w:t>Zeddam</w:t>
            </w:r>
            <w:proofErr w:type="spellEnd"/>
            <w:r w:rsidRPr="00CC46B8">
              <w:t xml:space="preserve"> (</w:t>
            </w:r>
            <w:r w:rsidR="00F538B9">
              <w:t>France</w:t>
            </w:r>
            <w:r w:rsidRPr="00CC46B8">
              <w:t>)</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lastRenderedPageBreak/>
              <w:t>Drafting group on Resolution 76 - Conformance and Interoperability</w:t>
            </w:r>
          </w:p>
        </w:tc>
        <w:tc>
          <w:tcPr>
            <w:tcW w:w="4323" w:type="dxa"/>
            <w:shd w:val="clear" w:color="auto" w:fill="auto"/>
            <w:noWrap/>
            <w:hideMark/>
          </w:tcPr>
          <w:p w:rsidR="00CC46B8" w:rsidRPr="00CC46B8" w:rsidRDefault="00CC46B8" w:rsidP="0003235A">
            <w:pPr>
              <w:pStyle w:val="Tabletext"/>
            </w:pPr>
            <w:r w:rsidRPr="00CC46B8">
              <w:t xml:space="preserve">Mr </w:t>
            </w:r>
            <w:proofErr w:type="spellStart"/>
            <w:r w:rsidRPr="00CC46B8">
              <w:t>Rahmy</w:t>
            </w:r>
            <w:proofErr w:type="spellEnd"/>
            <w:r w:rsidRPr="00CC46B8">
              <w:t xml:space="preserve"> Ahmed </w:t>
            </w:r>
            <w:proofErr w:type="spellStart"/>
            <w:r w:rsidRPr="00CC46B8">
              <w:t>Fathy</w:t>
            </w:r>
            <w:proofErr w:type="spellEnd"/>
            <w:r w:rsidRPr="00CC46B8">
              <w:t xml:space="preserve"> (Egypt)</w:t>
            </w:r>
          </w:p>
        </w:tc>
      </w:tr>
      <w:tr w:rsidR="00CC46B8" w:rsidRPr="00C03F44" w:rsidTr="0003235A">
        <w:trPr>
          <w:trHeight w:val="900"/>
          <w:jc w:val="center"/>
        </w:trPr>
        <w:tc>
          <w:tcPr>
            <w:tcW w:w="5311" w:type="dxa"/>
            <w:shd w:val="clear" w:color="auto" w:fill="auto"/>
            <w:hideMark/>
          </w:tcPr>
          <w:p w:rsidR="00CC46B8" w:rsidRPr="00CC46B8" w:rsidRDefault="00CC46B8" w:rsidP="0003235A">
            <w:pPr>
              <w:pStyle w:val="Tabletext"/>
            </w:pPr>
            <w:r w:rsidRPr="00CC46B8">
              <w:t>Drafting group Res ARB 4 - Strengthening and diversifying the resources of the Telecommunication Standardization Sector of the ITU</w:t>
            </w:r>
          </w:p>
        </w:tc>
        <w:tc>
          <w:tcPr>
            <w:tcW w:w="4323" w:type="dxa"/>
            <w:shd w:val="clear" w:color="auto" w:fill="auto"/>
            <w:noWrap/>
            <w:hideMark/>
          </w:tcPr>
          <w:p w:rsidR="00CC46B8" w:rsidRPr="00C8302F" w:rsidRDefault="00CC46B8" w:rsidP="0003235A">
            <w:pPr>
              <w:pStyle w:val="Tabletext"/>
              <w:rPr>
                <w:lang w:val="es-ES_tradnl"/>
              </w:rPr>
            </w:pPr>
            <w:r w:rsidRPr="00C8302F">
              <w:rPr>
                <w:lang w:val="es-ES_tradnl"/>
              </w:rPr>
              <w:t>Mr Nasser Al Marzouqi (UAE)</w:t>
            </w:r>
          </w:p>
        </w:tc>
      </w:tr>
      <w:tr w:rsidR="00CC46B8" w:rsidRPr="00CC46B8" w:rsidTr="0003235A">
        <w:trPr>
          <w:trHeight w:val="600"/>
          <w:jc w:val="center"/>
        </w:trPr>
        <w:tc>
          <w:tcPr>
            <w:tcW w:w="5311" w:type="dxa"/>
            <w:shd w:val="clear" w:color="auto" w:fill="auto"/>
            <w:hideMark/>
          </w:tcPr>
          <w:p w:rsidR="00CC46B8" w:rsidRPr="00CC46B8" w:rsidRDefault="00CC46B8" w:rsidP="0003235A">
            <w:pPr>
              <w:pStyle w:val="Tabletext"/>
            </w:pPr>
            <w:r w:rsidRPr="00CC46B8">
              <w:t>Informal consultation on draft Resolution on ITR</w:t>
            </w:r>
          </w:p>
        </w:tc>
        <w:tc>
          <w:tcPr>
            <w:tcW w:w="4323" w:type="dxa"/>
            <w:shd w:val="clear" w:color="auto" w:fill="auto"/>
            <w:hideMark/>
          </w:tcPr>
          <w:p w:rsidR="00CC46B8" w:rsidRPr="00CC46B8" w:rsidRDefault="00CC46B8" w:rsidP="0003235A">
            <w:pPr>
              <w:pStyle w:val="Tabletext"/>
            </w:pPr>
            <w:r w:rsidRPr="00CC46B8">
              <w:t xml:space="preserve">Mr </w:t>
            </w:r>
            <w:proofErr w:type="spellStart"/>
            <w:r w:rsidRPr="00CC46B8">
              <w:t>Musab</w:t>
            </w:r>
            <w:proofErr w:type="spellEnd"/>
            <w:r w:rsidRPr="00CC46B8">
              <w:t xml:space="preserve"> Abdulla (Bahrain (Kingdom of))</w:t>
            </w:r>
          </w:p>
        </w:tc>
      </w:tr>
      <w:tr w:rsidR="00CC46B8" w:rsidRPr="00CC46B8" w:rsidTr="0003235A">
        <w:trPr>
          <w:trHeight w:val="1200"/>
          <w:jc w:val="center"/>
        </w:trPr>
        <w:tc>
          <w:tcPr>
            <w:tcW w:w="5311" w:type="dxa"/>
            <w:shd w:val="clear" w:color="auto" w:fill="auto"/>
            <w:hideMark/>
          </w:tcPr>
          <w:p w:rsidR="00CC46B8" w:rsidRPr="00CC46B8" w:rsidRDefault="00CC46B8" w:rsidP="0003235A">
            <w:pPr>
              <w:pStyle w:val="Tabletext"/>
            </w:pPr>
            <w:r w:rsidRPr="00CC46B8">
              <w:t>Informal consultation on Res APT-3 - Standardization work in the ITU Telecommunication Standardization Sector for cloud based event data monitoring application</w:t>
            </w:r>
          </w:p>
        </w:tc>
        <w:tc>
          <w:tcPr>
            <w:tcW w:w="4323" w:type="dxa"/>
            <w:shd w:val="clear" w:color="auto" w:fill="auto"/>
            <w:hideMark/>
          </w:tcPr>
          <w:p w:rsidR="00CC46B8" w:rsidRPr="00CC46B8" w:rsidRDefault="00CC46B8" w:rsidP="0003235A">
            <w:pPr>
              <w:pStyle w:val="Tabletext"/>
            </w:pPr>
            <w:r w:rsidRPr="00CC46B8">
              <w:t>Mr Sean Sharidz Doral (Malaysia)</w:t>
            </w:r>
          </w:p>
        </w:tc>
      </w:tr>
      <w:tr w:rsidR="00CC46B8" w:rsidRPr="00CC46B8" w:rsidTr="0003235A">
        <w:trPr>
          <w:trHeight w:val="915"/>
          <w:jc w:val="center"/>
        </w:trPr>
        <w:tc>
          <w:tcPr>
            <w:tcW w:w="5311" w:type="dxa"/>
            <w:shd w:val="clear" w:color="auto" w:fill="auto"/>
            <w:hideMark/>
          </w:tcPr>
          <w:p w:rsidR="00CC46B8" w:rsidRPr="00CC46B8" w:rsidRDefault="00CC46B8" w:rsidP="0003235A">
            <w:pPr>
              <w:pStyle w:val="Tabletext"/>
            </w:pPr>
            <w:r w:rsidRPr="00CC46B8">
              <w:t xml:space="preserve">Informal consultation on Res. 77 - Standardization Work In The ITU Telecommunication Standardization Sector for Software-Defined Networking </w:t>
            </w:r>
          </w:p>
        </w:tc>
        <w:tc>
          <w:tcPr>
            <w:tcW w:w="4323" w:type="dxa"/>
            <w:shd w:val="clear" w:color="auto" w:fill="auto"/>
            <w:noWrap/>
            <w:hideMark/>
          </w:tcPr>
          <w:p w:rsidR="00CC46B8" w:rsidRPr="00CC46B8" w:rsidRDefault="00CC46B8" w:rsidP="0003235A">
            <w:pPr>
              <w:pStyle w:val="Tabletext"/>
            </w:pPr>
            <w:r w:rsidRPr="00CC46B8">
              <w:t>Mr Kai Hu (China)</w:t>
            </w:r>
          </w:p>
        </w:tc>
      </w:tr>
    </w:tbl>
    <w:p w:rsidR="001102A2" w:rsidRDefault="00CC46B8" w:rsidP="00CC46B8">
      <w:r w:rsidRPr="003E0368">
        <w:t>He also thanks the TSB staff</w:t>
      </w:r>
      <w:r>
        <w:t xml:space="preserve"> for the excellent support received</w:t>
      </w:r>
      <w:r w:rsidRPr="003E0368">
        <w:t xml:space="preserve">, </w:t>
      </w:r>
      <w:r>
        <w:t xml:space="preserve">in particular </w:t>
      </w:r>
      <w:r w:rsidRPr="003E0368">
        <w:t xml:space="preserve">Mr </w:t>
      </w:r>
      <w:proofErr w:type="spellStart"/>
      <w:r w:rsidRPr="003E0368">
        <w:t>Simão</w:t>
      </w:r>
      <w:proofErr w:type="spellEnd"/>
      <w:r w:rsidRPr="003E0368">
        <w:t xml:space="preserve"> Campos-</w:t>
      </w:r>
      <w:proofErr w:type="spellStart"/>
      <w:r w:rsidRPr="003E0368">
        <w:t>Neto</w:t>
      </w:r>
      <w:proofErr w:type="spellEnd"/>
      <w:r w:rsidRPr="003E0368">
        <w:t xml:space="preserve">, Ms Cristina Bueti and Mr Stefano </w:t>
      </w:r>
      <w:proofErr w:type="spellStart"/>
      <w:r w:rsidRPr="003E0368">
        <w:t>Polidori</w:t>
      </w:r>
      <w:proofErr w:type="spellEnd"/>
      <w:r w:rsidRPr="003E0368">
        <w:t xml:space="preserve">, Ms </w:t>
      </w:r>
      <w:r>
        <w:t>Emma Norton</w:t>
      </w:r>
      <w:r w:rsidR="009F1817">
        <w:t xml:space="preserve"> Viard</w:t>
      </w:r>
      <w:r>
        <w:t xml:space="preserve"> and Ms Reyna</w:t>
      </w:r>
      <w:r w:rsidRPr="00CC46B8">
        <w:t xml:space="preserve"> </w:t>
      </w:r>
      <w:proofErr w:type="spellStart"/>
      <w:r>
        <w:t>Ubeda</w:t>
      </w:r>
      <w:proofErr w:type="spellEnd"/>
      <w:r w:rsidRPr="003E0368">
        <w:t xml:space="preserve">, </w:t>
      </w:r>
      <w:r>
        <w:t>in addition to the various ITU staff members supporting the various ad hoc and drafting activities</w:t>
      </w:r>
      <w:r w:rsidRPr="003E0368">
        <w:t>.</w:t>
      </w:r>
    </w:p>
    <w:p w:rsidR="0003235A" w:rsidRPr="003E0368" w:rsidRDefault="0003235A" w:rsidP="00CC46B8"/>
    <w:p w:rsidR="001102A2" w:rsidRPr="003E0368" w:rsidRDefault="001102A2">
      <w:pPr>
        <w:spacing w:before="0"/>
      </w:pPr>
      <w:r w:rsidRPr="003E0368">
        <w:br w:type="page"/>
      </w:r>
    </w:p>
    <w:p w:rsidR="001102A2" w:rsidRPr="003E0368" w:rsidRDefault="001102A2" w:rsidP="001102A2">
      <w:pPr>
        <w:jc w:val="center"/>
      </w:pPr>
      <w:r w:rsidRPr="003E0368">
        <w:lastRenderedPageBreak/>
        <w:t>ANNEX</w:t>
      </w:r>
    </w:p>
    <w:p w:rsidR="001102A2" w:rsidRPr="003E0368" w:rsidRDefault="001102A2" w:rsidP="001102A2"/>
    <w:p w:rsidR="001102A2" w:rsidRPr="003E0368" w:rsidRDefault="001102A2" w:rsidP="001102A2">
      <w:pPr>
        <w:spacing w:before="0"/>
        <w:rPr>
          <w:i/>
          <w:iCs/>
        </w:rPr>
      </w:pPr>
      <w:r w:rsidRPr="003E0368">
        <w:rPr>
          <w:i/>
          <w:iCs/>
        </w:rPr>
        <w:t>Committee 4 requests the following actions by the Plenary as listed below:</w:t>
      </w:r>
    </w:p>
    <w:p w:rsidR="001102A2" w:rsidRPr="003E0368" w:rsidRDefault="001857AF" w:rsidP="00D67300">
      <w:pPr>
        <w:pStyle w:val="ListParagraph"/>
        <w:numPr>
          <w:ilvl w:val="0"/>
          <w:numId w:val="40"/>
        </w:numPr>
        <w:spacing w:before="240"/>
        <w:ind w:left="714" w:hanging="357"/>
        <w:contextualSpacing w:val="0"/>
        <w:rPr>
          <w:b/>
          <w:bCs/>
          <w:i/>
          <w:iCs/>
        </w:rPr>
      </w:pPr>
      <w:bookmarkStart w:id="1" w:name="_GoBack"/>
      <w:r>
        <w:rPr>
          <w:b/>
          <w:bCs/>
          <w:i/>
          <w:iCs/>
        </w:rPr>
        <w:t xml:space="preserve">to approve the </w:t>
      </w:r>
      <w:r w:rsidR="00D67300">
        <w:rPr>
          <w:b/>
          <w:bCs/>
          <w:i/>
          <w:iCs/>
        </w:rPr>
        <w:t>six</w:t>
      </w:r>
      <w:r w:rsidR="001102A2" w:rsidRPr="003E0368">
        <w:rPr>
          <w:b/>
          <w:bCs/>
          <w:i/>
          <w:iCs/>
        </w:rPr>
        <w:t xml:space="preserve"> reports of Committee 4 listed as listed in clause 1.3;</w:t>
      </w:r>
    </w:p>
    <w:p w:rsidR="0003235A" w:rsidRDefault="001102A2" w:rsidP="00D67300">
      <w:pPr>
        <w:pStyle w:val="ListParagraph"/>
        <w:numPr>
          <w:ilvl w:val="0"/>
          <w:numId w:val="40"/>
        </w:numPr>
        <w:spacing w:before="240"/>
        <w:ind w:left="714" w:hanging="357"/>
        <w:contextualSpacing w:val="0"/>
        <w:rPr>
          <w:b/>
          <w:bCs/>
          <w:i/>
          <w:iCs/>
        </w:rPr>
      </w:pPr>
      <w:r w:rsidRPr="003E0368">
        <w:rPr>
          <w:b/>
          <w:bCs/>
          <w:i/>
          <w:iCs/>
        </w:rPr>
        <w:t xml:space="preserve">address the pending issues </w:t>
      </w:r>
      <w:r w:rsidRPr="00D67300">
        <w:rPr>
          <w:b/>
          <w:bCs/>
          <w:i/>
          <w:iCs/>
        </w:rPr>
        <w:t>from Committee 4 identified</w:t>
      </w:r>
      <w:r w:rsidR="003F51BA" w:rsidRPr="00D67300">
        <w:rPr>
          <w:b/>
          <w:bCs/>
          <w:i/>
          <w:iCs/>
        </w:rPr>
        <w:t xml:space="preserve"> in</w:t>
      </w:r>
      <w:r w:rsidRPr="00D67300">
        <w:rPr>
          <w:b/>
          <w:bCs/>
          <w:i/>
          <w:iCs/>
        </w:rPr>
        <w:t xml:space="preserve"> </w:t>
      </w:r>
      <w:r w:rsidRPr="003E0368">
        <w:rPr>
          <w:b/>
          <w:bCs/>
          <w:i/>
          <w:iCs/>
        </w:rPr>
        <w:t xml:space="preserve">clauses </w:t>
      </w:r>
      <w:r w:rsidR="00D67300">
        <w:rPr>
          <w:b/>
          <w:bCs/>
          <w:i/>
          <w:iCs/>
        </w:rPr>
        <w:t>4;</w:t>
      </w:r>
    </w:p>
    <w:p w:rsidR="001102A2" w:rsidRPr="003E0368" w:rsidRDefault="001102A2">
      <w:pPr>
        <w:pStyle w:val="ListParagraph"/>
        <w:numPr>
          <w:ilvl w:val="0"/>
          <w:numId w:val="40"/>
        </w:numPr>
        <w:spacing w:before="240"/>
        <w:ind w:left="714" w:hanging="357"/>
        <w:contextualSpacing w:val="0"/>
        <w:rPr>
          <w:b/>
          <w:bCs/>
          <w:i/>
          <w:iCs/>
        </w:rPr>
      </w:pPr>
      <w:r w:rsidRPr="003E0368">
        <w:rPr>
          <w:b/>
          <w:bCs/>
          <w:i/>
          <w:iCs/>
        </w:rPr>
        <w:t>to approve the text of Questions as given in clause 2.</w:t>
      </w:r>
      <w:r w:rsidR="00D92C3F">
        <w:rPr>
          <w:b/>
          <w:bCs/>
          <w:i/>
          <w:iCs/>
        </w:rPr>
        <w:t>2</w:t>
      </w:r>
      <w:r w:rsidRPr="003E0368">
        <w:rPr>
          <w:b/>
          <w:bCs/>
          <w:i/>
          <w:iCs/>
        </w:rPr>
        <w:t>.1</w:t>
      </w:r>
      <w:r w:rsidR="00BB1593">
        <w:rPr>
          <w:b/>
          <w:bCs/>
          <w:i/>
          <w:iCs/>
        </w:rPr>
        <w:t xml:space="preserve"> and 2.</w:t>
      </w:r>
      <w:r w:rsidR="00D92C3F">
        <w:rPr>
          <w:b/>
          <w:bCs/>
          <w:i/>
          <w:iCs/>
        </w:rPr>
        <w:t>2</w:t>
      </w:r>
      <w:r w:rsidR="00BB1593">
        <w:rPr>
          <w:b/>
          <w:bCs/>
          <w:i/>
          <w:iCs/>
        </w:rPr>
        <w:t>.2</w:t>
      </w:r>
      <w:r w:rsidRPr="003E0368">
        <w:rPr>
          <w:b/>
          <w:bCs/>
          <w:i/>
          <w:iCs/>
        </w:rPr>
        <w:t>;</w:t>
      </w:r>
    </w:p>
    <w:p w:rsidR="001102A2" w:rsidRPr="003E0368" w:rsidRDefault="001102A2">
      <w:pPr>
        <w:pStyle w:val="ListParagraph"/>
        <w:numPr>
          <w:ilvl w:val="0"/>
          <w:numId w:val="40"/>
        </w:numPr>
        <w:spacing w:before="240"/>
        <w:ind w:left="714" w:hanging="357"/>
        <w:contextualSpacing w:val="0"/>
        <w:rPr>
          <w:b/>
          <w:bCs/>
          <w:i/>
          <w:iCs/>
        </w:rPr>
      </w:pPr>
      <w:r w:rsidRPr="003E0368">
        <w:rPr>
          <w:b/>
          <w:bCs/>
          <w:i/>
          <w:iCs/>
        </w:rPr>
        <w:t xml:space="preserve">agree </w:t>
      </w:r>
      <w:r w:rsidR="00BB1593">
        <w:rPr>
          <w:b/>
          <w:bCs/>
          <w:i/>
          <w:iCs/>
        </w:rPr>
        <w:t>transfer of blocks of work in 2.</w:t>
      </w:r>
      <w:r w:rsidR="00D92C3F">
        <w:rPr>
          <w:b/>
          <w:bCs/>
          <w:i/>
          <w:iCs/>
        </w:rPr>
        <w:t>2</w:t>
      </w:r>
      <w:r w:rsidR="00BB1593">
        <w:rPr>
          <w:b/>
          <w:bCs/>
          <w:i/>
          <w:iCs/>
        </w:rPr>
        <w:t>.3, 2.</w:t>
      </w:r>
      <w:r w:rsidR="00D92C3F">
        <w:rPr>
          <w:b/>
          <w:bCs/>
          <w:i/>
          <w:iCs/>
        </w:rPr>
        <w:t>2</w:t>
      </w:r>
      <w:r w:rsidR="00BB1593">
        <w:rPr>
          <w:b/>
          <w:bCs/>
          <w:i/>
          <w:iCs/>
        </w:rPr>
        <w:t>.4 and 2.</w:t>
      </w:r>
      <w:r w:rsidR="00D92C3F">
        <w:rPr>
          <w:b/>
          <w:bCs/>
          <w:i/>
          <w:iCs/>
        </w:rPr>
        <w:t>2</w:t>
      </w:r>
      <w:r w:rsidR="00BB1593">
        <w:rPr>
          <w:b/>
          <w:bCs/>
          <w:i/>
          <w:iCs/>
        </w:rPr>
        <w:t>.5;</w:t>
      </w:r>
    </w:p>
    <w:p w:rsidR="001102A2" w:rsidRPr="003E0368" w:rsidRDefault="00BB1593">
      <w:pPr>
        <w:pStyle w:val="ListParagraph"/>
        <w:numPr>
          <w:ilvl w:val="0"/>
          <w:numId w:val="40"/>
        </w:numPr>
        <w:spacing w:before="240"/>
        <w:ind w:left="714" w:hanging="357"/>
        <w:contextualSpacing w:val="0"/>
        <w:rPr>
          <w:b/>
          <w:bCs/>
          <w:i/>
          <w:iCs/>
        </w:rPr>
      </w:pPr>
      <w:r>
        <w:rPr>
          <w:b/>
          <w:bCs/>
          <w:i/>
          <w:iCs/>
        </w:rPr>
        <w:t>endorse the way forward in 2.</w:t>
      </w:r>
      <w:r w:rsidR="00D92C3F">
        <w:rPr>
          <w:b/>
          <w:bCs/>
          <w:i/>
          <w:iCs/>
        </w:rPr>
        <w:t>2</w:t>
      </w:r>
      <w:r>
        <w:rPr>
          <w:b/>
          <w:bCs/>
          <w:i/>
          <w:iCs/>
        </w:rPr>
        <w:t>.7 concerning proposal</w:t>
      </w:r>
      <w:r w:rsidR="001857AF">
        <w:rPr>
          <w:b/>
          <w:bCs/>
          <w:i/>
          <w:iCs/>
        </w:rPr>
        <w:t>s</w:t>
      </w:r>
      <w:r>
        <w:rPr>
          <w:b/>
          <w:bCs/>
          <w:i/>
          <w:iCs/>
        </w:rPr>
        <w:t xml:space="preserve"> for new Questions</w:t>
      </w:r>
      <w:r w:rsidR="001102A2" w:rsidRPr="003E0368">
        <w:rPr>
          <w:b/>
          <w:bCs/>
          <w:i/>
          <w:iCs/>
        </w:rPr>
        <w:t>;</w:t>
      </w:r>
    </w:p>
    <w:p w:rsidR="001102A2" w:rsidRDefault="001102A2" w:rsidP="00BB1593">
      <w:pPr>
        <w:pStyle w:val="ListParagraph"/>
        <w:numPr>
          <w:ilvl w:val="0"/>
          <w:numId w:val="40"/>
        </w:numPr>
        <w:spacing w:before="240"/>
        <w:ind w:left="714" w:hanging="357"/>
        <w:contextualSpacing w:val="0"/>
        <w:rPr>
          <w:b/>
          <w:bCs/>
          <w:i/>
          <w:iCs/>
        </w:rPr>
      </w:pPr>
      <w:r w:rsidRPr="003E0368">
        <w:rPr>
          <w:b/>
          <w:bCs/>
          <w:i/>
          <w:iCs/>
        </w:rPr>
        <w:t xml:space="preserve">to approve revision of </w:t>
      </w:r>
      <w:r w:rsidR="00BB1593">
        <w:rPr>
          <w:b/>
          <w:bCs/>
          <w:i/>
          <w:iCs/>
        </w:rPr>
        <w:t>the</w:t>
      </w:r>
      <w:r w:rsidRPr="003E0368">
        <w:rPr>
          <w:b/>
          <w:bCs/>
          <w:i/>
          <w:iCs/>
        </w:rPr>
        <w:t xml:space="preserve"> Re</w:t>
      </w:r>
      <w:r w:rsidR="00BB1593">
        <w:rPr>
          <w:b/>
          <w:bCs/>
          <w:i/>
          <w:iCs/>
        </w:rPr>
        <w:t>solutions as given in clause 3.1</w:t>
      </w:r>
      <w:r w:rsidRPr="003E0368">
        <w:rPr>
          <w:b/>
          <w:bCs/>
          <w:i/>
          <w:iCs/>
        </w:rPr>
        <w:t>;</w:t>
      </w:r>
    </w:p>
    <w:p w:rsidR="001857AF" w:rsidRPr="003E0368" w:rsidRDefault="001857AF" w:rsidP="001857AF">
      <w:pPr>
        <w:pStyle w:val="ListParagraph"/>
        <w:numPr>
          <w:ilvl w:val="0"/>
          <w:numId w:val="40"/>
        </w:numPr>
        <w:spacing w:before="240"/>
        <w:ind w:left="714" w:hanging="357"/>
        <w:contextualSpacing w:val="0"/>
        <w:rPr>
          <w:b/>
          <w:bCs/>
          <w:i/>
          <w:iCs/>
        </w:rPr>
      </w:pPr>
      <w:r w:rsidRPr="003E0368">
        <w:rPr>
          <w:b/>
          <w:bCs/>
          <w:i/>
          <w:iCs/>
        </w:rPr>
        <w:t xml:space="preserve">to approve </w:t>
      </w:r>
      <w:r>
        <w:rPr>
          <w:b/>
          <w:bCs/>
          <w:i/>
          <w:iCs/>
        </w:rPr>
        <w:t>the</w:t>
      </w:r>
      <w:r w:rsidRPr="003E0368">
        <w:rPr>
          <w:b/>
          <w:bCs/>
          <w:i/>
          <w:iCs/>
        </w:rPr>
        <w:t xml:space="preserve"> </w:t>
      </w:r>
      <w:r>
        <w:rPr>
          <w:b/>
          <w:bCs/>
          <w:i/>
          <w:iCs/>
        </w:rPr>
        <w:t xml:space="preserve">new </w:t>
      </w:r>
      <w:r w:rsidRPr="003E0368">
        <w:rPr>
          <w:b/>
          <w:bCs/>
          <w:i/>
          <w:iCs/>
        </w:rPr>
        <w:t>Re</w:t>
      </w:r>
      <w:r>
        <w:rPr>
          <w:b/>
          <w:bCs/>
          <w:i/>
          <w:iCs/>
        </w:rPr>
        <w:t>solutions as given in clause 3.2</w:t>
      </w:r>
    </w:p>
    <w:p w:rsidR="001102A2" w:rsidRPr="003E0368" w:rsidRDefault="001857AF" w:rsidP="001102A2">
      <w:pPr>
        <w:pStyle w:val="ListParagraph"/>
        <w:numPr>
          <w:ilvl w:val="0"/>
          <w:numId w:val="40"/>
        </w:numPr>
        <w:spacing w:before="240"/>
        <w:ind w:left="714" w:hanging="357"/>
        <w:contextualSpacing w:val="0"/>
        <w:rPr>
          <w:b/>
          <w:bCs/>
          <w:i/>
          <w:iCs/>
        </w:rPr>
      </w:pPr>
      <w:r>
        <w:rPr>
          <w:b/>
          <w:bCs/>
          <w:i/>
          <w:iCs/>
        </w:rPr>
        <w:t>to agree NOC for the Resolutions listed in 3.3</w:t>
      </w:r>
      <w:r w:rsidR="001102A2" w:rsidRPr="003E0368">
        <w:rPr>
          <w:b/>
          <w:bCs/>
          <w:i/>
          <w:iCs/>
        </w:rPr>
        <w:t>;</w:t>
      </w:r>
    </w:p>
    <w:bookmarkEnd w:id="1"/>
    <w:p w:rsidR="001102A2" w:rsidRPr="003E0368" w:rsidRDefault="001102A2" w:rsidP="001102A2">
      <w:pPr>
        <w:pStyle w:val="ListParagraph"/>
        <w:numPr>
          <w:ilvl w:val="0"/>
          <w:numId w:val="40"/>
        </w:numPr>
        <w:spacing w:before="240"/>
        <w:ind w:left="714" w:hanging="357"/>
        <w:contextualSpacing w:val="0"/>
        <w:rPr>
          <w:b/>
          <w:bCs/>
          <w:i/>
          <w:iCs/>
        </w:rPr>
      </w:pPr>
      <w:proofErr w:type="gramStart"/>
      <w:r w:rsidRPr="003E0368">
        <w:rPr>
          <w:b/>
          <w:bCs/>
          <w:i/>
          <w:iCs/>
        </w:rPr>
        <w:t>is</w:t>
      </w:r>
      <w:proofErr w:type="gramEnd"/>
      <w:r w:rsidRPr="003E0368">
        <w:rPr>
          <w:b/>
          <w:bCs/>
          <w:i/>
          <w:iCs/>
        </w:rPr>
        <w:t xml:space="preserve"> requested to mandate TSB to check Resolution 2 Annex C prior to publication, to ensure that the detailed Recommendation series allocations to study groups properly reflect all decisions taken by the assembly.</w:t>
      </w:r>
    </w:p>
    <w:p w:rsidR="001102A2" w:rsidRPr="003E0368" w:rsidRDefault="001102A2" w:rsidP="001102A2"/>
    <w:p w:rsidR="00B77BAD" w:rsidRPr="003E0368" w:rsidRDefault="00B77BAD">
      <w:pPr>
        <w:pStyle w:val="enumlev1"/>
        <w:ind w:left="0" w:firstLine="0"/>
        <w:jc w:val="center"/>
      </w:pPr>
      <w:r w:rsidRPr="003E0368">
        <w:t>_________________________</w:t>
      </w:r>
    </w:p>
    <w:sectPr w:rsidR="00B77BAD" w:rsidRPr="003E0368">
      <w:headerReference w:type="default" r:id="rId71"/>
      <w:pgSz w:w="11907" w:h="16834"/>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34" w:rsidRDefault="006C0334" w:rsidP="0003235A">
      <w:pPr>
        <w:pStyle w:val="Tabletext"/>
      </w:pPr>
      <w:r>
        <w:separator/>
      </w:r>
    </w:p>
  </w:endnote>
  <w:endnote w:type="continuationSeparator" w:id="0">
    <w:p w:rsidR="006C0334" w:rsidRDefault="006C0334" w:rsidP="0003235A">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34" w:rsidRDefault="006C0334">
      <w:r>
        <w:t>____________________</w:t>
      </w:r>
    </w:p>
  </w:footnote>
  <w:footnote w:type="continuationSeparator" w:id="0">
    <w:p w:rsidR="006C0334" w:rsidRDefault="006C0334" w:rsidP="0003235A">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FF2" w:rsidRPr="00201ED2" w:rsidRDefault="002D3FF2" w:rsidP="00201ED2">
    <w:pPr>
      <w:pStyle w:val="Header"/>
    </w:pPr>
    <w:r w:rsidRPr="00F56E6A">
      <w:rPr>
        <w:lang w:val="fr-CH"/>
      </w:rPr>
      <w:t xml:space="preserve">- </w:t>
    </w:r>
    <w:r w:rsidRPr="00201ED2">
      <w:fldChar w:fldCharType="begin"/>
    </w:r>
    <w:r w:rsidRPr="00201ED2">
      <w:instrText xml:space="preserve"> PAGE  \* MERGEFORMAT </w:instrText>
    </w:r>
    <w:r w:rsidRPr="00201ED2">
      <w:fldChar w:fldCharType="separate"/>
    </w:r>
    <w:r w:rsidR="00DC6950">
      <w:rPr>
        <w:noProof/>
      </w:rPr>
      <w:t>8</w:t>
    </w:r>
    <w:r w:rsidRPr="00201ED2">
      <w:fldChar w:fldCharType="end"/>
    </w:r>
    <w:r w:rsidRPr="00F56E6A">
      <w:rPr>
        <w:lang w:val="fr-CH"/>
      </w:rPr>
      <w:t xml:space="preserve"> -</w:t>
    </w:r>
  </w:p>
  <w:p w:rsidR="002D3FF2" w:rsidRPr="00F56E6A" w:rsidRDefault="002D3FF2" w:rsidP="003F51BA">
    <w:pPr>
      <w:pStyle w:val="Header"/>
      <w:rPr>
        <w:lang w:val="fr-CH"/>
      </w:rPr>
    </w:pPr>
    <w:r w:rsidRPr="00F56E6A">
      <w:rPr>
        <w:lang w:val="fr-CH"/>
      </w:rPr>
      <w:t>WTSA-1</w:t>
    </w:r>
    <w:r w:rsidR="003F51BA">
      <w:rPr>
        <w:lang w:val="fr-CH"/>
      </w:rPr>
      <w:t>6</w:t>
    </w:r>
    <w:r w:rsidRPr="00F56E6A">
      <w:rPr>
        <w:lang w:val="fr-CH"/>
      </w:rPr>
      <w:t>/</w:t>
    </w:r>
    <w:r w:rsidR="003F51BA">
      <w:rPr>
        <w:lang w:val="fr-CH"/>
      </w:rPr>
      <w:t>92</w:t>
    </w:r>
    <w:r w:rsidRPr="00F56E6A">
      <w:rPr>
        <w:lang w:val="fr-CH"/>
      </w:rPr>
      <w:t>-E</w:t>
    </w:r>
  </w:p>
  <w:p w:rsidR="002D3FF2" w:rsidRPr="00F56E6A" w:rsidRDefault="002D3FF2" w:rsidP="00F56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67973F8"/>
    <w:multiLevelType w:val="hybridMultilevel"/>
    <w:tmpl w:val="78E6AF4C"/>
    <w:lvl w:ilvl="0" w:tplc="8BA6CA9A">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A1A63"/>
    <w:multiLevelType w:val="hybridMultilevel"/>
    <w:tmpl w:val="1A906E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054472"/>
    <w:multiLevelType w:val="hybridMultilevel"/>
    <w:tmpl w:val="06DC7B78"/>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BD03929"/>
    <w:multiLevelType w:val="hybridMultilevel"/>
    <w:tmpl w:val="A2726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F071395"/>
    <w:multiLevelType w:val="hybridMultilevel"/>
    <w:tmpl w:val="D3920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D5711"/>
    <w:multiLevelType w:val="hybridMultilevel"/>
    <w:tmpl w:val="F662A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7067A6"/>
    <w:multiLevelType w:val="hybridMultilevel"/>
    <w:tmpl w:val="07580ADA"/>
    <w:lvl w:ilvl="0" w:tplc="EE000FD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8771B92"/>
    <w:multiLevelType w:val="hybridMultilevel"/>
    <w:tmpl w:val="AA7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A55DF"/>
    <w:multiLevelType w:val="hybridMultilevel"/>
    <w:tmpl w:val="3A9CF1A6"/>
    <w:lvl w:ilvl="0" w:tplc="FC945C5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37C3D"/>
    <w:multiLevelType w:val="hybridMultilevel"/>
    <w:tmpl w:val="DF56A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17459"/>
    <w:multiLevelType w:val="hybridMultilevel"/>
    <w:tmpl w:val="BB10D2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F3655C"/>
    <w:multiLevelType w:val="hybridMultilevel"/>
    <w:tmpl w:val="6DF02152"/>
    <w:lvl w:ilvl="0" w:tplc="6BECA4A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70A0CA2"/>
    <w:multiLevelType w:val="hybridMultilevel"/>
    <w:tmpl w:val="D346CACE"/>
    <w:lvl w:ilvl="0" w:tplc="0409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47153768"/>
    <w:multiLevelType w:val="hybridMultilevel"/>
    <w:tmpl w:val="9F4E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804281"/>
    <w:multiLevelType w:val="hybridMultilevel"/>
    <w:tmpl w:val="4198D0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BEA7654"/>
    <w:multiLevelType w:val="hybridMultilevel"/>
    <w:tmpl w:val="A13606EC"/>
    <w:lvl w:ilvl="0" w:tplc="2714716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5C7D6473"/>
    <w:multiLevelType w:val="hybridMultilevel"/>
    <w:tmpl w:val="B89E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CA5DB6"/>
    <w:multiLevelType w:val="hybridMultilevel"/>
    <w:tmpl w:val="72F240A0"/>
    <w:lvl w:ilvl="0" w:tplc="BD1EC5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45F41"/>
    <w:multiLevelType w:val="hybridMultilevel"/>
    <w:tmpl w:val="23F2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5162AE"/>
    <w:multiLevelType w:val="hybridMultilevel"/>
    <w:tmpl w:val="EA9AC8CC"/>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036FBE"/>
    <w:multiLevelType w:val="hybridMultilevel"/>
    <w:tmpl w:val="C4A6A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B3C16"/>
    <w:multiLevelType w:val="multilevel"/>
    <w:tmpl w:val="BE1842C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15:restartNumberingAfterBreak="0">
    <w:nsid w:val="7DB44596"/>
    <w:multiLevelType w:val="hybridMultilevel"/>
    <w:tmpl w:val="ADD2C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4"/>
  </w:num>
  <w:num w:numId="3">
    <w:abstractNumId w:val="9"/>
  </w:num>
  <w:num w:numId="4">
    <w:abstractNumId w:val="4"/>
  </w:num>
  <w:num w:numId="5">
    <w:abstractNumId w:val="8"/>
  </w:num>
  <w:num w:numId="6">
    <w:abstractNumId w:val="6"/>
  </w:num>
  <w:num w:numId="7">
    <w:abstractNumId w:val="41"/>
  </w:num>
  <w:num w:numId="8">
    <w:abstractNumId w:val="40"/>
  </w:num>
  <w:num w:numId="9">
    <w:abstractNumId w:val="0"/>
  </w:num>
  <w:num w:numId="10">
    <w:abstractNumId w:val="38"/>
  </w:num>
  <w:num w:numId="11">
    <w:abstractNumId w:val="5"/>
  </w:num>
  <w:num w:numId="12">
    <w:abstractNumId w:val="39"/>
  </w:num>
  <w:num w:numId="13">
    <w:abstractNumId w:val="28"/>
  </w:num>
  <w:num w:numId="14">
    <w:abstractNumId w:val="19"/>
  </w:num>
  <w:num w:numId="15">
    <w:abstractNumId w:val="25"/>
  </w:num>
  <w:num w:numId="16">
    <w:abstractNumId w:val="12"/>
  </w:num>
  <w:num w:numId="17">
    <w:abstractNumId w:val="20"/>
  </w:num>
  <w:num w:numId="18">
    <w:abstractNumId w:val="32"/>
  </w:num>
  <w:num w:numId="19">
    <w:abstractNumId w:val="26"/>
  </w:num>
  <w:num w:numId="20">
    <w:abstractNumId w:val="24"/>
  </w:num>
  <w:num w:numId="21">
    <w:abstractNumId w:val="11"/>
  </w:num>
  <w:num w:numId="22">
    <w:abstractNumId w:val="2"/>
  </w:num>
  <w:num w:numId="23">
    <w:abstractNumId w:val="29"/>
  </w:num>
  <w:num w:numId="24">
    <w:abstractNumId w:val="35"/>
  </w:num>
  <w:num w:numId="25">
    <w:abstractNumId w:val="3"/>
  </w:num>
  <w:num w:numId="26">
    <w:abstractNumId w:val="36"/>
  </w:num>
  <w:num w:numId="27">
    <w:abstractNumId w:val="21"/>
  </w:num>
  <w:num w:numId="28">
    <w:abstractNumId w:val="18"/>
  </w:num>
  <w:num w:numId="29">
    <w:abstractNumId w:val="42"/>
  </w:num>
  <w:num w:numId="30">
    <w:abstractNumId w:val="23"/>
  </w:num>
  <w:num w:numId="31">
    <w:abstractNumId w:val="10"/>
  </w:num>
  <w:num w:numId="32">
    <w:abstractNumId w:val="13"/>
  </w:num>
  <w:num w:numId="33">
    <w:abstractNumId w:val="34"/>
  </w:num>
  <w:num w:numId="34">
    <w:abstractNumId w:val="33"/>
  </w:num>
  <w:num w:numId="35">
    <w:abstractNumId w:val="31"/>
  </w:num>
  <w:num w:numId="36">
    <w:abstractNumId w:val="17"/>
  </w:num>
  <w:num w:numId="37">
    <w:abstractNumId w:val="15"/>
  </w:num>
  <w:num w:numId="38">
    <w:abstractNumId w:val="16"/>
  </w:num>
  <w:num w:numId="39">
    <w:abstractNumId w:val="37"/>
  </w:num>
  <w:num w:numId="40">
    <w:abstractNumId w:val="1"/>
  </w:num>
  <w:num w:numId="41">
    <w:abstractNumId w:val="30"/>
  </w:num>
  <w:num w:numId="42">
    <w:abstractNumId w:val="22"/>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AD"/>
    <w:rsid w:val="000028A7"/>
    <w:rsid w:val="00013C9F"/>
    <w:rsid w:val="00014D61"/>
    <w:rsid w:val="00015EDF"/>
    <w:rsid w:val="00020079"/>
    <w:rsid w:val="00020117"/>
    <w:rsid w:val="000318CA"/>
    <w:rsid w:val="0003235A"/>
    <w:rsid w:val="00035629"/>
    <w:rsid w:val="000365DB"/>
    <w:rsid w:val="00036F45"/>
    <w:rsid w:val="00045773"/>
    <w:rsid w:val="00046628"/>
    <w:rsid w:val="00047FC1"/>
    <w:rsid w:val="000502B6"/>
    <w:rsid w:val="00051EED"/>
    <w:rsid w:val="00052429"/>
    <w:rsid w:val="00055C97"/>
    <w:rsid w:val="00060205"/>
    <w:rsid w:val="00061D5E"/>
    <w:rsid w:val="0006552F"/>
    <w:rsid w:val="000737E7"/>
    <w:rsid w:val="00081BE3"/>
    <w:rsid w:val="000841E9"/>
    <w:rsid w:val="00084BD1"/>
    <w:rsid w:val="0009716B"/>
    <w:rsid w:val="000A6FBB"/>
    <w:rsid w:val="000B335B"/>
    <w:rsid w:val="000B4151"/>
    <w:rsid w:val="000B49C8"/>
    <w:rsid w:val="000C72DE"/>
    <w:rsid w:val="000D11DE"/>
    <w:rsid w:val="000D584D"/>
    <w:rsid w:val="000E061D"/>
    <w:rsid w:val="000E11B0"/>
    <w:rsid w:val="000E67F6"/>
    <w:rsid w:val="000F00D1"/>
    <w:rsid w:val="000F4897"/>
    <w:rsid w:val="000F6E4C"/>
    <w:rsid w:val="001102A2"/>
    <w:rsid w:val="00123494"/>
    <w:rsid w:val="001250EA"/>
    <w:rsid w:val="0013516B"/>
    <w:rsid w:val="00135291"/>
    <w:rsid w:val="00145C8C"/>
    <w:rsid w:val="0014690B"/>
    <w:rsid w:val="00151759"/>
    <w:rsid w:val="00154319"/>
    <w:rsid w:val="00160711"/>
    <w:rsid w:val="001619BC"/>
    <w:rsid w:val="001736C0"/>
    <w:rsid w:val="00175FC4"/>
    <w:rsid w:val="001857AF"/>
    <w:rsid w:val="00185F95"/>
    <w:rsid w:val="001952A8"/>
    <w:rsid w:val="001A08B6"/>
    <w:rsid w:val="001A2CD1"/>
    <w:rsid w:val="001B16A3"/>
    <w:rsid w:val="001B6B16"/>
    <w:rsid w:val="001C4F64"/>
    <w:rsid w:val="001E6F1A"/>
    <w:rsid w:val="001F0677"/>
    <w:rsid w:val="001F088B"/>
    <w:rsid w:val="00201ED2"/>
    <w:rsid w:val="002034F7"/>
    <w:rsid w:val="002054BD"/>
    <w:rsid w:val="00207D10"/>
    <w:rsid w:val="00212EAD"/>
    <w:rsid w:val="00214617"/>
    <w:rsid w:val="00215CA3"/>
    <w:rsid w:val="00220898"/>
    <w:rsid w:val="00221083"/>
    <w:rsid w:val="00226F7D"/>
    <w:rsid w:val="00230933"/>
    <w:rsid w:val="00235188"/>
    <w:rsid w:val="00236316"/>
    <w:rsid w:val="00242E02"/>
    <w:rsid w:val="00243154"/>
    <w:rsid w:val="00243D3E"/>
    <w:rsid w:val="002446E9"/>
    <w:rsid w:val="00246CD3"/>
    <w:rsid w:val="00247640"/>
    <w:rsid w:val="00254365"/>
    <w:rsid w:val="00257DAB"/>
    <w:rsid w:val="0026248B"/>
    <w:rsid w:val="0026355B"/>
    <w:rsid w:val="002702F2"/>
    <w:rsid w:val="002718E3"/>
    <w:rsid w:val="00272275"/>
    <w:rsid w:val="0027278F"/>
    <w:rsid w:val="00272C1D"/>
    <w:rsid w:val="0027379F"/>
    <w:rsid w:val="00275B86"/>
    <w:rsid w:val="002851EA"/>
    <w:rsid w:val="0029232B"/>
    <w:rsid w:val="002A26B7"/>
    <w:rsid w:val="002A4726"/>
    <w:rsid w:val="002B0971"/>
    <w:rsid w:val="002B2587"/>
    <w:rsid w:val="002B3A67"/>
    <w:rsid w:val="002B521F"/>
    <w:rsid w:val="002C0A3A"/>
    <w:rsid w:val="002C3D28"/>
    <w:rsid w:val="002C4BD6"/>
    <w:rsid w:val="002C6789"/>
    <w:rsid w:val="002C6D1E"/>
    <w:rsid w:val="002D118B"/>
    <w:rsid w:val="002D23E0"/>
    <w:rsid w:val="002D3FF2"/>
    <w:rsid w:val="002D7D01"/>
    <w:rsid w:val="002E04A4"/>
    <w:rsid w:val="002E0A20"/>
    <w:rsid w:val="002E3904"/>
    <w:rsid w:val="002E4D27"/>
    <w:rsid w:val="002F3B8E"/>
    <w:rsid w:val="002F4C9C"/>
    <w:rsid w:val="002F4E93"/>
    <w:rsid w:val="002F55FE"/>
    <w:rsid w:val="003033AE"/>
    <w:rsid w:val="003040B2"/>
    <w:rsid w:val="0030570F"/>
    <w:rsid w:val="00310C78"/>
    <w:rsid w:val="00313E7D"/>
    <w:rsid w:val="00315465"/>
    <w:rsid w:val="00316964"/>
    <w:rsid w:val="00317D13"/>
    <w:rsid w:val="00322815"/>
    <w:rsid w:val="00330376"/>
    <w:rsid w:val="00336C61"/>
    <w:rsid w:val="003468D6"/>
    <w:rsid w:val="00347807"/>
    <w:rsid w:val="00354D87"/>
    <w:rsid w:val="0035574C"/>
    <w:rsid w:val="00357D92"/>
    <w:rsid w:val="00361A3D"/>
    <w:rsid w:val="00381FA7"/>
    <w:rsid w:val="00384369"/>
    <w:rsid w:val="0039353F"/>
    <w:rsid w:val="00394A94"/>
    <w:rsid w:val="003A15BC"/>
    <w:rsid w:val="003A2F05"/>
    <w:rsid w:val="003A528E"/>
    <w:rsid w:val="003A6F57"/>
    <w:rsid w:val="003C35AB"/>
    <w:rsid w:val="003C7E47"/>
    <w:rsid w:val="003D37DD"/>
    <w:rsid w:val="003D417F"/>
    <w:rsid w:val="003D72AE"/>
    <w:rsid w:val="003E0368"/>
    <w:rsid w:val="003E1B30"/>
    <w:rsid w:val="003F28AC"/>
    <w:rsid w:val="003F41DE"/>
    <w:rsid w:val="003F51BA"/>
    <w:rsid w:val="003F5334"/>
    <w:rsid w:val="00401363"/>
    <w:rsid w:val="004108B0"/>
    <w:rsid w:val="00417FF3"/>
    <w:rsid w:val="00423EB4"/>
    <w:rsid w:val="00430ADD"/>
    <w:rsid w:val="00435270"/>
    <w:rsid w:val="00436EE0"/>
    <w:rsid w:val="0043734F"/>
    <w:rsid w:val="00441499"/>
    <w:rsid w:val="00445EDB"/>
    <w:rsid w:val="00451F94"/>
    <w:rsid w:val="00455820"/>
    <w:rsid w:val="00461307"/>
    <w:rsid w:val="00480A80"/>
    <w:rsid w:val="00487B9F"/>
    <w:rsid w:val="00495855"/>
    <w:rsid w:val="004A3B4E"/>
    <w:rsid w:val="004B1D73"/>
    <w:rsid w:val="004B2831"/>
    <w:rsid w:val="004C0B2A"/>
    <w:rsid w:val="004C34CB"/>
    <w:rsid w:val="004D7A53"/>
    <w:rsid w:val="004E3068"/>
    <w:rsid w:val="004E3FB8"/>
    <w:rsid w:val="004E5FD4"/>
    <w:rsid w:val="004F081E"/>
    <w:rsid w:val="004F2676"/>
    <w:rsid w:val="00501092"/>
    <w:rsid w:val="0050148F"/>
    <w:rsid w:val="00503E1B"/>
    <w:rsid w:val="00512123"/>
    <w:rsid w:val="005136A6"/>
    <w:rsid w:val="00514DA4"/>
    <w:rsid w:val="005179A2"/>
    <w:rsid w:val="00523762"/>
    <w:rsid w:val="005238B5"/>
    <w:rsid w:val="0052563C"/>
    <w:rsid w:val="005358E9"/>
    <w:rsid w:val="00541AD0"/>
    <w:rsid w:val="005527DE"/>
    <w:rsid w:val="00552F94"/>
    <w:rsid w:val="00554C29"/>
    <w:rsid w:val="00555379"/>
    <w:rsid w:val="005579FE"/>
    <w:rsid w:val="005A37F6"/>
    <w:rsid w:val="005A3D16"/>
    <w:rsid w:val="005B0919"/>
    <w:rsid w:val="005B09A9"/>
    <w:rsid w:val="005C1115"/>
    <w:rsid w:val="005C2818"/>
    <w:rsid w:val="005D5698"/>
    <w:rsid w:val="005D77F7"/>
    <w:rsid w:val="005E2989"/>
    <w:rsid w:val="005E3558"/>
    <w:rsid w:val="005E39B4"/>
    <w:rsid w:val="005E5D2B"/>
    <w:rsid w:val="005F5CDE"/>
    <w:rsid w:val="005F6C6C"/>
    <w:rsid w:val="00603090"/>
    <w:rsid w:val="0060797B"/>
    <w:rsid w:val="00612BFA"/>
    <w:rsid w:val="00616E86"/>
    <w:rsid w:val="00627F31"/>
    <w:rsid w:val="00644898"/>
    <w:rsid w:val="00644FE4"/>
    <w:rsid w:val="00646EF5"/>
    <w:rsid w:val="0064730B"/>
    <w:rsid w:val="00652F2D"/>
    <w:rsid w:val="0065351E"/>
    <w:rsid w:val="00654753"/>
    <w:rsid w:val="006562F0"/>
    <w:rsid w:val="00661F04"/>
    <w:rsid w:val="00663AAF"/>
    <w:rsid w:val="00666E4B"/>
    <w:rsid w:val="00676DBD"/>
    <w:rsid w:val="00682A3D"/>
    <w:rsid w:val="00684608"/>
    <w:rsid w:val="006854D5"/>
    <w:rsid w:val="00696A81"/>
    <w:rsid w:val="00697ACA"/>
    <w:rsid w:val="006A144C"/>
    <w:rsid w:val="006A2E4F"/>
    <w:rsid w:val="006A6D64"/>
    <w:rsid w:val="006B2577"/>
    <w:rsid w:val="006B3E50"/>
    <w:rsid w:val="006C0334"/>
    <w:rsid w:val="006C069F"/>
    <w:rsid w:val="006C2034"/>
    <w:rsid w:val="006C204B"/>
    <w:rsid w:val="006C6344"/>
    <w:rsid w:val="006D47D3"/>
    <w:rsid w:val="006D7634"/>
    <w:rsid w:val="006E4E8C"/>
    <w:rsid w:val="006E6743"/>
    <w:rsid w:val="006F4AA2"/>
    <w:rsid w:val="00706897"/>
    <w:rsid w:val="0072238D"/>
    <w:rsid w:val="007307A3"/>
    <w:rsid w:val="0073115A"/>
    <w:rsid w:val="007367EE"/>
    <w:rsid w:val="00745374"/>
    <w:rsid w:val="00747DE7"/>
    <w:rsid w:val="00750765"/>
    <w:rsid w:val="00751A61"/>
    <w:rsid w:val="00760C1C"/>
    <w:rsid w:val="007616B6"/>
    <w:rsid w:val="00772CDD"/>
    <w:rsid w:val="007777B9"/>
    <w:rsid w:val="007802DE"/>
    <w:rsid w:val="00781BD1"/>
    <w:rsid w:val="00785B2F"/>
    <w:rsid w:val="00790BB1"/>
    <w:rsid w:val="007931B1"/>
    <w:rsid w:val="00794ED2"/>
    <w:rsid w:val="007B20FB"/>
    <w:rsid w:val="007B4C71"/>
    <w:rsid w:val="007B76E0"/>
    <w:rsid w:val="007C1B6C"/>
    <w:rsid w:val="007C29FD"/>
    <w:rsid w:val="007D3B8A"/>
    <w:rsid w:val="007E568F"/>
    <w:rsid w:val="008020BA"/>
    <w:rsid w:val="00814C0B"/>
    <w:rsid w:val="00816480"/>
    <w:rsid w:val="0082130D"/>
    <w:rsid w:val="008219BB"/>
    <w:rsid w:val="00825D4B"/>
    <w:rsid w:val="008264EE"/>
    <w:rsid w:val="00832B14"/>
    <w:rsid w:val="0084137D"/>
    <w:rsid w:val="00843595"/>
    <w:rsid w:val="008606DF"/>
    <w:rsid w:val="00861D4A"/>
    <w:rsid w:val="00867274"/>
    <w:rsid w:val="00867A64"/>
    <w:rsid w:val="008714A7"/>
    <w:rsid w:val="00883294"/>
    <w:rsid w:val="008834F7"/>
    <w:rsid w:val="008857BA"/>
    <w:rsid w:val="008859F8"/>
    <w:rsid w:val="00887D6A"/>
    <w:rsid w:val="00893372"/>
    <w:rsid w:val="008A307D"/>
    <w:rsid w:val="008B31D8"/>
    <w:rsid w:val="008C4C48"/>
    <w:rsid w:val="008D0A40"/>
    <w:rsid w:val="008D199A"/>
    <w:rsid w:val="008D7142"/>
    <w:rsid w:val="008E2961"/>
    <w:rsid w:val="008E3328"/>
    <w:rsid w:val="008E349F"/>
    <w:rsid w:val="008E43CF"/>
    <w:rsid w:val="008E4B39"/>
    <w:rsid w:val="00903993"/>
    <w:rsid w:val="00907992"/>
    <w:rsid w:val="009223FB"/>
    <w:rsid w:val="00925580"/>
    <w:rsid w:val="00930263"/>
    <w:rsid w:val="009340A5"/>
    <w:rsid w:val="00941686"/>
    <w:rsid w:val="0095010F"/>
    <w:rsid w:val="00950854"/>
    <w:rsid w:val="009539B9"/>
    <w:rsid w:val="00956BEB"/>
    <w:rsid w:val="009625A8"/>
    <w:rsid w:val="00967D3F"/>
    <w:rsid w:val="00971E9B"/>
    <w:rsid w:val="00973889"/>
    <w:rsid w:val="00976E2F"/>
    <w:rsid w:val="009814F8"/>
    <w:rsid w:val="00982109"/>
    <w:rsid w:val="009839DA"/>
    <w:rsid w:val="009B0FA5"/>
    <w:rsid w:val="009B358E"/>
    <w:rsid w:val="009C79B3"/>
    <w:rsid w:val="009D0B1F"/>
    <w:rsid w:val="009D1519"/>
    <w:rsid w:val="009D1C44"/>
    <w:rsid w:val="009D5D1C"/>
    <w:rsid w:val="009D60E0"/>
    <w:rsid w:val="009F1817"/>
    <w:rsid w:val="009F3C62"/>
    <w:rsid w:val="00A009DE"/>
    <w:rsid w:val="00A01339"/>
    <w:rsid w:val="00A020E5"/>
    <w:rsid w:val="00A10DFF"/>
    <w:rsid w:val="00A12801"/>
    <w:rsid w:val="00A15597"/>
    <w:rsid w:val="00A157C1"/>
    <w:rsid w:val="00A26933"/>
    <w:rsid w:val="00A276EF"/>
    <w:rsid w:val="00A345F6"/>
    <w:rsid w:val="00A35204"/>
    <w:rsid w:val="00A353B1"/>
    <w:rsid w:val="00A40E30"/>
    <w:rsid w:val="00A42515"/>
    <w:rsid w:val="00A4567B"/>
    <w:rsid w:val="00A51F78"/>
    <w:rsid w:val="00A5240C"/>
    <w:rsid w:val="00A53A02"/>
    <w:rsid w:val="00A61295"/>
    <w:rsid w:val="00A66E90"/>
    <w:rsid w:val="00A7021D"/>
    <w:rsid w:val="00A70873"/>
    <w:rsid w:val="00A72AA4"/>
    <w:rsid w:val="00A7385C"/>
    <w:rsid w:val="00A82281"/>
    <w:rsid w:val="00A87F19"/>
    <w:rsid w:val="00A93303"/>
    <w:rsid w:val="00A953AF"/>
    <w:rsid w:val="00A962AC"/>
    <w:rsid w:val="00AA113E"/>
    <w:rsid w:val="00AB4FBD"/>
    <w:rsid w:val="00AB7D4A"/>
    <w:rsid w:val="00AC4598"/>
    <w:rsid w:val="00AD0EE3"/>
    <w:rsid w:val="00AD3C06"/>
    <w:rsid w:val="00AE3C4D"/>
    <w:rsid w:val="00AE4026"/>
    <w:rsid w:val="00AE69E9"/>
    <w:rsid w:val="00AF27A9"/>
    <w:rsid w:val="00AF688C"/>
    <w:rsid w:val="00B06107"/>
    <w:rsid w:val="00B072E2"/>
    <w:rsid w:val="00B10FF3"/>
    <w:rsid w:val="00B11048"/>
    <w:rsid w:val="00B113F7"/>
    <w:rsid w:val="00B118F5"/>
    <w:rsid w:val="00B11AA5"/>
    <w:rsid w:val="00B212D7"/>
    <w:rsid w:val="00B31602"/>
    <w:rsid w:val="00B31D75"/>
    <w:rsid w:val="00B31FD0"/>
    <w:rsid w:val="00B404C4"/>
    <w:rsid w:val="00B4181A"/>
    <w:rsid w:val="00B53517"/>
    <w:rsid w:val="00B538DF"/>
    <w:rsid w:val="00B77BAD"/>
    <w:rsid w:val="00B823D6"/>
    <w:rsid w:val="00B934FE"/>
    <w:rsid w:val="00BA1110"/>
    <w:rsid w:val="00BB1593"/>
    <w:rsid w:val="00BB1AAF"/>
    <w:rsid w:val="00BD03E6"/>
    <w:rsid w:val="00BD31D1"/>
    <w:rsid w:val="00BD5CF5"/>
    <w:rsid w:val="00BE043B"/>
    <w:rsid w:val="00BF548B"/>
    <w:rsid w:val="00C03F44"/>
    <w:rsid w:val="00C15A4C"/>
    <w:rsid w:val="00C21D47"/>
    <w:rsid w:val="00C24D51"/>
    <w:rsid w:val="00C3185D"/>
    <w:rsid w:val="00C33FA5"/>
    <w:rsid w:val="00C345F4"/>
    <w:rsid w:val="00C451F0"/>
    <w:rsid w:val="00C45342"/>
    <w:rsid w:val="00C62257"/>
    <w:rsid w:val="00C66A7D"/>
    <w:rsid w:val="00C715E4"/>
    <w:rsid w:val="00C75863"/>
    <w:rsid w:val="00C800E2"/>
    <w:rsid w:val="00C8302F"/>
    <w:rsid w:val="00C836CA"/>
    <w:rsid w:val="00C86FB1"/>
    <w:rsid w:val="00C87AE5"/>
    <w:rsid w:val="00C92FC5"/>
    <w:rsid w:val="00C931D8"/>
    <w:rsid w:val="00C960A7"/>
    <w:rsid w:val="00CA0F61"/>
    <w:rsid w:val="00CA6CA5"/>
    <w:rsid w:val="00CB3D4A"/>
    <w:rsid w:val="00CB5EED"/>
    <w:rsid w:val="00CB7729"/>
    <w:rsid w:val="00CC0001"/>
    <w:rsid w:val="00CC1F1E"/>
    <w:rsid w:val="00CC3197"/>
    <w:rsid w:val="00CC46B8"/>
    <w:rsid w:val="00CC6095"/>
    <w:rsid w:val="00CC6F6F"/>
    <w:rsid w:val="00CE3B2B"/>
    <w:rsid w:val="00CF0816"/>
    <w:rsid w:val="00CF1589"/>
    <w:rsid w:val="00CF4253"/>
    <w:rsid w:val="00D02DB4"/>
    <w:rsid w:val="00D16A3A"/>
    <w:rsid w:val="00D16CEC"/>
    <w:rsid w:val="00D22A85"/>
    <w:rsid w:val="00D22B3B"/>
    <w:rsid w:val="00D23972"/>
    <w:rsid w:val="00D240A7"/>
    <w:rsid w:val="00D246C3"/>
    <w:rsid w:val="00D300A6"/>
    <w:rsid w:val="00D31C87"/>
    <w:rsid w:val="00D34224"/>
    <w:rsid w:val="00D35B26"/>
    <w:rsid w:val="00D3680D"/>
    <w:rsid w:val="00D40E90"/>
    <w:rsid w:val="00D41156"/>
    <w:rsid w:val="00D419FB"/>
    <w:rsid w:val="00D44326"/>
    <w:rsid w:val="00D50A80"/>
    <w:rsid w:val="00D54E6A"/>
    <w:rsid w:val="00D6666C"/>
    <w:rsid w:val="00D67300"/>
    <w:rsid w:val="00D67870"/>
    <w:rsid w:val="00D70B17"/>
    <w:rsid w:val="00D71188"/>
    <w:rsid w:val="00D72CFB"/>
    <w:rsid w:val="00D75890"/>
    <w:rsid w:val="00D82FF5"/>
    <w:rsid w:val="00D83A0B"/>
    <w:rsid w:val="00D92C3F"/>
    <w:rsid w:val="00DA41F5"/>
    <w:rsid w:val="00DA5D32"/>
    <w:rsid w:val="00DB51DE"/>
    <w:rsid w:val="00DB7DCE"/>
    <w:rsid w:val="00DC0AC7"/>
    <w:rsid w:val="00DC1763"/>
    <w:rsid w:val="00DC6950"/>
    <w:rsid w:val="00DD23DA"/>
    <w:rsid w:val="00DD4F73"/>
    <w:rsid w:val="00DE1A54"/>
    <w:rsid w:val="00DE28F8"/>
    <w:rsid w:val="00DE4D28"/>
    <w:rsid w:val="00DE5A5D"/>
    <w:rsid w:val="00DE6F86"/>
    <w:rsid w:val="00DF064E"/>
    <w:rsid w:val="00DF2AC9"/>
    <w:rsid w:val="00DF3472"/>
    <w:rsid w:val="00DF353F"/>
    <w:rsid w:val="00DF4029"/>
    <w:rsid w:val="00DF5140"/>
    <w:rsid w:val="00DF7D74"/>
    <w:rsid w:val="00E10DCA"/>
    <w:rsid w:val="00E1529B"/>
    <w:rsid w:val="00E2004C"/>
    <w:rsid w:val="00E2122B"/>
    <w:rsid w:val="00E214A3"/>
    <w:rsid w:val="00E22DE2"/>
    <w:rsid w:val="00E301FD"/>
    <w:rsid w:val="00E3039C"/>
    <w:rsid w:val="00E423C5"/>
    <w:rsid w:val="00E4497B"/>
    <w:rsid w:val="00E5171C"/>
    <w:rsid w:val="00E55738"/>
    <w:rsid w:val="00E56553"/>
    <w:rsid w:val="00E57E2E"/>
    <w:rsid w:val="00E62904"/>
    <w:rsid w:val="00E63516"/>
    <w:rsid w:val="00E82777"/>
    <w:rsid w:val="00E8518D"/>
    <w:rsid w:val="00E93C1A"/>
    <w:rsid w:val="00EA5B5A"/>
    <w:rsid w:val="00EA62AD"/>
    <w:rsid w:val="00EB0FAA"/>
    <w:rsid w:val="00EB4571"/>
    <w:rsid w:val="00EB5F32"/>
    <w:rsid w:val="00EC3112"/>
    <w:rsid w:val="00EC64F6"/>
    <w:rsid w:val="00EC7592"/>
    <w:rsid w:val="00ED0C7F"/>
    <w:rsid w:val="00ED2716"/>
    <w:rsid w:val="00ED3DB9"/>
    <w:rsid w:val="00ED729B"/>
    <w:rsid w:val="00ED7545"/>
    <w:rsid w:val="00EE1748"/>
    <w:rsid w:val="00EE3992"/>
    <w:rsid w:val="00EE3E6A"/>
    <w:rsid w:val="00EE6EA9"/>
    <w:rsid w:val="00EE7E21"/>
    <w:rsid w:val="00EF2D0C"/>
    <w:rsid w:val="00F02E4A"/>
    <w:rsid w:val="00F10F07"/>
    <w:rsid w:val="00F24CDF"/>
    <w:rsid w:val="00F31114"/>
    <w:rsid w:val="00F34B8F"/>
    <w:rsid w:val="00F37E90"/>
    <w:rsid w:val="00F40394"/>
    <w:rsid w:val="00F43183"/>
    <w:rsid w:val="00F4716C"/>
    <w:rsid w:val="00F5088D"/>
    <w:rsid w:val="00F525C9"/>
    <w:rsid w:val="00F538B9"/>
    <w:rsid w:val="00F56E6A"/>
    <w:rsid w:val="00F7652F"/>
    <w:rsid w:val="00F779FC"/>
    <w:rsid w:val="00F85C5E"/>
    <w:rsid w:val="00F87C42"/>
    <w:rsid w:val="00F9037F"/>
    <w:rsid w:val="00F92006"/>
    <w:rsid w:val="00FA4109"/>
    <w:rsid w:val="00FB36E8"/>
    <w:rsid w:val="00FB6B65"/>
    <w:rsid w:val="00FC4B13"/>
    <w:rsid w:val="00FC7C00"/>
    <w:rsid w:val="00FD017A"/>
    <w:rsid w:val="00FE00F1"/>
    <w:rsid w:val="00FF26DA"/>
    <w:rsid w:val="00FF48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E054FA-A65B-4ACC-9182-6CBEA7E5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30B"/>
    <w:pPr>
      <w:tabs>
        <w:tab w:val="left" w:pos="851"/>
      </w:tabs>
      <w:spacing w:before="120"/>
    </w:pPr>
    <w:rPr>
      <w:rFonts w:ascii="Times New Roman" w:eastAsiaTheme="minorEastAsia" w:hAnsi="Times New Roman"/>
      <w:sz w:val="24"/>
      <w:szCs w:val="24"/>
      <w:lang w:val="en-GB" w:eastAsia="ja-JP"/>
    </w:rPr>
  </w:style>
  <w:style w:type="paragraph" w:styleId="Heading1">
    <w:name w:val="heading 1"/>
    <w:basedOn w:val="Normal"/>
    <w:next w:val="Normal"/>
    <w:rsid w:val="008C4C48"/>
    <w:pPr>
      <w:keepNext/>
      <w:keepLines/>
      <w:spacing w:before="280"/>
      <w:ind w:left="794" w:hanging="794"/>
      <w:outlineLvl w:val="0"/>
    </w:pPr>
    <w:rPr>
      <w:b/>
    </w:rPr>
  </w:style>
  <w:style w:type="paragraph" w:styleId="Heading2">
    <w:name w:val="heading 2"/>
    <w:basedOn w:val="Heading1"/>
    <w:next w:val="Normal"/>
    <w:link w:val="Heading2Char"/>
    <w:pPr>
      <w:spacing w:before="200"/>
      <w:outlineLvl w:val="1"/>
    </w:pPr>
  </w:style>
  <w:style w:type="paragraph" w:styleId="Heading3">
    <w:name w:val="heading 3"/>
    <w:basedOn w:val="Heading1"/>
    <w:next w:val="Normal"/>
    <w:pPr>
      <w:spacing w:before="200"/>
      <w:outlineLvl w:val="2"/>
    </w:pPr>
  </w:style>
  <w:style w:type="paragraph" w:styleId="Heading4">
    <w:name w:val="heading 4"/>
    <w:basedOn w:val="Heading3"/>
    <w:next w:val="Normal"/>
    <w:qFormat/>
    <w:pPr>
      <w:tabs>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pPr>
      <w:tabs>
        <w:tab w:val="clear" w:pos="992"/>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rsid w:val="00E56553"/>
    <w:pPr>
      <w:ind w:left="2269"/>
    </w:pPr>
  </w:style>
  <w:style w:type="paragraph" w:styleId="TOC2">
    <w:name w:val="toc 2"/>
    <w:basedOn w:val="TOC1"/>
    <w:rsid w:val="00E56553"/>
    <w:pPr>
      <w:tabs>
        <w:tab w:val="clear" w:pos="964"/>
      </w:tabs>
      <w:spacing w:before="80"/>
      <w:ind w:left="1531" w:hanging="851"/>
    </w:pPr>
  </w:style>
  <w:style w:type="paragraph" w:styleId="TOC1">
    <w:name w:val="toc 1"/>
    <w:basedOn w:val="Normal"/>
    <w:rsid w:val="00E56553"/>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left" w:pos="5954"/>
        <w:tab w:val="right" w:pos="9639"/>
      </w:tabs>
      <w:spacing w:before="0"/>
    </w:pPr>
    <w:rPr>
      <w:rFonts w:eastAsia="Times New Roman"/>
      <w:caps/>
      <w:noProof/>
      <w:sz w:val="16"/>
      <w:szCs w:val="20"/>
      <w:lang w:val="fr-FR" w:eastAsia="en-US"/>
    </w:rPr>
  </w:style>
  <w:style w:type="paragraph" w:styleId="Header">
    <w:name w:val="header"/>
    <w:basedOn w:val="Normal"/>
    <w:link w:val="HeaderChar"/>
    <w:pPr>
      <w:spacing w:before="0"/>
      <w:jc w:val="center"/>
    </w:pPr>
    <w:rPr>
      <w:rFonts w:eastAsia="Times New Roman"/>
      <w:sz w:val="18"/>
      <w:szCs w:val="20"/>
      <w:lang w:val="fr-FR" w:eastAsia="en-US"/>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ind w:left="255" w:hanging="255"/>
    </w:pPr>
    <w:rPr>
      <w:rFonts w:eastAsia="Times New Roman"/>
      <w:szCs w:val="20"/>
      <w:lang w:eastAsia="en-US"/>
    </w:rPr>
  </w:style>
  <w:style w:type="paragraph" w:styleId="NormalIndent">
    <w:name w:val="Normal Indent"/>
    <w:basedOn w:val="Normal"/>
    <w:pPr>
      <w:ind w:left="794"/>
    </w:p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Normalaftertitle">
    <w:name w:val="Normal after title"/>
    <w:basedOn w:val="Normal"/>
    <w:next w:val="Normal"/>
    <w:pPr>
      <w:spacing w:before="280"/>
    </w:pPr>
  </w:style>
  <w:style w:type="paragraph" w:customStyle="1" w:styleId="toc0">
    <w:name w:val="toc 0"/>
    <w:basedOn w:val="Normal"/>
    <w:next w:val="TOC1"/>
    <w:pPr>
      <w:tabs>
        <w:tab w:val="right" w:pos="9781"/>
      </w:tabs>
    </w:pPr>
    <w:rPr>
      <w:b/>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rsid w:val="00DA5D32"/>
    <w:pPr>
      <w:spacing w:before="80"/>
    </w:pPr>
    <w:rPr>
      <w:sz w:val="22"/>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pPr>
      <w:spacing w:before="840" w:after="200"/>
      <w:jc w:val="center"/>
    </w:pPr>
    <w:rPr>
      <w:b/>
      <w:sz w:val="28"/>
    </w:rPr>
  </w:style>
  <w:style w:type="paragraph" w:customStyle="1" w:styleId="Title2">
    <w:name w:val="Title 2"/>
    <w:basedOn w:val="Title1"/>
    <w:next w:val="Title3"/>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title">
    <w:name w:val="Appendix_title"/>
    <w:basedOn w:val="Annextitle"/>
    <w:next w:val="Normalaftertitle"/>
  </w:style>
  <w:style w:type="paragraph" w:customStyle="1" w:styleId="Appendixref">
    <w:name w:val="Appendix_ref"/>
    <w:basedOn w:val="Annexref"/>
    <w:next w:val="Annextitle"/>
  </w:style>
  <w:style w:type="paragraph" w:customStyle="1" w:styleId="Call">
    <w:name w:val="Call"/>
    <w:basedOn w:val="Normal"/>
    <w:next w:val="Normal"/>
    <w:pPr>
      <w:keepNext/>
      <w:keepLines/>
      <w:spacing w:before="160"/>
      <w:ind w:left="794"/>
    </w:pPr>
    <w:rPr>
      <w:i/>
    </w:rPr>
  </w:style>
  <w:style w:type="character" w:styleId="EndnoteReference">
    <w:name w:val="endnote reference"/>
    <w:semiHidden/>
    <w:rPr>
      <w:vertAlign w:val="superscript"/>
    </w:rPr>
  </w:style>
  <w:style w:type="paragraph" w:customStyle="1" w:styleId="Equationlegend">
    <w:name w:val="Equation_legend"/>
    <w:basedOn w:val="Normal"/>
    <w:pPr>
      <w:tabs>
        <w:tab w:val="right" w:pos="1531"/>
        <w:tab w:val="left" w:pos="1701"/>
      </w:tabs>
      <w:spacing w:before="80"/>
      <w:ind w:left="1701" w:hanging="1701"/>
    </w:pPr>
  </w:style>
  <w:style w:type="paragraph" w:customStyle="1" w:styleId="FigureNo">
    <w:name w:val="Figure_No"/>
    <w:basedOn w:val="Normal"/>
    <w:next w:val="Figuretitle"/>
    <w:pPr>
      <w:keepNext/>
      <w:keepLines/>
      <w:spacing w:before="480" w:after="120"/>
      <w:jc w:val="center"/>
    </w:pPr>
    <w:rPr>
      <w:caps/>
    </w:rPr>
  </w:style>
  <w:style w:type="paragraph" w:customStyle="1" w:styleId="Figuretitle">
    <w:name w:val="Figure_title"/>
    <w:basedOn w:val="Tabletitle"/>
    <w:next w:val="Normal"/>
    <w:pPr>
      <w:keepNext w:val="0"/>
      <w:spacing w:after="480"/>
    </w:pPr>
  </w:style>
  <w:style w:type="paragraph" w:customStyle="1" w:styleId="Tabletitle">
    <w:name w:val="Table_title"/>
    <w:basedOn w:val="Normal"/>
    <w:next w:val="Tabletext"/>
    <w:pPr>
      <w:keepNext/>
      <w:keepLines/>
      <w:spacing w:before="0" w:after="120"/>
      <w:jc w:val="center"/>
    </w:pPr>
    <w:rPr>
      <w:rFonts w:ascii="Times New Roman Bold" w:hAnsi="Times New Roman Bold"/>
      <w:b/>
    </w:rPr>
  </w:style>
  <w:style w:type="paragraph" w:customStyle="1" w:styleId="Tabletext">
    <w:name w:val="Table_text"/>
    <w:basedOn w:val="Normal"/>
    <w:rsid w:val="00E56553"/>
    <w:pPr>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ableNo">
    <w:name w:val="Table_No"/>
    <w:basedOn w:val="Normal"/>
    <w:next w:val="Tabletitle"/>
    <w:pPr>
      <w:keepNext/>
      <w:spacing w:before="560" w:after="120"/>
      <w:jc w:val="center"/>
    </w:pPr>
    <w:rPr>
      <w:caps/>
    </w:rPr>
  </w:style>
  <w:style w:type="paragraph" w:customStyle="1" w:styleId="Figurelegend">
    <w:name w:val="Figure_legend"/>
    <w:basedOn w:val="Normal"/>
    <w:pPr>
      <w:keepNext/>
      <w:keepLines/>
      <w:spacing w:before="20" w:after="20"/>
    </w:pPr>
    <w:rPr>
      <w:sz w:val="18"/>
    </w:rPr>
  </w:style>
  <w:style w:type="paragraph" w:customStyle="1" w:styleId="Figurewithouttitle">
    <w:name w:val="Figure_without_title"/>
    <w:basedOn w:val="FigureNo"/>
    <w:next w:val="Normal"/>
    <w:pPr>
      <w:keepNext w:val="0"/>
    </w:pPr>
  </w:style>
  <w:style w:type="character" w:customStyle="1" w:styleId="Appdef">
    <w:name w:val="App_def"/>
    <w:rPr>
      <w:rFonts w:ascii="Times New Roman" w:hAnsi="Times New Roman"/>
      <w:b/>
    </w:rPr>
  </w:style>
  <w:style w:type="paragraph" w:customStyle="1" w:styleId="Headingb">
    <w:name w:val="Heading_b"/>
    <w:basedOn w:val="Normal"/>
    <w:next w:val="Normal"/>
    <w:qFormat/>
    <w:rsid w:val="00E5655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5655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Normal"/>
    <w:rsid w:val="00E5655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5655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cref">
    <w:name w:val="Rec_ref"/>
    <w:basedOn w:val="Rectitle"/>
    <w:next w:val="Recdat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rsid w:val="00E56553"/>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Normal"/>
    <w:rsid w:val="00E56553"/>
    <w:pPr>
      <w:keepNext/>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56553"/>
    <w:pPr>
      <w:tabs>
        <w:tab w:val="left" w:pos="284"/>
        <w:tab w:val="left" w:pos="567"/>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ref">
    <w:name w:val="Table_ref"/>
    <w:basedOn w:val="Normal"/>
    <w:next w:val="Tabletitle"/>
    <w:pPr>
      <w:keepNext/>
      <w:spacing w:before="0" w:after="120"/>
      <w:jc w:val="center"/>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left" w:pos="1134"/>
        <w:tab w:val="left" w:pos="1871"/>
        <w:tab w:val="left" w:pos="2268"/>
      </w:tabs>
      <w:spacing w:before="0"/>
    </w:pPr>
    <w:rPr>
      <w:b/>
      <w:bCs/>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character" w:customStyle="1" w:styleId="Recdef">
    <w:name w:val="Rec_def"/>
    <w:rPr>
      <w:b/>
    </w:rPr>
  </w:style>
  <w:style w:type="character" w:customStyle="1" w:styleId="Resdef">
    <w:name w:val="Res_def"/>
    <w:rPr>
      <w:rFonts w:ascii="Times New Roman" w:hAnsi="Times New Roman"/>
      <w:b/>
    </w:rPr>
  </w:style>
  <w:style w:type="character" w:customStyle="1" w:styleId="Tablefreq">
    <w:name w:val="Table_freq"/>
    <w:rPr>
      <w:b/>
      <w:color w:val="auto"/>
    </w:rPr>
  </w:style>
  <w:style w:type="paragraph" w:customStyle="1" w:styleId="headingb0">
    <w:name w:val="heading_b"/>
    <w:basedOn w:val="Heading3"/>
    <w:next w:val="Normal"/>
    <w:pPr>
      <w:tabs>
        <w:tab w:val="left" w:pos="2127"/>
        <w:tab w:val="left" w:pos="2410"/>
        <w:tab w:val="left" w:pos="2921"/>
        <w:tab w:val="left" w:pos="3261"/>
      </w:tabs>
      <w:spacing w:before="160"/>
      <w:outlineLvl w:val="9"/>
    </w:pPr>
    <w:rPr>
      <w:bC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Head">
    <w:name w:val="Head"/>
    <w:basedOn w:val="Normal"/>
    <w:pPr>
      <w:tabs>
        <w:tab w:val="left" w:pos="6663"/>
      </w:tabs>
      <w:spacing w:before="0"/>
    </w:pPr>
  </w:style>
  <w:style w:type="character" w:styleId="Hyperlink">
    <w:name w:val="Hyperlink"/>
    <w:basedOn w:val="DefaultParagraphFont"/>
    <w:rsid w:val="00E56553"/>
    <w:rPr>
      <w:color w:val="0000FF"/>
      <w:u w:val="single"/>
    </w:rPr>
  </w:style>
  <w:style w:type="character" w:styleId="FollowedHyperlink">
    <w:name w:val="FollowedHyperlink"/>
    <w:rsid w:val="00552F94"/>
    <w:rPr>
      <w:color w:val="800080"/>
      <w:u w:val="single"/>
    </w:rPr>
  </w:style>
  <w:style w:type="character" w:customStyle="1" w:styleId="HeaderChar">
    <w:name w:val="Header Char"/>
    <w:link w:val="Header"/>
    <w:rsid w:val="00501092"/>
    <w:rPr>
      <w:rFonts w:ascii="Times New Roman" w:hAnsi="Times New Roman"/>
      <w:sz w:val="18"/>
      <w:lang w:val="fr-FR" w:eastAsia="en-US"/>
    </w:rPr>
  </w:style>
  <w:style w:type="paragraph" w:styleId="BalloonText">
    <w:name w:val="Balloon Text"/>
    <w:basedOn w:val="Normal"/>
    <w:link w:val="BalloonTextChar"/>
    <w:rsid w:val="00501092"/>
    <w:pPr>
      <w:spacing w:before="0"/>
    </w:pPr>
    <w:rPr>
      <w:rFonts w:ascii="Tahoma" w:hAnsi="Tahoma" w:cs="Tahoma"/>
      <w:sz w:val="16"/>
      <w:szCs w:val="16"/>
    </w:rPr>
  </w:style>
  <w:style w:type="character" w:customStyle="1" w:styleId="BalloonTextChar">
    <w:name w:val="Balloon Text Char"/>
    <w:link w:val="BalloonText"/>
    <w:rsid w:val="00501092"/>
    <w:rPr>
      <w:rFonts w:ascii="Tahoma" w:hAnsi="Tahoma" w:cs="Tahoma"/>
      <w:sz w:val="16"/>
      <w:szCs w:val="16"/>
      <w:lang w:val="en-GB" w:eastAsia="en-US"/>
    </w:rPr>
  </w:style>
  <w:style w:type="character" w:customStyle="1" w:styleId="FooterChar">
    <w:name w:val="Footer Char"/>
    <w:link w:val="Footer"/>
    <w:rsid w:val="00501092"/>
    <w:rPr>
      <w:rFonts w:ascii="Times New Roman" w:hAnsi="Times New Roman"/>
      <w:caps/>
      <w:noProof/>
      <w:sz w:val="16"/>
      <w:lang w:val="fr-FR" w:eastAsia="en-US"/>
    </w:rPr>
  </w:style>
  <w:style w:type="character" w:customStyle="1" w:styleId="FootnoteTextChar">
    <w:name w:val="Footnote Text Char"/>
    <w:basedOn w:val="DefaultParagraphFont"/>
    <w:link w:val="FootnoteText"/>
    <w:rsid w:val="00DA5D32"/>
    <w:rPr>
      <w:rFonts w:ascii="Times New Roman" w:hAnsi="Times New Roman"/>
      <w:sz w:val="24"/>
      <w:lang w:val="en-GB" w:eastAsia="en-US"/>
    </w:rPr>
  </w:style>
  <w:style w:type="paragraph" w:styleId="ListParagraph">
    <w:name w:val="List Paragraph"/>
    <w:basedOn w:val="Normal"/>
    <w:uiPriority w:val="34"/>
    <w:qFormat/>
    <w:rsid w:val="007B4C71"/>
    <w:pPr>
      <w:ind w:left="720"/>
      <w:contextualSpacing/>
    </w:pPr>
  </w:style>
  <w:style w:type="paragraph" w:styleId="Date">
    <w:name w:val="Date"/>
    <w:basedOn w:val="Normal"/>
    <w:next w:val="Normal"/>
    <w:link w:val="DateChar"/>
    <w:rsid w:val="00893372"/>
  </w:style>
  <w:style w:type="character" w:customStyle="1" w:styleId="DateChar">
    <w:name w:val="Date Char"/>
    <w:basedOn w:val="DefaultParagraphFont"/>
    <w:link w:val="Date"/>
    <w:rsid w:val="00893372"/>
    <w:rPr>
      <w:rFonts w:ascii="Times New Roman" w:hAnsi="Times New Roman"/>
      <w:sz w:val="24"/>
      <w:lang w:val="en-GB" w:eastAsia="en-US"/>
    </w:rPr>
  </w:style>
  <w:style w:type="character" w:customStyle="1" w:styleId="RestitleChar">
    <w:name w:val="Res_title Char"/>
    <w:basedOn w:val="DefaultParagraphFont"/>
    <w:link w:val="Restitle"/>
    <w:rsid w:val="0095010F"/>
    <w:rPr>
      <w:rFonts w:ascii="Times New Roman Bold" w:hAnsi="Times New Roman Bold"/>
      <w:b/>
      <w:sz w:val="28"/>
      <w:lang w:val="en-GB" w:eastAsia="en-US"/>
    </w:rPr>
  </w:style>
  <w:style w:type="character" w:customStyle="1" w:styleId="enumlev1Char">
    <w:name w:val="enumlev1 Char"/>
    <w:basedOn w:val="DefaultParagraphFont"/>
    <w:link w:val="enumlev1"/>
    <w:rsid w:val="00F779FC"/>
    <w:rPr>
      <w:rFonts w:ascii="Times New Roman" w:hAnsi="Times New Roman"/>
      <w:sz w:val="24"/>
      <w:lang w:val="en-GB" w:eastAsia="en-US"/>
    </w:rPr>
  </w:style>
  <w:style w:type="table" w:styleId="TableGrid">
    <w:name w:val="Table Grid"/>
    <w:basedOn w:val="TableNormal"/>
    <w:uiPriority w:val="39"/>
    <w:rsid w:val="00451F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unhideWhenUsed/>
    <w:rsid w:val="00E56553"/>
    <w:pPr>
      <w:spacing w:before="0" w:after="200"/>
    </w:pPr>
    <w:rPr>
      <w:i/>
      <w:iCs/>
      <w:color w:val="1F497D" w:themeColor="text2"/>
      <w:sz w:val="18"/>
      <w:szCs w:val="18"/>
    </w:rPr>
  </w:style>
  <w:style w:type="character" w:styleId="Emphasis">
    <w:name w:val="Emphasis"/>
    <w:basedOn w:val="DefaultParagraphFont"/>
    <w:rsid w:val="00E56553"/>
    <w:rPr>
      <w:i/>
      <w:iCs/>
    </w:rPr>
  </w:style>
  <w:style w:type="paragraph" w:styleId="Subtitle">
    <w:name w:val="Subtitle"/>
    <w:basedOn w:val="Normal"/>
    <w:next w:val="Normal"/>
    <w:link w:val="SubtitleChar"/>
    <w:rsid w:val="00E5655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56553"/>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E56553"/>
    <w:rPr>
      <w:b/>
      <w:bCs/>
    </w:rPr>
  </w:style>
  <w:style w:type="paragraph" w:styleId="Quote">
    <w:name w:val="Quote"/>
    <w:basedOn w:val="Normal"/>
    <w:next w:val="Normal"/>
    <w:link w:val="QuoteChar"/>
    <w:uiPriority w:val="29"/>
    <w:rsid w:val="00E5655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6553"/>
    <w:rPr>
      <w:rFonts w:ascii="Times New Roman" w:hAnsi="Times New Roman"/>
      <w:i/>
      <w:iCs/>
      <w:color w:val="404040" w:themeColor="text1" w:themeTint="BF"/>
      <w:sz w:val="24"/>
      <w:lang w:val="en-GB" w:eastAsia="en-US"/>
    </w:rPr>
  </w:style>
  <w:style w:type="paragraph" w:customStyle="1" w:styleId="AnnexNotitle">
    <w:name w:val="Annex_No &amp; title"/>
    <w:basedOn w:val="Normal"/>
    <w:next w:val="Normal"/>
    <w:rsid w:val="00E56553"/>
    <w:pPr>
      <w:keepNext/>
      <w:keepLines/>
      <w:spacing w:before="480"/>
      <w:jc w:val="center"/>
    </w:pPr>
    <w:rPr>
      <w:b/>
      <w:sz w:val="28"/>
    </w:rPr>
  </w:style>
  <w:style w:type="paragraph" w:customStyle="1" w:styleId="AppendixNotitle">
    <w:name w:val="Appendix_No &amp; title"/>
    <w:basedOn w:val="AnnexNotitle"/>
    <w:next w:val="Normal"/>
    <w:rsid w:val="00E56553"/>
  </w:style>
  <w:style w:type="paragraph" w:customStyle="1" w:styleId="CorrectionSeparatorBegin">
    <w:name w:val="Correction Separator Begin"/>
    <w:basedOn w:val="Normal"/>
    <w:rsid w:val="00E5655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E56553"/>
    <w:pPr>
      <w:pBdr>
        <w:top w:val="single" w:sz="12" w:space="1" w:color="auto"/>
      </w:pBdr>
      <w:spacing w:before="240" w:after="240"/>
      <w:ind w:left="1440" w:right="1440"/>
      <w:jc w:val="center"/>
    </w:pPr>
    <w:rPr>
      <w:b/>
      <w:i/>
      <w:sz w:val="20"/>
      <w:lang w:val="en-US"/>
    </w:rPr>
  </w:style>
  <w:style w:type="paragraph" w:customStyle="1" w:styleId="Formal">
    <w:name w:val="Formal"/>
    <w:basedOn w:val="Normal"/>
    <w:rsid w:val="00E565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E5655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E5655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ib">
    <w:name w:val="Heading_ib"/>
    <w:basedOn w:val="Headingi"/>
    <w:next w:val="Normal"/>
    <w:qFormat/>
    <w:rsid w:val="00E56553"/>
    <w:rPr>
      <w:b/>
      <w:bCs/>
    </w:rPr>
  </w:style>
  <w:style w:type="paragraph" w:customStyle="1" w:styleId="Normalbeforetable">
    <w:name w:val="Normal before table"/>
    <w:basedOn w:val="Normal"/>
    <w:rsid w:val="00E56553"/>
    <w:pPr>
      <w:keepNext/>
      <w:spacing w:after="120"/>
    </w:pPr>
    <w:rPr>
      <w:rFonts w:eastAsia="????"/>
      <w:lang w:eastAsia="en-US"/>
    </w:rPr>
  </w:style>
  <w:style w:type="character" w:customStyle="1" w:styleId="ReftextArial9pt">
    <w:name w:val="Ref_text Arial 9 pt"/>
    <w:rsid w:val="00E56553"/>
    <w:rPr>
      <w:rFonts w:ascii="Arial" w:hAnsi="Arial" w:cs="Arial"/>
      <w:sz w:val="18"/>
      <w:szCs w:val="18"/>
    </w:rPr>
  </w:style>
  <w:style w:type="paragraph" w:customStyle="1" w:styleId="TableNotitle">
    <w:name w:val="Table_No &amp; title"/>
    <w:basedOn w:val="Normal"/>
    <w:next w:val="Normal"/>
    <w:rsid w:val="00E5655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ableofFigures">
    <w:name w:val="table of figures"/>
    <w:basedOn w:val="Normal"/>
    <w:next w:val="Normal"/>
    <w:uiPriority w:val="99"/>
    <w:rsid w:val="00E56553"/>
    <w:pPr>
      <w:tabs>
        <w:tab w:val="right" w:leader="dot" w:pos="9639"/>
      </w:tabs>
    </w:pPr>
    <w:rPr>
      <w:rFonts w:eastAsia="MS Mincho"/>
    </w:rPr>
  </w:style>
  <w:style w:type="paragraph" w:customStyle="1" w:styleId="Docnumber">
    <w:name w:val="Docnumber"/>
    <w:basedOn w:val="Normal"/>
    <w:link w:val="DocnumberChar"/>
    <w:rsid w:val="00E56553"/>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56553"/>
    <w:rPr>
      <w:rFonts w:ascii="Times New Roman" w:eastAsia="SimSun" w:hAnsi="Times New Roman"/>
      <w:b/>
      <w:sz w:val="40"/>
      <w:lang w:val="en-GB" w:eastAsia="en-US"/>
    </w:rPr>
  </w:style>
  <w:style w:type="character" w:customStyle="1" w:styleId="Heading2Char">
    <w:name w:val="Heading 2 Char"/>
    <w:basedOn w:val="DefaultParagraphFont"/>
    <w:link w:val="Heading2"/>
    <w:rsid w:val="00BB1593"/>
    <w:rPr>
      <w:rFonts w:ascii="Times New Roman" w:eastAsiaTheme="minorEastAsia" w:hAnsi="Times New Roman"/>
      <w:b/>
      <w:sz w:val="24"/>
      <w:szCs w:val="24"/>
      <w:lang w:val="en-GB" w:eastAsia="ja-JP"/>
    </w:rPr>
  </w:style>
  <w:style w:type="character" w:styleId="CommentReference">
    <w:name w:val="annotation reference"/>
    <w:basedOn w:val="DefaultParagraphFont"/>
    <w:semiHidden/>
    <w:unhideWhenUsed/>
    <w:rsid w:val="003F51BA"/>
    <w:rPr>
      <w:sz w:val="16"/>
      <w:szCs w:val="16"/>
    </w:rPr>
  </w:style>
  <w:style w:type="paragraph" w:styleId="CommentText">
    <w:name w:val="annotation text"/>
    <w:basedOn w:val="Normal"/>
    <w:link w:val="CommentTextChar"/>
    <w:semiHidden/>
    <w:unhideWhenUsed/>
    <w:rsid w:val="003F51BA"/>
    <w:rPr>
      <w:sz w:val="20"/>
      <w:szCs w:val="20"/>
    </w:rPr>
  </w:style>
  <w:style w:type="character" w:customStyle="1" w:styleId="CommentTextChar">
    <w:name w:val="Comment Text Char"/>
    <w:basedOn w:val="DefaultParagraphFont"/>
    <w:link w:val="CommentText"/>
    <w:semiHidden/>
    <w:rsid w:val="003F51BA"/>
    <w:rPr>
      <w:rFonts w:ascii="Times New Roman" w:eastAsiaTheme="minorEastAsia" w:hAnsi="Times New Roman"/>
      <w:lang w:val="en-GB" w:eastAsia="ja-JP"/>
    </w:rPr>
  </w:style>
  <w:style w:type="paragraph" w:styleId="CommentSubject">
    <w:name w:val="annotation subject"/>
    <w:basedOn w:val="CommentText"/>
    <w:next w:val="CommentText"/>
    <w:link w:val="CommentSubjectChar"/>
    <w:semiHidden/>
    <w:unhideWhenUsed/>
    <w:rsid w:val="003F51BA"/>
    <w:rPr>
      <w:b/>
      <w:bCs/>
    </w:rPr>
  </w:style>
  <w:style w:type="character" w:customStyle="1" w:styleId="CommentSubjectChar">
    <w:name w:val="Comment Subject Char"/>
    <w:basedOn w:val="CommentTextChar"/>
    <w:link w:val="CommentSubject"/>
    <w:semiHidden/>
    <w:rsid w:val="003F51BA"/>
    <w:rPr>
      <w:rFonts w:ascii="Times New Roman" w:eastAsiaTheme="minorEastAsia" w:hAnsi="Times New Roman"/>
      <w:b/>
      <w:bCs/>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33119">
      <w:bodyDiv w:val="1"/>
      <w:marLeft w:val="0"/>
      <w:marRight w:val="0"/>
      <w:marTop w:val="0"/>
      <w:marBottom w:val="0"/>
      <w:divBdr>
        <w:top w:val="none" w:sz="0" w:space="0" w:color="auto"/>
        <w:left w:val="none" w:sz="0" w:space="0" w:color="auto"/>
        <w:bottom w:val="none" w:sz="0" w:space="0" w:color="auto"/>
        <w:right w:val="none" w:sz="0" w:space="0" w:color="auto"/>
      </w:divBdr>
    </w:div>
    <w:div w:id="488714421">
      <w:bodyDiv w:val="1"/>
      <w:marLeft w:val="0"/>
      <w:marRight w:val="0"/>
      <w:marTop w:val="0"/>
      <w:marBottom w:val="0"/>
      <w:divBdr>
        <w:top w:val="none" w:sz="0" w:space="0" w:color="auto"/>
        <w:left w:val="none" w:sz="0" w:space="0" w:color="auto"/>
        <w:bottom w:val="none" w:sz="0" w:space="0" w:color="auto"/>
        <w:right w:val="none" w:sz="0" w:space="0" w:color="auto"/>
      </w:divBdr>
    </w:div>
    <w:div w:id="870462073">
      <w:bodyDiv w:val="1"/>
      <w:marLeft w:val="0"/>
      <w:marRight w:val="0"/>
      <w:marTop w:val="0"/>
      <w:marBottom w:val="0"/>
      <w:divBdr>
        <w:top w:val="none" w:sz="0" w:space="0" w:color="auto"/>
        <w:left w:val="none" w:sz="0" w:space="0" w:color="auto"/>
        <w:bottom w:val="none" w:sz="0" w:space="0" w:color="auto"/>
        <w:right w:val="none" w:sz="0" w:space="0" w:color="auto"/>
      </w:divBdr>
    </w:div>
    <w:div w:id="20722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doc.asp?lang=en&amp;parent=T13-WTSA.16-C-0083" TargetMode="External"/><Relationship Id="rId18" Type="http://schemas.openxmlformats.org/officeDocument/2006/relationships/hyperlink" Target="http://www.itu.int/md/meetingdoc.asp?lang=en&amp;parent=T13-WTSA.16-C-0118" TargetMode="External"/><Relationship Id="rId26" Type="http://schemas.openxmlformats.org/officeDocument/2006/relationships/hyperlink" Target="https://www.itu.int/md/dologin_md.asp?id=T13-WTSA.16-C-0016!!MSW-E" TargetMode="External"/><Relationship Id="rId39" Type="http://schemas.openxmlformats.org/officeDocument/2006/relationships/hyperlink" Target="http://www.itu.int/md/T13-WTSA.16-C-0101/en" TargetMode="External"/><Relationship Id="rId21" Type="http://schemas.openxmlformats.org/officeDocument/2006/relationships/hyperlink" Target="https://www.itu.int/md/dologin_md.asp?id=T13-WTSA.16-C-0006!!MSW-E" TargetMode="External"/><Relationship Id="rId34" Type="http://schemas.openxmlformats.org/officeDocument/2006/relationships/hyperlink" Target="http://www.itu.int/md/T13-WTSA.16-C-0052/en" TargetMode="External"/><Relationship Id="rId42" Type="http://schemas.openxmlformats.org/officeDocument/2006/relationships/hyperlink" Target="http://www.itu.int/md/T13-WTSA.16-C-0101/en" TargetMode="External"/><Relationship Id="rId47" Type="http://schemas.openxmlformats.org/officeDocument/2006/relationships/hyperlink" Target="http://www.itu.int/md/T13-WTSA.16-C-0075/en" TargetMode="External"/><Relationship Id="rId50" Type="http://schemas.openxmlformats.org/officeDocument/2006/relationships/hyperlink" Target="http://www.itu.int/md/T13-WTSA.16-C-0119/en" TargetMode="External"/><Relationship Id="rId55" Type="http://schemas.openxmlformats.org/officeDocument/2006/relationships/hyperlink" Target="http://www.itu.int/md/T13-WTSA.16-C-0119/en" TargetMode="External"/><Relationship Id="rId63" Type="http://schemas.openxmlformats.org/officeDocument/2006/relationships/hyperlink" Target="http://www.itu.int/md/T13-WTSA.16-C-0106/en" TargetMode="External"/><Relationship Id="rId68" Type="http://schemas.openxmlformats.org/officeDocument/2006/relationships/hyperlink" Target="http://www.itu.int/md/T13-WTSA.16-C-0110/en"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meetingdoc.asp?lang=en&amp;parent=T13-WTSA.16-161025-TD-GEN-0001" TargetMode="External"/><Relationship Id="rId29" Type="http://schemas.openxmlformats.org/officeDocument/2006/relationships/hyperlink" Target="https://www.itu.int/md/dologin_md.asp?id=T13-WTSA.16-C-0022!!MSW-E" TargetMode="External"/><Relationship Id="rId11" Type="http://schemas.openxmlformats.org/officeDocument/2006/relationships/hyperlink" Target="http://www.itu.int/md/meetingdoc.asp?lang=en&amp;parent=T13-WTSA.16-C-0070" TargetMode="External"/><Relationship Id="rId24" Type="http://schemas.openxmlformats.org/officeDocument/2006/relationships/hyperlink" Target="https://www.itu.int/md/dologin_md.asp?id=T13-WTSA.16-C-0012!!MSW-E" TargetMode="External"/><Relationship Id="rId32" Type="http://schemas.openxmlformats.org/officeDocument/2006/relationships/hyperlink" Target="http://www.itu.int/md/T13-WTSA.16-C-0052/en" TargetMode="External"/><Relationship Id="rId37" Type="http://schemas.openxmlformats.org/officeDocument/2006/relationships/hyperlink" Target="http://www.itu.int/md/T13-WTSA.16-C-0075/en" TargetMode="External"/><Relationship Id="rId40" Type="http://schemas.openxmlformats.org/officeDocument/2006/relationships/hyperlink" Target="http://www.itu.int/md/T13-WTSA.16-C-0117/en" TargetMode="External"/><Relationship Id="rId45" Type="http://schemas.openxmlformats.org/officeDocument/2006/relationships/hyperlink" Target="http://www.itu.int/md/T13-WTSA.16-C-0074/en" TargetMode="External"/><Relationship Id="rId53" Type="http://schemas.openxmlformats.org/officeDocument/2006/relationships/hyperlink" Target="http://www.itu.int/md/T13-WTSA.16-C-0098/en" TargetMode="External"/><Relationship Id="rId58" Type="http://schemas.openxmlformats.org/officeDocument/2006/relationships/hyperlink" Target="http://www.itu.int/md/T13-WTSA.16-C-0098/en" TargetMode="External"/><Relationship Id="rId66" Type="http://schemas.openxmlformats.org/officeDocument/2006/relationships/hyperlink" Target="http://www.itu.int/md/T13-WTSA.16-C-0112/en" TargetMode="External"/><Relationship Id="rId5" Type="http://schemas.openxmlformats.org/officeDocument/2006/relationships/webSettings" Target="webSettings.xml"/><Relationship Id="rId15" Type="http://schemas.openxmlformats.org/officeDocument/2006/relationships/hyperlink" Target="http://www.itu.int/md/meetingdoc.asp?lang=en&amp;parent=T13-WTSA.16-C-0091" TargetMode="External"/><Relationship Id="rId23" Type="http://schemas.openxmlformats.org/officeDocument/2006/relationships/hyperlink" Target="https://www.itu.int/md/dologin_md.asp?id=T13-WTSA.16-C-0010!!MSW-E" TargetMode="External"/><Relationship Id="rId28" Type="http://schemas.openxmlformats.org/officeDocument/2006/relationships/hyperlink" Target="https://www.itu.int/md/dologin_md.asp?id=T13-WTSA.16-C-0020!!MSW-E" TargetMode="External"/><Relationship Id="rId36" Type="http://schemas.openxmlformats.org/officeDocument/2006/relationships/hyperlink" Target="http://www.itu.int/md/T13-WTSA.16-C-0101/en" TargetMode="External"/><Relationship Id="rId49" Type="http://schemas.openxmlformats.org/officeDocument/2006/relationships/hyperlink" Target="http://www.itu.int/md/T13-WTSA.16-C-0119/en" TargetMode="External"/><Relationship Id="rId57" Type="http://schemas.openxmlformats.org/officeDocument/2006/relationships/hyperlink" Target="http://www.itu.int/md/T13-WTSA.16-C-0119/en" TargetMode="External"/><Relationship Id="rId61" Type="http://schemas.openxmlformats.org/officeDocument/2006/relationships/hyperlink" Target="http://www.itu.int/md/T13-WTSA.16-C-0108" TargetMode="External"/><Relationship Id="rId10" Type="http://schemas.openxmlformats.org/officeDocument/2006/relationships/hyperlink" Target="http://www.itu.int/md/meetingdoc.asp?lang=en&amp;parent=T13-WTSA.16-C-0065" TargetMode="External"/><Relationship Id="rId19" Type="http://schemas.openxmlformats.org/officeDocument/2006/relationships/hyperlink" Target="https://www.itu.int/md/dologin_md.asp?id=T13-WTSA.16-C-0002!!MSW-E" TargetMode="External"/><Relationship Id="rId31" Type="http://schemas.openxmlformats.org/officeDocument/2006/relationships/hyperlink" Target="https://www.itu.int/md/dologin_md.asp?id=T13-WTSA.16-C-0022!!MSW-E" TargetMode="External"/><Relationship Id="rId44" Type="http://schemas.openxmlformats.org/officeDocument/2006/relationships/hyperlink" Target="http://www.itu.int/md/T13-WTSA.16-C-0074/en" TargetMode="External"/><Relationship Id="rId52" Type="http://schemas.openxmlformats.org/officeDocument/2006/relationships/hyperlink" Target="http://www.itu.int/md/T13-WTSA.16-C-0119/en" TargetMode="External"/><Relationship Id="rId60" Type="http://schemas.openxmlformats.org/officeDocument/2006/relationships/hyperlink" Target="http://www.itu.int/md/T13-WTSA.16-C-0101/en" TargetMode="External"/><Relationship Id="rId65" Type="http://schemas.openxmlformats.org/officeDocument/2006/relationships/hyperlink" Target="http://www.itu.int/md/T13-WTSA.16-C-0104/e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meetingdoc.asp?lang=en&amp;parent=T13-WTSA.16-C-0090" TargetMode="External"/><Relationship Id="rId22" Type="http://schemas.openxmlformats.org/officeDocument/2006/relationships/hyperlink" Target="https://www.itu.int/md/dologin_md.asp?id=T13-WTSA.16-C-0008!!MSW-E" TargetMode="External"/><Relationship Id="rId27" Type="http://schemas.openxmlformats.org/officeDocument/2006/relationships/hyperlink" Target="https://www.itu.int/md/dologin_md.asp?id=T13-WTSA.16-C-0018!!MSW-E" TargetMode="External"/><Relationship Id="rId30" Type="http://schemas.openxmlformats.org/officeDocument/2006/relationships/hyperlink" Target="http://www.itu.int/md/meetingdoc.asp?lang=en&amp;parent=T13-WTSA.16-C-0088" TargetMode="External"/><Relationship Id="rId35" Type="http://schemas.openxmlformats.org/officeDocument/2006/relationships/hyperlink" Target="http://www.itu.int/md/T13-WTSA.16-C-0118/en" TargetMode="External"/><Relationship Id="rId43" Type="http://schemas.openxmlformats.org/officeDocument/2006/relationships/hyperlink" Target="http://www.itu.int/md/T13-WTSA.16-C-0101/en" TargetMode="External"/><Relationship Id="rId48" Type="http://schemas.openxmlformats.org/officeDocument/2006/relationships/hyperlink" Target="http://www.itu.int/md/T13-WTSA.16-C-0098/en" TargetMode="External"/><Relationship Id="rId56" Type="http://schemas.openxmlformats.org/officeDocument/2006/relationships/hyperlink" Target="http://www.itu.int/md/T13-WTSA.16-C-0101/en" TargetMode="External"/><Relationship Id="rId64" Type="http://schemas.openxmlformats.org/officeDocument/2006/relationships/hyperlink" Target="http://www.itu.int/md/T13-WTSA.16-C-0105/en" TargetMode="External"/><Relationship Id="rId69" Type="http://schemas.openxmlformats.org/officeDocument/2006/relationships/hyperlink" Target="http://www.itu.int/md/T13-WTSA.16-C-0111/en" TargetMode="External"/><Relationship Id="rId8" Type="http://schemas.openxmlformats.org/officeDocument/2006/relationships/image" Target="media/image1.png"/><Relationship Id="rId51" Type="http://schemas.openxmlformats.org/officeDocument/2006/relationships/hyperlink" Target="http://www.itu.int/md/T13-WTSA.16-C-0101/e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itu.int/md/meetingdoc.asp?lang=en&amp;parent=T13-WTSA.16-C-0073" TargetMode="External"/><Relationship Id="rId17" Type="http://schemas.openxmlformats.org/officeDocument/2006/relationships/hyperlink" Target="http://www.itu.int/md/T13-WTSA.16-161025-TD-GEN-0008/en" TargetMode="External"/><Relationship Id="rId25" Type="http://schemas.openxmlformats.org/officeDocument/2006/relationships/hyperlink" Target="https://www.itu.int/md/dologin_md.asp?id=T13-WTSA.16-C-0014!!MSW-E" TargetMode="External"/><Relationship Id="rId33" Type="http://schemas.openxmlformats.org/officeDocument/2006/relationships/hyperlink" Target="https://www.itu.int/md/dologin_md.asp?id=T13-WTSA.16-C-0043!A32!MSW-E" TargetMode="External"/><Relationship Id="rId38" Type="http://schemas.openxmlformats.org/officeDocument/2006/relationships/hyperlink" Target="http://www.itu.int/md/T13-WTSA.16-C-0075/en" TargetMode="External"/><Relationship Id="rId46" Type="http://schemas.openxmlformats.org/officeDocument/2006/relationships/hyperlink" Target="http://www.itu.int/md/T13-WTSA.16-C-0117/en" TargetMode="External"/><Relationship Id="rId59" Type="http://schemas.openxmlformats.org/officeDocument/2006/relationships/hyperlink" Target="http://www.itu.int/md/T13-WTSA.16-C-0101/en" TargetMode="External"/><Relationship Id="rId67" Type="http://schemas.openxmlformats.org/officeDocument/2006/relationships/hyperlink" Target="http://www.itu.int/md/T13-WTSA.16-C-0114/en" TargetMode="External"/><Relationship Id="rId20" Type="http://schemas.openxmlformats.org/officeDocument/2006/relationships/hyperlink" Target="https://www.itu.int/md/dologin_md.asp?id=T13-WTSA.16-C-0004!!MSW-E" TargetMode="External"/><Relationship Id="rId41" Type="http://schemas.openxmlformats.org/officeDocument/2006/relationships/hyperlink" Target="http://www.itu.int/md/T13-WTSA.16-C-0101/en" TargetMode="External"/><Relationship Id="rId54" Type="http://schemas.openxmlformats.org/officeDocument/2006/relationships/hyperlink" Target="http://www.itu.int/md/T13-WTSA.16-C-0119/en" TargetMode="External"/><Relationship Id="rId62" Type="http://schemas.openxmlformats.org/officeDocument/2006/relationships/hyperlink" Target="http://www.itu.int/md/T13-WTSA.16-C-0107/en" TargetMode="External"/><Relationship Id="rId70" Type="http://schemas.openxmlformats.org/officeDocument/2006/relationships/hyperlink" Target="http://www.itu.int/md/T13-WTSA.16-C-0113/e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4054-80B2-4B9D-86BE-0E1E1A04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18596</CharactersWithSpaces>
  <SharedDoc>false</SharedDoc>
  <HLinks>
    <vt:vector size="48" baseType="variant">
      <vt:variant>
        <vt:i4>5767199</vt:i4>
      </vt:variant>
      <vt:variant>
        <vt:i4>21</vt:i4>
      </vt:variant>
      <vt:variant>
        <vt:i4>0</vt:i4>
      </vt:variant>
      <vt:variant>
        <vt:i4>5</vt:i4>
      </vt:variant>
      <vt:variant>
        <vt:lpwstr>http://www.itu.int/md/T09-WTSA.12-C-0069</vt:lpwstr>
      </vt:variant>
      <vt:variant>
        <vt:lpwstr/>
      </vt:variant>
      <vt:variant>
        <vt:i4>6488180</vt:i4>
      </vt:variant>
      <vt:variant>
        <vt:i4>18</vt:i4>
      </vt:variant>
      <vt:variant>
        <vt:i4>0</vt:i4>
      </vt:variant>
      <vt:variant>
        <vt:i4>5</vt:i4>
      </vt:variant>
      <vt:variant>
        <vt:lpwstr>http://www.itu.int/net4/proposals/WTSA12/Properties.aspx?pid=13456</vt:lpwstr>
      </vt:variant>
      <vt:variant>
        <vt:lpwstr/>
      </vt:variant>
      <vt:variant>
        <vt:i4>6553712</vt:i4>
      </vt:variant>
      <vt:variant>
        <vt:i4>15</vt:i4>
      </vt:variant>
      <vt:variant>
        <vt:i4>0</vt:i4>
      </vt:variant>
      <vt:variant>
        <vt:i4>5</vt:i4>
      </vt:variant>
      <vt:variant>
        <vt:lpwstr>http://www.itu.int/net4/proposals/WTSA12/Properties.aspx?pid=13217</vt:lpwstr>
      </vt:variant>
      <vt:variant>
        <vt:lpwstr/>
      </vt:variant>
      <vt:variant>
        <vt:i4>7209079</vt:i4>
      </vt:variant>
      <vt:variant>
        <vt:i4>12</vt:i4>
      </vt:variant>
      <vt:variant>
        <vt:i4>0</vt:i4>
      </vt:variant>
      <vt:variant>
        <vt:i4>5</vt:i4>
      </vt:variant>
      <vt:variant>
        <vt:lpwstr>http://www.itu.int/net4/proposals/WTSA12/Properties.aspx?pid=13669</vt:lpwstr>
      </vt:variant>
      <vt:variant>
        <vt:lpwstr/>
      </vt:variant>
      <vt:variant>
        <vt:i4>6684788</vt:i4>
      </vt:variant>
      <vt:variant>
        <vt:i4>9</vt:i4>
      </vt:variant>
      <vt:variant>
        <vt:i4>0</vt:i4>
      </vt:variant>
      <vt:variant>
        <vt:i4>5</vt:i4>
      </vt:variant>
      <vt:variant>
        <vt:lpwstr>http://www.itu.int/net4/proposals/WTSA12/Properties.aspx?pid=13255</vt:lpwstr>
      </vt:variant>
      <vt:variant>
        <vt:lpwstr/>
      </vt:variant>
      <vt:variant>
        <vt:i4>6881394</vt:i4>
      </vt:variant>
      <vt:variant>
        <vt:i4>6</vt:i4>
      </vt:variant>
      <vt:variant>
        <vt:i4>0</vt:i4>
      </vt:variant>
      <vt:variant>
        <vt:i4>5</vt:i4>
      </vt:variant>
      <vt:variant>
        <vt:lpwstr>http://www.itu.int/net4/proposals/WTSA12/Properties.aspx?pid=12129</vt:lpwstr>
      </vt:variant>
      <vt:variant>
        <vt:lpwstr/>
      </vt:variant>
      <vt:variant>
        <vt:i4>6422640</vt:i4>
      </vt:variant>
      <vt:variant>
        <vt:i4>3</vt:i4>
      </vt:variant>
      <vt:variant>
        <vt:i4>0</vt:i4>
      </vt:variant>
      <vt:variant>
        <vt:i4>5</vt:i4>
      </vt:variant>
      <vt:variant>
        <vt:lpwstr>http://www.itu.int/net4/proposals/WTSA12/Properties.aspx?pid=11536</vt:lpwstr>
      </vt:variant>
      <vt:variant>
        <vt:lpwstr/>
      </vt:variant>
      <vt:variant>
        <vt:i4>6815861</vt:i4>
      </vt:variant>
      <vt:variant>
        <vt:i4>0</vt:i4>
      </vt:variant>
      <vt:variant>
        <vt:i4>0</vt:i4>
      </vt:variant>
      <vt:variant>
        <vt:i4>5</vt:i4>
      </vt:variant>
      <vt:variant>
        <vt:lpwstr>http://www.itu.int/net4/proposals/WTSA12/Properties.aspx?pid=11960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 - 2000</dc:subject>
  <dc:creator>Simão Campos-Neto</dc:creator>
  <cp:keywords/>
  <dc:description>DOC092-COM4-Final-report-v3.docx  For: _x000d_Document date: _x000d_Saved by ITU51010859 at 19:02:12 on 02/11/2016</dc:description>
  <cp:lastModifiedBy>Janin</cp:lastModifiedBy>
  <cp:revision>3</cp:revision>
  <cp:lastPrinted>2012-11-28T13:25:00Z</cp:lastPrinted>
  <dcterms:created xsi:type="dcterms:W3CDTF">2016-11-02T22:39:00Z</dcterms:created>
  <dcterms:modified xsi:type="dcterms:W3CDTF">2016-11-02T22:43:00Z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DOC092-COM4-Final-report-v3.docx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